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C2410C"/>
          <w:spacing w:val="60"/>
          <w:sz w:val="20"/>
          <w:szCs w:val="20"/>
        </w:rPr>
        <w:t xml:space="preserve">MATNEXA</w:t>
      </w:r>
    </w:p>
    <w:p>
      <w:pPr>
        <w:spacing w:after="40"/>
        <w:jc w:val="left"/>
      </w:pPr>
      <w:r>
        <w:rPr>
          <w:rFonts w:ascii="Calibri" w:cs="Calibri" w:eastAsia="Calibri" w:hAnsi="Calibri"/>
          <w:b/>
          <w:bCs/>
          <w:color w:val="16191D"/>
          <w:sz w:val="40"/>
          <w:szCs w:val="40"/>
        </w:rPr>
        <w:t xml:space="preserve">Contrat de prestation</w:t>
      </w:r>
    </w:p>
    <w:p>
      <w:pPr>
        <w:spacing w:after="200"/>
        <w:jc w:val="left"/>
      </w:pPr>
      <w:r>
        <w:rPr>
          <w:rFonts w:ascii="Calibri" w:cs="Calibri" w:eastAsia="Calibri" w:hAnsi="Calibri"/>
          <w:color w:val="5A6068"/>
          <w:sz w:val="22"/>
          <w:szCs w:val="22"/>
        </w:rPr>
        <w:t xml:space="preserve">Abonnement au service Matnexa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2410C" w:sz="8"/>
              <w:left w:val="single" w:color="BFC3C8" w:sz="4"/>
              <w:bottom w:val="single" w:color="BFC3C8" w:sz="4"/>
              <w:right w:val="single" w:color="BFC3C8" w:sz="4"/>
            </w:tcBorders>
            <w:shd w:fill="FFF4E8" w:color="auto" w:val="clear"/>
            <w:tcMar>
              <w:top w:type="dxa" w:w="100"/>
              <w:left w:type="dxa" w:w="160"/>
              <w:bottom w:type="dxa" w:w="100"/>
              <w:right w:type="dxa" w:w="160"/>
            </w:tcMar>
          </w:tcPr>
          <w:p>
            <w:pPr>
              <w:spacing w:after="60"/>
            </w:pPr>
            <w:r>
              <w:rPr>
                <w:rFonts w:ascii="Calibri" w:cs="Calibri" w:eastAsia="Calibri" w:hAnsi="Calibri"/>
                <w:b/>
                <w:bCs/>
                <w:color w:val="C2410C"/>
                <w:sz w:val="18"/>
                <w:szCs w:val="18"/>
              </w:rPr>
              <w:t xml:space="preserve">MODE D'EMPLOI — À SUPPRIMER AVANT ENVOI</w:t>
            </w:r>
          </w:p>
          <w:p>
            <w:pPr>
              <w:spacing w:after="40"/>
              <w:jc w:val="left"/>
            </w:pPr>
            <w:r>
              <w:rPr>
                <w:rFonts w:ascii="Calibri" w:cs="Calibri" w:eastAsia="Calibri" w:hAnsi="Calibri"/>
                <w:sz w:val="19"/>
                <w:szCs w:val="19"/>
              </w:rPr>
              <w:t xml:space="preserve">1. Remplir toutes les zones </w:t>
            </w:r>
            <w:r>
              <w:rPr>
                <w:rFonts w:ascii="Calibri" w:cs="Calibri" w:eastAsia="Calibri" w:hAnsi="Calibri"/>
                <w:b/>
                <w:bCs/>
                <w:sz w:val="19"/>
                <w:szCs w:val="19"/>
              </w:rPr>
              <w:t xml:space="preserve">jaunes</w:t>
            </w:r>
            <w:r>
              <w:rPr>
                <w:rFonts w:ascii="Calibri" w:cs="Calibri" w:eastAsia="Calibri" w:hAnsi="Calibri"/>
                <w:sz w:val="19"/>
                <w:szCs w:val="19"/>
              </w:rPr>
              <w:t xml:space="preserve"> entre crochets, puis retirer la surbrillance (Accueil › Couleur de surbrillance › Aucune couleur).</w:t>
            </w:r>
          </w:p>
          <w:p>
            <w:pPr>
              <w:spacing w:after="40"/>
              <w:jc w:val="left"/>
            </w:pPr>
            <w:r>
              <w:rPr>
                <w:rFonts w:ascii="Calibri" w:cs="Calibri" w:eastAsia="Calibri" w:hAnsi="Calibri"/>
                <w:sz w:val="19"/>
                <w:szCs w:val="19"/>
              </w:rPr>
              <w:t xml:space="preserve">2. Choisir, pour chaque option « / », celle qui s'applique et supprimer les autres.</w:t>
            </w:r>
          </w:p>
          <w:p>
            <w:pPr>
              <w:spacing w:after="40"/>
              <w:jc w:val="left"/>
            </w:pPr>
            <w:r>
              <w:rPr>
                <w:rFonts w:ascii="Calibri" w:cs="Calibri" w:eastAsia="Calibri" w:hAnsi="Calibri"/>
                <w:sz w:val="19"/>
                <w:szCs w:val="19"/>
              </w:rPr>
              <w:t xml:space="preserve">3. Supprimer ce cadre, enregistrer sous un nouveau nom (ex. « Contrat – Nom du club ») et ne jamais enregistrer par-dessus le modèle.</w:t>
            </w:r>
          </w:p>
          <w:p>
            <w:pPr>
              <w:spacing w:after="40"/>
              <w:jc w:val="left"/>
            </w:pPr>
            <w:r>
              <w:rPr>
                <w:rFonts w:ascii="Calibri" w:cs="Calibri" w:eastAsia="Calibri" w:hAnsi="Calibri"/>
                <w:sz w:val="19"/>
                <w:szCs w:val="19"/>
              </w:rPr>
              <w:t xml:space="preserve">4. Joindre en annexes : l'accord de traitement des données (fichier distinct, même date), le PDF « Droits et rôles » et la notice d'information des adhérents.</w:t>
            </w:r>
          </w:p>
          <w:p>
            <w:pPr>
              <w:spacing w:after="40"/>
              <w:jc w:val="left"/>
            </w:pPr>
            <w:r>
              <w:rPr>
                <w:rFonts w:ascii="Calibri" w:cs="Calibri" w:eastAsia="Calibri" w:hAnsi="Calibri"/>
                <w:sz w:val="19"/>
                <w:szCs w:val="19"/>
              </w:rPr>
              <w:t xml:space="preserve">5. Texte rédigé sans relecture juridique : à faire relire par un juriste ou un avocat avant la première signature, surtout les articles 10 (responsabilité) et 12 (résiliation).</w:t>
            </w:r>
          </w:p>
        </w:tc>
      </w:tr>
    </w:tbl>
    <w:p>
      <w:pPr>
        <w:spacing w:after="120"/>
      </w:pPr>
    </w:p>
    <w:p>
      <w:pPr>
        <w:keepNext/>
        <w:spacing w:after="80" w:before="160"/>
      </w:pPr>
      <w:r>
        <w:rPr>
          <w:rFonts w:ascii="Calibri" w:cs="Calibri" w:eastAsia="Calibri" w:hAnsi="Calibri"/>
          <w:b/>
          <w:bCs/>
          <w:color w:val="16191D"/>
          <w:sz w:val="22"/>
          <w:szCs w:val="22"/>
        </w:rPr>
        <w:t xml:space="preserve">Entre les soussignés</w:t>
      </w:r>
    </w:p>
    <w:p>
      <w:pPr>
        <w:keepNext/>
        <w:spacing w:after="60" w:before="0" w:line="264"/>
        <w:jc w:val="both"/>
      </w:pPr>
      <w:r>
        <w:rPr>
          <w:rFonts w:ascii="Calibri" w:cs="Calibri" w:eastAsia="Calibri" w:hAnsi="Calibri"/>
          <w:b/>
          <w:bCs/>
        </w:rPr>
        <w:t xml:space="preserve">Le Club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Dénomination</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[Nom de l'association ou de la société]</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Forme juridique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[Association loi 1901 / SAS / SARL / autre]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Adresse du siège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complète]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Identifiant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 RNA ou W… pour une association — SIREN pour une société]</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Représenté(e) par</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[Prénom NOM]</w:t>
            </w:r>
            <w:r>
              <w:rPr>
                <w:rFonts w:ascii="Calibri" w:cs="Calibri" w:eastAsia="Calibri" w:hAnsi="Calibri"/>
              </w:rPr>
              <w:t xml:space="preserve">, agissant en qualité de </w:t>
            </w:r>
            <w:r>
              <w:rPr>
                <w:rFonts w:ascii="Calibri" w:cs="Calibri" w:eastAsia="Calibri" w:hAnsi="Calibri"/>
                <w:highlight w:val="yellow"/>
              </w:rPr>
              <w:t xml:space="preserve">[Président(e) / Gérant(e) / autre]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Courriel de contact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e-mail]</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Nom de l'espace dans Matnexa</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[Nom du club tel qu'il apparaît dans l'application]</w:t>
            </w:r>
          </w:p>
        </w:tc>
      </w:tr>
    </w:tbl>
    <w:p>
      <w:pPr>
        <w:spacing w:after="120" w:before="100" w:line="264"/>
        <w:jc w:val="left"/>
      </w:pPr>
      <w:r>
        <w:rPr>
          <w:rFonts w:ascii="Calibri" w:cs="Calibri" w:eastAsia="Calibri" w:hAnsi="Calibri"/>
        </w:rPr>
        <w:t xml:space="preserve">ci-après « le </w:t>
      </w:r>
      <w:r>
        <w:rPr>
          <w:rFonts w:ascii="Calibri" w:cs="Calibri" w:eastAsia="Calibri" w:hAnsi="Calibri"/>
          <w:b/>
          <w:bCs/>
        </w:rPr>
        <w:t xml:space="preserve">Club</w:t>
      </w:r>
      <w:r>
        <w:rPr>
          <w:rFonts w:ascii="Calibri" w:cs="Calibri" w:eastAsia="Calibri" w:hAnsi="Calibri"/>
        </w:rPr>
        <w:t xml:space="preserve"> »,</w:t>
      </w:r>
    </w:p>
    <w:p>
      <w:pPr>
        <w:keepNext/>
        <w:spacing w:after="60" w:before="0" w:line="264"/>
        <w:jc w:val="both"/>
      </w:pPr>
      <w:r>
        <w:rPr>
          <w:rFonts w:ascii="Calibri" w:cs="Calibri" w:eastAsia="Calibri" w:hAnsi="Calibri"/>
          <w:b/>
          <w:bCs/>
        </w:rPr>
        <w:t xml:space="preserve">L'Éditeur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Nom</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b/>
                <w:bCs/>
              </w:rPr>
              <w:t xml:space="preserve">Arthur DARON</w:t>
            </w:r>
            <w:r>
              <w:rPr>
                <w:rFonts w:ascii="Calibri" w:cs="Calibri" w:eastAsia="Calibri" w:hAnsi="Calibri"/>
              </w:rPr>
              <w:t xml:space="preserve">, personne physique agissant à titre personnel</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Adresse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postale de l'éditeur]</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Immatriculation</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[SIRET, si applicable — sinon supprimer cette ligne]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Courriel de contact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contact@matnexa.fr</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Service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Matnexa — application app.matnexa.fr et site www.matnexa.fr</w:t>
            </w:r>
          </w:p>
        </w:tc>
      </w:tr>
    </w:tbl>
    <w:p>
      <w:pPr>
        <w:spacing w:after="120" w:before="100" w:line="264"/>
        <w:jc w:val="left"/>
      </w:pPr>
      <w:r>
        <w:rPr>
          <w:rFonts w:ascii="Calibri" w:cs="Calibri" w:eastAsia="Calibri" w:hAnsi="Calibri"/>
        </w:rPr>
        <w:t xml:space="preserve">ci-après « l'</w:t>
      </w:r>
      <w:r>
        <w:rPr>
          <w:rFonts w:ascii="Calibri" w:cs="Calibri" w:eastAsia="Calibri" w:hAnsi="Calibri"/>
          <w:b/>
          <w:bCs/>
        </w:rPr>
        <w:t xml:space="preserve">Éditeur</w:t>
      </w:r>
      <w:r>
        <w:rPr>
          <w:rFonts w:ascii="Calibri" w:cs="Calibri" w:eastAsia="Calibri" w:hAnsi="Calibri"/>
        </w:rPr>
        <w:t xml:space="preserve"> ».</w:t>
      </w:r>
    </w:p>
    <w:p>
      <w:pPr>
        <w:spacing w:after="100" w:before="0" w:line="264"/>
        <w:jc w:val="both"/>
      </w:pPr>
      <w:r>
        <w:rPr>
          <w:rFonts w:ascii="Calibri" w:cs="Calibri" w:eastAsia="Calibri" w:hAnsi="Calibri"/>
        </w:rPr>
        <w:t xml:space="preserve">Le Club et l'Éditeur sont ensemble « les Parties ».</w:t>
      </w:r>
    </w:p>
    <w:p>
      <w:pPr>
        <w:keepNext/>
        <w:spacing w:after="100" w:before="240"/>
      </w:pPr>
      <w:r>
        <w:rPr>
          <w:rFonts w:ascii="Calibri" w:cs="Calibri" w:eastAsia="Calibri" w:hAnsi="Calibri"/>
          <w:b/>
          <w:bCs/>
          <w:color w:val="C2410C"/>
          <w:sz w:val="24"/>
          <w:szCs w:val="24"/>
        </w:rPr>
        <w:t xml:space="preserve">Article 1 — Objet</w:t>
      </w:r>
    </w:p>
    <w:p>
      <w:pPr>
        <w:spacing w:after="100" w:before="0" w:line="264"/>
        <w:jc w:val="both"/>
      </w:pPr>
      <w:r>
        <w:rPr>
          <w:rFonts w:ascii="Calibri" w:cs="Calibri" w:eastAsia="Calibri" w:hAnsi="Calibri"/>
        </w:rPr>
        <w:t xml:space="preserve">Le présent contrat définit les conditions dans lesquelles l'Éditeur met à la disposition du Club le service en ligne </w:t>
      </w:r>
      <w:r>
        <w:rPr>
          <w:rFonts w:ascii="Calibri" w:cs="Calibri" w:eastAsia="Calibri" w:hAnsi="Calibri"/>
          <w:b/>
          <w:bCs/>
        </w:rPr>
        <w:t xml:space="preserve">Matnexa</w:t>
      </w:r>
      <w:r>
        <w:rPr>
          <w:rFonts w:ascii="Calibri" w:cs="Calibri" w:eastAsia="Calibri" w:hAnsi="Calibri"/>
        </w:rPr>
        <w:t xml:space="preserve"> (« le Service »), outil de gestion de club d'arts martiaux : adhérents, cours, réservations, présences, grades et communication avec les adhérents.</w:t>
      </w:r>
    </w:p>
    <w:p>
      <w:pPr>
        <w:keepNext/>
        <w:spacing w:after="100" w:before="240"/>
      </w:pPr>
      <w:r>
        <w:rPr>
          <w:rFonts w:ascii="Calibri" w:cs="Calibri" w:eastAsia="Calibri" w:hAnsi="Calibri"/>
          <w:b/>
          <w:bCs/>
          <w:color w:val="C2410C"/>
          <w:sz w:val="24"/>
          <w:szCs w:val="24"/>
        </w:rPr>
        <w:t xml:space="preserve">Article 2 — Description du Service</w:t>
      </w:r>
    </w:p>
    <w:p>
      <w:pPr>
        <w:spacing w:after="100" w:before="0" w:line="264"/>
        <w:jc w:val="both"/>
      </w:pPr>
      <w:r>
        <w:rPr>
          <w:rFonts w:ascii="Calibri" w:cs="Calibri" w:eastAsia="Calibri" w:hAnsi="Calibri"/>
        </w:rPr>
        <w:t xml:space="preserve">Le Service est accessible par navigateur (application web installable) à l'adresse app.matnexa.fr. Il comprend, selon la formule choisie à l'article 3 :</w:t>
      </w:r>
    </w:p>
    <w:p>
      <w:pPr>
        <w:pStyle w:val="ListParagraph"/>
        <w:numPr>
          <w:ilvl w:val="0"/>
          <w:numId w:val="2"/>
        </w:numPr>
        <w:spacing w:after="50" w:line="264"/>
        <w:jc w:val="both"/>
      </w:pPr>
      <w:r>
        <w:rPr>
          <w:rFonts w:ascii="Calibri" w:cs="Calibri" w:eastAsia="Calibri" w:hAnsi="Calibri"/>
        </w:rPr>
        <w:t xml:space="preserve">la gestion des fiches adhérents, des familles et des responsables légaux des mineurs ;</w:t>
      </w:r>
    </w:p>
    <w:p>
      <w:pPr>
        <w:pStyle w:val="ListParagraph"/>
        <w:numPr>
          <w:ilvl w:val="0"/>
          <w:numId w:val="2"/>
        </w:numPr>
        <w:spacing w:after="50" w:line="264"/>
        <w:jc w:val="both"/>
      </w:pPr>
      <w:r>
        <w:rPr>
          <w:rFonts w:ascii="Calibri" w:cs="Calibri" w:eastAsia="Calibri" w:hAnsi="Calibri"/>
        </w:rPr>
        <w:t xml:space="preserve">le planning des cours, les réservations, la liste d'attente et le pointage des présences (dont par QR code) ;</w:t>
      </w:r>
    </w:p>
    <w:p>
      <w:pPr>
        <w:pStyle w:val="ListParagraph"/>
        <w:numPr>
          <w:ilvl w:val="0"/>
          <w:numId w:val="2"/>
        </w:numPr>
        <w:spacing w:after="50" w:line="264"/>
        <w:jc w:val="both"/>
      </w:pPr>
      <w:r>
        <w:rPr>
          <w:rFonts w:ascii="Calibri" w:cs="Calibri" w:eastAsia="Calibri" w:hAnsi="Calibri"/>
        </w:rPr>
        <w:t xml:space="preserve">le suivi des grades (ceinture, barrettes), l'historique des passages et l'aide à l'identification des adhérents éligibles au grade suivant ;</w:t>
      </w:r>
    </w:p>
    <w:p>
      <w:pPr>
        <w:pStyle w:val="ListParagraph"/>
        <w:numPr>
          <w:ilvl w:val="0"/>
          <w:numId w:val="2"/>
        </w:numPr>
        <w:spacing w:after="50" w:line="264"/>
        <w:jc w:val="both"/>
      </w:pPr>
      <w:r>
        <w:rPr>
          <w:rFonts w:ascii="Calibri" w:cs="Calibri" w:eastAsia="Calibri" w:hAnsi="Calibri"/>
        </w:rPr>
        <w:t xml:space="preserve">les modules optionnels, activés ou non par l'Éditeur selon la formule : classement et assiduité, actualités et notifications, rapports ;</w:t>
      </w:r>
    </w:p>
    <w:p>
      <w:pPr>
        <w:pStyle w:val="ListParagraph"/>
        <w:numPr>
          <w:ilvl w:val="0"/>
          <w:numId w:val="2"/>
        </w:numPr>
        <w:spacing w:after="50" w:line="264"/>
        <w:jc w:val="both"/>
      </w:pPr>
      <w:r>
        <w:rPr>
          <w:rFonts w:ascii="Calibri" w:cs="Calibri" w:eastAsia="Calibri" w:hAnsi="Calibri"/>
        </w:rPr>
        <w:t xml:space="preserve">quatre niveaux d'accès pour l'équipe (propriétaire, administrateur, coach, membre), décrits dans le document « Droits et rôles » joint en annexe ;</w:t>
      </w:r>
    </w:p>
    <w:p>
      <w:pPr>
        <w:pStyle w:val="ListParagraph"/>
        <w:numPr>
          <w:ilvl w:val="0"/>
          <w:numId w:val="2"/>
        </w:numPr>
        <w:spacing w:after="50" w:line="264"/>
        <w:jc w:val="both"/>
      </w:pPr>
      <w:r>
        <w:rPr>
          <w:rFonts w:ascii="Calibri" w:cs="Calibri" w:eastAsia="Calibri" w:hAnsi="Calibri"/>
        </w:rPr>
        <w:t xml:space="preserve">les exports de données au format CSV et la suppression ou l'anonymisation des fiches.</w:t>
      </w:r>
    </w:p>
    <w:p>
      <w:pPr>
        <w:spacing w:after="100" w:before="0" w:line="264"/>
        <w:jc w:val="both"/>
      </w:pPr>
      <w:r>
        <w:rPr>
          <w:rFonts w:ascii="Calibri" w:cs="Calibri" w:eastAsia="Calibri" w:hAnsi="Calibri"/>
        </w:rPr>
        <w:t xml:space="preserve">L'Éditeur peut faire évoluer le Service pour l'améliorer. Il ne supprime pas de fonctionnalité essentielle sans en avertir le Club au moins </w:t>
      </w:r>
      <w:r>
        <w:rPr>
          <w:rFonts w:ascii="Calibri" w:cs="Calibri" w:eastAsia="Calibri" w:hAnsi="Calibri"/>
          <w:highlight w:val="yellow"/>
        </w:rPr>
        <w:t xml:space="preserve">[30]</w:t>
      </w:r>
      <w:r>
        <w:rPr>
          <w:rFonts w:ascii="Calibri" w:cs="Calibri" w:eastAsia="Calibri" w:hAnsi="Calibri"/>
        </w:rPr>
        <w:t xml:space="preserve"> jours à l'avance.</w:t>
      </w:r>
    </w:p>
    <w:p>
      <w:pPr>
        <w:keepNext/>
        <w:spacing w:after="100" w:before="240"/>
      </w:pPr>
      <w:r>
        <w:rPr>
          <w:rFonts w:ascii="Calibri" w:cs="Calibri" w:eastAsia="Calibri" w:hAnsi="Calibri"/>
          <w:b/>
          <w:bCs/>
          <w:color w:val="C2410C"/>
          <w:sz w:val="24"/>
          <w:szCs w:val="24"/>
        </w:rPr>
        <w:t xml:space="preserve">Article 3 — Formule, prix et paiement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cantSplit/>
          <w:tblHeader w:val="off"/>
        </w:trPr>
        <w:tc>
          <w:tcPr>
            <w:tcW w:type="dxa" w:w="3470"/>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Formule</w:t>
            </w:r>
          </w:p>
        </w:tc>
        <w:tc>
          <w:tcPr>
            <w:tcW w:type="dxa" w:w="6168"/>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[Nom de la formule (ex. Pilote, Essentiel, Complet)]</w:t>
            </w:r>
          </w:p>
        </w:tc>
      </w:tr>
      <w:tr>
        <w:trPr>
          <w:cantSplit/>
          <w:tblHeader w:val="off"/>
        </w:trPr>
        <w:tc>
          <w:tcPr>
            <w:tcW w:type="dxa" w:w="3470"/>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Modules inclus</w:t>
            </w:r>
          </w:p>
        </w:tc>
        <w:tc>
          <w:tcPr>
            <w:tcW w:type="dxa" w:w="6168"/>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[Cours et présences / + classement / + actualités / + rapports]</w:t>
            </w:r>
          </w:p>
        </w:tc>
      </w:tr>
      <w:tr>
        <w:trPr>
          <w:cantSplit/>
          <w:tblHeader w:val="off"/>
        </w:trPr>
        <w:tc>
          <w:tcPr>
            <w:tcW w:type="dxa" w:w="3470"/>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Prix</w:t>
            </w:r>
          </w:p>
        </w:tc>
        <w:tc>
          <w:tcPr>
            <w:tcW w:type="dxa" w:w="6168"/>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[montant]</w:t>
            </w:r>
            <w:r>
              <w:rPr>
                <w:rFonts w:ascii="Calibri" w:cs="Calibri" w:eastAsia="Calibri" w:hAnsi="Calibri"/>
              </w:rPr>
              <w:t xml:space="preserve"> € hors taxes par </w:t>
            </w:r>
            <w:r>
              <w:rPr>
                <w:rFonts w:ascii="Calibri" w:cs="Calibri" w:eastAsia="Calibri" w:hAnsi="Calibri"/>
                <w:highlight w:val="yellow"/>
              </w:rPr>
              <w:t xml:space="preserve">[mois / an]</w:t>
            </w:r>
          </w:p>
        </w:tc>
      </w:tr>
      <w:tr>
        <w:trPr>
          <w:cantSplit/>
          <w:tblHeader w:val="off"/>
        </w:trPr>
        <w:tc>
          <w:tcPr>
            <w:tcW w:type="dxa" w:w="3470"/>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TVA</w:t>
            </w:r>
          </w:p>
        </w:tc>
        <w:tc>
          <w:tcPr>
            <w:tcW w:type="dxa" w:w="6168"/>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[TVA au taux de 20 % en sus / TVA non applicable, art. 293 B du CGI]</w:t>
            </w:r>
          </w:p>
        </w:tc>
      </w:tr>
      <w:tr>
        <w:trPr>
          <w:cantSplit/>
          <w:tblHeader w:val="off"/>
        </w:trPr>
        <w:tc>
          <w:tcPr>
            <w:tcW w:type="dxa" w:w="3470"/>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Période d'essai ou pilote</w:t>
            </w:r>
          </w:p>
        </w:tc>
        <w:tc>
          <w:tcPr>
            <w:tcW w:type="dxa" w:w="6168"/>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[Aucune / gratuite jusqu'au jj/mm/aaaa, durée de X mois]</w:t>
            </w:r>
          </w:p>
        </w:tc>
      </w:tr>
      <w:tr>
        <w:trPr>
          <w:cantSplit/>
          <w:tblHeader w:val="off"/>
        </w:trPr>
        <w:tc>
          <w:tcPr>
            <w:tcW w:type="dxa" w:w="3470"/>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Facturation</w:t>
            </w:r>
          </w:p>
        </w:tc>
        <w:tc>
          <w:tcPr>
            <w:tcW w:type="dxa" w:w="6168"/>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[Mensuelle / trimestrielle / annuelle]</w:t>
            </w:r>
            <w:r>
              <w:rPr>
                <w:rFonts w:ascii="Calibri" w:cs="Calibri" w:eastAsia="Calibri" w:hAnsi="Calibri"/>
              </w:rPr>
              <w:t xml:space="preserve">, à terme </w:t>
            </w:r>
            <w:r>
              <w:rPr>
                <w:rFonts w:ascii="Calibri" w:cs="Calibri" w:eastAsia="Calibri" w:hAnsi="Calibri"/>
                <w:highlight w:val="yellow"/>
              </w:rPr>
              <w:t xml:space="preserve">[à échoir / échu]</w:t>
            </w:r>
          </w:p>
        </w:tc>
      </w:tr>
      <w:tr>
        <w:trPr>
          <w:cantSplit/>
          <w:tblHeader w:val="off"/>
        </w:trPr>
        <w:tc>
          <w:tcPr>
            <w:tcW w:type="dxa" w:w="3470"/>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Mode de paiement</w:t>
            </w:r>
          </w:p>
        </w:tc>
        <w:tc>
          <w:tcPr>
            <w:tcW w:type="dxa" w:w="6168"/>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[Virement / prélèvement / autre]</w:t>
            </w:r>
            <w:r>
              <w:rPr>
                <w:rFonts w:ascii="Calibri" w:cs="Calibri" w:eastAsia="Calibri" w:hAnsi="Calibri"/>
              </w:rPr>
              <w:t xml:space="preserve">, à </w:t>
            </w:r>
            <w:r>
              <w:rPr>
                <w:rFonts w:ascii="Calibri" w:cs="Calibri" w:eastAsia="Calibri" w:hAnsi="Calibri"/>
                <w:highlight w:val="yellow"/>
              </w:rPr>
              <w:t xml:space="preserve">[30]</w:t>
            </w:r>
            <w:r>
              <w:rPr>
                <w:rFonts w:ascii="Calibri" w:cs="Calibri" w:eastAsia="Calibri" w:hAnsi="Calibri"/>
              </w:rPr>
              <w:t xml:space="preserve"> jours à compter de la date de facture</w:t>
            </w:r>
          </w:p>
        </w:tc>
      </w:tr>
    </w:tbl>
    <w:p>
      <w:pPr>
        <w:spacing w:after="120"/>
      </w:pPr>
    </w:p>
    <w:p>
      <w:pPr>
        <w:spacing w:after="100" w:before="0" w:line="264"/>
        <w:jc w:val="both"/>
      </w:pPr>
      <w:r>
        <w:rPr>
          <w:rFonts w:ascii="Calibri" w:cs="Calibri" w:eastAsia="Calibri" w:hAnsi="Calibri"/>
        </w:rPr>
        <w:t xml:space="preserve">Le paiement s'effectue </w:t>
      </w:r>
      <w:r>
        <w:rPr>
          <w:rFonts w:ascii="Calibri" w:cs="Calibri" w:eastAsia="Calibri" w:hAnsi="Calibri"/>
          <w:b/>
          <w:bCs/>
        </w:rPr>
        <w:t xml:space="preserve">en dehors de l'application</w:t>
      </w:r>
      <w:r>
        <w:rPr>
          <w:rFonts w:ascii="Calibri" w:cs="Calibri" w:eastAsia="Calibri" w:hAnsi="Calibri"/>
        </w:rPr>
        <w:t xml:space="preserve"> : celle-ci ne collecte aucun moyen de paiement. Les factures sont adressées par courriel à l'adresse de contact du Club. En cas de retard de paiement, des pénalités égales à trois fois le taux d'intérêt légal sont exigibles, ainsi qu'une indemnité forfaitaire de recouvrement de 40 € lorsque le Club agit en qualité de professionnel.</w:t>
      </w:r>
    </w:p>
    <w:p>
      <w:pPr>
        <w:spacing w:after="100" w:before="0" w:line="264"/>
        <w:jc w:val="both"/>
      </w:pPr>
      <w:r>
        <w:rPr>
          <w:rFonts w:ascii="Calibri" w:cs="Calibri" w:eastAsia="Calibri" w:hAnsi="Calibri"/>
        </w:rPr>
        <w:t xml:space="preserve">Le prix peut être révisé à chaque échéance annuelle, avec un préavis de </w:t>
      </w:r>
      <w:r>
        <w:rPr>
          <w:rFonts w:ascii="Calibri" w:cs="Calibri" w:eastAsia="Calibri" w:hAnsi="Calibri"/>
          <w:highlight w:val="yellow"/>
        </w:rPr>
        <w:t xml:space="preserve">[60]</w:t>
      </w:r>
      <w:r>
        <w:rPr>
          <w:rFonts w:ascii="Calibri" w:cs="Calibri" w:eastAsia="Calibri" w:hAnsi="Calibri"/>
        </w:rPr>
        <w:t xml:space="preserve"> jours ; à défaut d'accord, le Club peut résilier sans frais avant l'entrée en vigueur du nouveau prix.</w:t>
      </w:r>
    </w:p>
    <w:p>
      <w:pPr>
        <w:keepNext/>
        <w:spacing w:after="100" w:before="240"/>
      </w:pPr>
      <w:r>
        <w:rPr>
          <w:rFonts w:ascii="Calibri" w:cs="Calibri" w:eastAsia="Calibri" w:hAnsi="Calibri"/>
          <w:b/>
          <w:bCs/>
          <w:color w:val="C2410C"/>
          <w:sz w:val="24"/>
          <w:szCs w:val="24"/>
        </w:rPr>
        <w:t xml:space="preserve">Article 4 — Durée et renouvellement</w:t>
      </w:r>
    </w:p>
    <w:p>
      <w:pPr>
        <w:spacing w:after="100" w:before="0" w:line="264"/>
        <w:jc w:val="both"/>
      </w:pPr>
      <w:r>
        <w:rPr>
          <w:rFonts w:ascii="Calibri" w:cs="Calibri" w:eastAsia="Calibri" w:hAnsi="Calibri"/>
        </w:rPr>
        <w:t xml:space="preserve">Le contrat prend effet le </w:t>
      </w:r>
      <w:r>
        <w:rPr>
          <w:rFonts w:ascii="Calibri" w:cs="Calibri" w:eastAsia="Calibri" w:hAnsi="Calibri"/>
          <w:highlight w:val="yellow"/>
        </w:rPr>
        <w:t xml:space="preserve">[jj/mm/aaaa]</w:t>
      </w:r>
      <w:r>
        <w:rPr>
          <w:rFonts w:ascii="Calibri" w:cs="Calibri" w:eastAsia="Calibri" w:hAnsi="Calibri"/>
        </w:rPr>
        <w:t xml:space="preserve"> pour une durée initiale de </w:t>
      </w:r>
      <w:r>
        <w:rPr>
          <w:rFonts w:ascii="Calibri" w:cs="Calibri" w:eastAsia="Calibri" w:hAnsi="Calibri"/>
          <w:highlight w:val="yellow"/>
        </w:rPr>
        <w:t xml:space="preserve">[12 mois]</w:t>
      </w:r>
      <w:r>
        <w:rPr>
          <w:rFonts w:ascii="Calibri" w:cs="Calibri" w:eastAsia="Calibri" w:hAnsi="Calibri"/>
        </w:rPr>
        <w:t xml:space="preserve">. Il se renouvelle ensuite par tacite reconduction pour des périodes successives de </w:t>
      </w:r>
      <w:r>
        <w:rPr>
          <w:rFonts w:ascii="Calibri" w:cs="Calibri" w:eastAsia="Calibri" w:hAnsi="Calibri"/>
          <w:highlight w:val="yellow"/>
        </w:rPr>
        <w:t xml:space="preserve">[12 mois]</w:t>
      </w:r>
      <w:r>
        <w:rPr>
          <w:rFonts w:ascii="Calibri" w:cs="Calibri" w:eastAsia="Calibri" w:hAnsi="Calibri"/>
        </w:rPr>
        <w:t xml:space="preserve">, sauf résiliation notifiée par l'une des Parties par courriel avec accusé de réception au moins </w:t>
      </w:r>
      <w:r>
        <w:rPr>
          <w:rFonts w:ascii="Calibri" w:cs="Calibri" w:eastAsia="Calibri" w:hAnsi="Calibri"/>
          <w:highlight w:val="yellow"/>
        </w:rPr>
        <w:t xml:space="preserve">[30]</w:t>
      </w:r>
      <w:r>
        <w:rPr>
          <w:rFonts w:ascii="Calibri" w:cs="Calibri" w:eastAsia="Calibri" w:hAnsi="Calibri"/>
        </w:rPr>
        <w:t xml:space="preserve"> jours avant l'échéance.</w:t>
      </w:r>
    </w:p>
    <w:p>
      <w:pPr>
        <w:keepNext/>
        <w:spacing w:after="100" w:before="240"/>
      </w:pPr>
      <w:r>
        <w:rPr>
          <w:rFonts w:ascii="Calibri" w:cs="Calibri" w:eastAsia="Calibri" w:hAnsi="Calibri"/>
          <w:b/>
          <w:bCs/>
          <w:color w:val="C2410C"/>
          <w:sz w:val="24"/>
          <w:szCs w:val="24"/>
        </w:rPr>
        <w:t xml:space="preserve">Article 5 — Engagements de l'Éditeur</w:t>
      </w:r>
    </w:p>
    <w:p>
      <w:pPr>
        <w:spacing w:after="100" w:before="0" w:line="264"/>
        <w:jc w:val="both"/>
      </w:pPr>
      <w:r>
        <w:rPr>
          <w:rFonts w:ascii="Calibri" w:cs="Calibri" w:eastAsia="Calibri" w:hAnsi="Calibri"/>
        </w:rPr>
        <w:t xml:space="preserve">L'Éditeur est tenu à une obligation de moyens. Il s'engage à :</w:t>
      </w:r>
    </w:p>
    <w:p>
      <w:pPr>
        <w:pStyle w:val="ListParagraph"/>
        <w:numPr>
          <w:ilvl w:val="0"/>
          <w:numId w:val="2"/>
        </w:numPr>
        <w:spacing w:after="50" w:line="264"/>
        <w:jc w:val="both"/>
      </w:pPr>
      <w:r>
        <w:rPr>
          <w:rFonts w:ascii="Calibri" w:cs="Calibri" w:eastAsia="Calibri" w:hAnsi="Calibri"/>
        </w:rPr>
        <w:t xml:space="preserve">fournir le Service avec le soin d'un professionnel et le maintenir en état de fonctionnement ;</w:t>
      </w:r>
    </w:p>
    <w:p>
      <w:pPr>
        <w:pStyle w:val="ListParagraph"/>
        <w:numPr>
          <w:ilvl w:val="0"/>
          <w:numId w:val="2"/>
        </w:numPr>
        <w:spacing w:after="50" w:line="264"/>
        <w:jc w:val="both"/>
      </w:pPr>
      <w:r>
        <w:rPr>
          <w:rFonts w:ascii="Calibri" w:cs="Calibri" w:eastAsia="Calibri" w:hAnsi="Calibri"/>
        </w:rPr>
        <w:t xml:space="preserve">héberger les données en France (OVHcloud, centre de données de Gravelines) et les protéger par les mesures décrites dans l'accord de traitement des données ;</w:t>
      </w:r>
    </w:p>
    <w:p>
      <w:pPr>
        <w:pStyle w:val="ListParagraph"/>
        <w:numPr>
          <w:ilvl w:val="0"/>
          <w:numId w:val="2"/>
        </w:numPr>
        <w:spacing w:after="50" w:line="264"/>
        <w:jc w:val="both"/>
      </w:pPr>
      <w:r>
        <w:rPr>
          <w:rFonts w:ascii="Calibri" w:cs="Calibri" w:eastAsia="Calibri" w:hAnsi="Calibri"/>
        </w:rPr>
        <w:t xml:space="preserve">effectuer une sauvegarde chiffrée de la base de données chaque jour et conserver les sept dernières ;</w:t>
      </w:r>
    </w:p>
    <w:p>
      <w:pPr>
        <w:pStyle w:val="ListParagraph"/>
        <w:numPr>
          <w:ilvl w:val="0"/>
          <w:numId w:val="2"/>
        </w:numPr>
        <w:spacing w:after="50" w:line="264"/>
        <w:jc w:val="both"/>
      </w:pPr>
      <w:r>
        <w:rPr>
          <w:rFonts w:ascii="Calibri" w:cs="Calibri" w:eastAsia="Calibri" w:hAnsi="Calibri"/>
        </w:rPr>
        <w:t xml:space="preserve">assurer un support par courriel à contact@matnexa.fr, les jours ouvrés, avec une réponse sous </w:t>
      </w:r>
      <w:r>
        <w:rPr>
          <w:rFonts w:ascii="Calibri" w:cs="Calibri" w:eastAsia="Calibri" w:hAnsi="Calibri"/>
          <w:highlight w:val="yellow"/>
        </w:rPr>
        <w:t xml:space="preserve">[2]</w:t>
      </w:r>
      <w:r>
        <w:rPr>
          <w:rFonts w:ascii="Calibri" w:cs="Calibri" w:eastAsia="Calibri" w:hAnsi="Calibri"/>
        </w:rPr>
        <w:t xml:space="preserve"> jours ouvrés ;</w:t>
      </w:r>
    </w:p>
    <w:p>
      <w:pPr>
        <w:pStyle w:val="ListParagraph"/>
        <w:numPr>
          <w:ilvl w:val="0"/>
          <w:numId w:val="2"/>
        </w:numPr>
        <w:spacing w:after="50" w:line="264"/>
        <w:jc w:val="both"/>
      </w:pPr>
      <w:r>
        <w:rPr>
          <w:rFonts w:ascii="Calibri" w:cs="Calibri" w:eastAsia="Calibri" w:hAnsi="Calibri"/>
        </w:rPr>
        <w:t xml:space="preserve">prévenir le Club, dans la mesure du possible, des interruptions programmées.</w:t>
      </w:r>
    </w:p>
    <w:p>
      <w:pPr>
        <w:spacing w:after="100" w:before="0" w:line="264"/>
        <w:jc w:val="both"/>
      </w:pPr>
      <w:r>
        <w:rPr>
          <w:rFonts w:ascii="Calibri" w:cs="Calibri" w:eastAsia="Calibri" w:hAnsi="Calibri"/>
        </w:rPr>
        <w:t xml:space="preserve">Le Service est fourni sans engagement de disponibilité chiffré. Il peut être interrompu pour maintenance, mise à jour ou en cas d'incident chez l'hébergeur ou les prestataires techniques ; ces interruptions n'ouvrent droit à aucune indemnité sauf faute lourde de l'Éditeur.</w:t>
      </w:r>
    </w:p>
    <w:p>
      <w:pPr>
        <w:keepNext/>
        <w:spacing w:after="100" w:before="240"/>
      </w:pPr>
      <w:r>
        <w:rPr>
          <w:rFonts w:ascii="Calibri" w:cs="Calibri" w:eastAsia="Calibri" w:hAnsi="Calibri"/>
          <w:b/>
          <w:bCs/>
          <w:color w:val="C2410C"/>
          <w:sz w:val="24"/>
          <w:szCs w:val="24"/>
        </w:rPr>
        <w:t xml:space="preserve">Article 6 — Engagements du Club</w:t>
      </w:r>
    </w:p>
    <w:p>
      <w:pPr>
        <w:spacing w:after="100" w:before="0" w:line="264"/>
        <w:jc w:val="both"/>
      </w:pPr>
      <w:r>
        <w:rPr>
          <w:rFonts w:ascii="Calibri" w:cs="Calibri" w:eastAsia="Calibri" w:hAnsi="Calibri"/>
        </w:rPr>
        <w:t xml:space="preserve">Le Club s'engage à :</w:t>
      </w:r>
    </w:p>
    <w:p>
      <w:pPr>
        <w:pStyle w:val="ListParagraph"/>
        <w:numPr>
          <w:ilvl w:val="0"/>
          <w:numId w:val="2"/>
        </w:numPr>
        <w:spacing w:after="50" w:line="264"/>
        <w:jc w:val="both"/>
      </w:pPr>
      <w:r>
        <w:rPr>
          <w:rFonts w:ascii="Calibri" w:cs="Calibri" w:eastAsia="Calibri" w:hAnsi="Calibri"/>
        </w:rPr>
        <w:t xml:space="preserve">désigner un propriétaire du Club, responsable des accès de son équipe, et veiller à ce que seules les personnes habilitées reçoivent les rôles d'administrateur ou de coach ;</w:t>
      </w:r>
    </w:p>
    <w:p>
      <w:pPr>
        <w:pStyle w:val="ListParagraph"/>
        <w:numPr>
          <w:ilvl w:val="0"/>
          <w:numId w:val="2"/>
        </w:numPr>
        <w:spacing w:after="50" w:line="264"/>
        <w:jc w:val="both"/>
      </w:pPr>
      <w:r>
        <w:rPr>
          <w:rFonts w:ascii="Calibri" w:cs="Calibri" w:eastAsia="Calibri" w:hAnsi="Calibri"/>
        </w:rPr>
        <w:t xml:space="preserve">garder confidentiels les identifiants de son équipe et signaler sans délai toute utilisation suspecte ;</w:t>
      </w:r>
    </w:p>
    <w:p>
      <w:pPr>
        <w:pStyle w:val="ListParagraph"/>
        <w:numPr>
          <w:ilvl w:val="0"/>
          <w:numId w:val="2"/>
        </w:numPr>
        <w:spacing w:after="50" w:line="264"/>
        <w:jc w:val="both"/>
      </w:pPr>
      <w:r>
        <w:rPr>
          <w:rFonts w:ascii="Calibri" w:cs="Calibri" w:eastAsia="Calibri" w:hAnsi="Calibri"/>
        </w:rPr>
        <w:t xml:space="preserve">saisir des informations exactes et utiliser le Service conformément à la loi, notamment celle protégeant les mineurs ;</w:t>
      </w:r>
    </w:p>
    <w:p>
      <w:pPr>
        <w:pStyle w:val="ListParagraph"/>
        <w:numPr>
          <w:ilvl w:val="0"/>
          <w:numId w:val="2"/>
        </w:numPr>
        <w:spacing w:after="50" w:line="264"/>
        <w:jc w:val="both"/>
      </w:pPr>
      <w:r>
        <w:rPr>
          <w:rFonts w:ascii="Calibri" w:cs="Calibri" w:eastAsia="Calibri" w:hAnsi="Calibri"/>
        </w:rPr>
        <w:t xml:space="preserve">recueillir l'accord du responsable légal pour toute fiche d'un mineur de moins de </w:t>
      </w:r>
      <w:r>
        <w:rPr>
          <w:rFonts w:ascii="Calibri" w:cs="Calibri" w:eastAsia="Calibri" w:hAnsi="Calibri"/>
          <w:highlight w:val="yellow"/>
        </w:rPr>
        <w:t xml:space="preserve">[15 / 16 / 18]</w:t>
      </w:r>
      <w:r>
        <w:rPr>
          <w:rFonts w:ascii="Calibri" w:cs="Calibri" w:eastAsia="Calibri" w:hAnsi="Calibri"/>
        </w:rPr>
        <w:t xml:space="preserve"> ans ;</w:t>
      </w:r>
    </w:p>
    <w:p>
      <w:pPr>
        <w:pStyle w:val="ListParagraph"/>
        <w:numPr>
          <w:ilvl w:val="0"/>
          <w:numId w:val="2"/>
        </w:numPr>
        <w:spacing w:after="50" w:line="264"/>
        <w:jc w:val="both"/>
      </w:pPr>
      <w:r>
        <w:rPr>
          <w:rFonts w:ascii="Calibri" w:cs="Calibri" w:eastAsia="Calibri" w:hAnsi="Calibri"/>
        </w:rPr>
        <w:t xml:space="preserve">ne pas saisir de données que le Service n'a pas vocation à recevoir : données de santé détaillées, données biométriques, opinions, condamnations, géolocalisation ;</w:t>
      </w:r>
    </w:p>
    <w:p>
      <w:pPr>
        <w:pStyle w:val="ListParagraph"/>
        <w:numPr>
          <w:ilvl w:val="0"/>
          <w:numId w:val="2"/>
        </w:numPr>
        <w:spacing w:after="50" w:line="264"/>
        <w:jc w:val="both"/>
      </w:pPr>
      <w:r>
        <w:rPr>
          <w:rFonts w:ascii="Calibri" w:cs="Calibri" w:eastAsia="Calibri" w:hAnsi="Calibri"/>
        </w:rPr>
        <w:t xml:space="preserve">informer ses adhérents du traitement de leurs données, au moyen de la notice d'information modèle remise en annexe ou de son équivalent.</w:t>
      </w:r>
    </w:p>
    <w:p>
      <w:pPr>
        <w:keepNext/>
        <w:spacing w:after="100" w:before="240"/>
      </w:pPr>
      <w:r>
        <w:rPr>
          <w:rFonts w:ascii="Calibri" w:cs="Calibri" w:eastAsia="Calibri" w:hAnsi="Calibri"/>
          <w:b/>
          <w:bCs/>
          <w:color w:val="C2410C"/>
          <w:sz w:val="24"/>
          <w:szCs w:val="24"/>
        </w:rPr>
        <w:t xml:space="preserve">Article 7 — Données personnelles</w:t>
      </w:r>
    </w:p>
    <w:p>
      <w:pPr>
        <w:spacing w:after="100" w:before="0" w:line="264"/>
        <w:jc w:val="both"/>
      </w:pPr>
      <w:r>
        <w:rPr>
          <w:rFonts w:ascii="Calibri" w:cs="Calibri" w:eastAsia="Calibri" w:hAnsi="Calibri"/>
        </w:rPr>
        <w:t xml:space="preserve">Pour les données de ses adhérents, de leurs responsables légaux et de son équipe, le </w:t>
      </w:r>
      <w:r>
        <w:rPr>
          <w:rFonts w:ascii="Calibri" w:cs="Calibri" w:eastAsia="Calibri" w:hAnsi="Calibri"/>
          <w:b/>
          <w:bCs/>
        </w:rPr>
        <w:t xml:space="preserve">Club est responsable de traitement</w:t>
      </w:r>
      <w:r>
        <w:rPr>
          <w:rFonts w:ascii="Calibri" w:cs="Calibri" w:eastAsia="Calibri" w:hAnsi="Calibri"/>
        </w:rPr>
        <w:t xml:space="preserve"> et l'</w:t>
      </w:r>
      <w:r>
        <w:rPr>
          <w:rFonts w:ascii="Calibri" w:cs="Calibri" w:eastAsia="Calibri" w:hAnsi="Calibri"/>
          <w:b/>
          <w:bCs/>
        </w:rPr>
        <w:t xml:space="preserve">Éditeur est sous-traitant</w:t>
      </w:r>
      <w:r>
        <w:rPr>
          <w:rFonts w:ascii="Calibri" w:cs="Calibri" w:eastAsia="Calibri" w:hAnsi="Calibri"/>
        </w:rPr>
        <w:t xml:space="preserve"> au sens du règlement (UE) 2016/679 (RGPD). Les obligations de chacun sont fixées par l'</w:t>
      </w:r>
      <w:r>
        <w:rPr>
          <w:rFonts w:ascii="Calibri" w:cs="Calibri" w:eastAsia="Calibri" w:hAnsi="Calibri"/>
          <w:b/>
          <w:bCs/>
        </w:rPr>
        <w:t xml:space="preserve">accord de traitement des données</w:t>
      </w:r>
      <w:r>
        <w:rPr>
          <w:rFonts w:ascii="Calibri" w:cs="Calibri" w:eastAsia="Calibri" w:hAnsi="Calibri"/>
        </w:rPr>
        <w:t xml:space="preserve"> signé le même jour et annexé au présent contrat. En cas de contradiction, cet accord prévaut pour tout ce qui concerne les données personnelles.</w:t>
      </w:r>
    </w:p>
    <w:p>
      <w:pPr>
        <w:spacing w:after="100" w:before="0" w:line="264"/>
        <w:jc w:val="both"/>
      </w:pPr>
      <w:r>
        <w:rPr>
          <w:rFonts w:ascii="Calibri" w:cs="Calibri" w:eastAsia="Calibri" w:hAnsi="Calibri"/>
        </w:rPr>
        <w:t xml:space="preserve">Pour ses propres besoins (gestion des comptes, sécurité, facturation, statistiques d'usage non nominatives), l'Éditeur agit en responsable de traitement ; les informations correspondantes figurent dans la notice de confidentialité du Service.</w:t>
      </w:r>
    </w:p>
    <w:p>
      <w:pPr>
        <w:keepNext/>
        <w:spacing w:after="100" w:before="240"/>
      </w:pPr>
      <w:r>
        <w:rPr>
          <w:rFonts w:ascii="Calibri" w:cs="Calibri" w:eastAsia="Calibri" w:hAnsi="Calibri"/>
          <w:b/>
          <w:bCs/>
          <w:color w:val="C2410C"/>
          <w:sz w:val="24"/>
          <w:szCs w:val="24"/>
        </w:rPr>
        <w:t xml:space="preserve">Article 8 — Propriété intellectuelle</w:t>
      </w:r>
    </w:p>
    <w:p>
      <w:pPr>
        <w:spacing w:after="100" w:before="0" w:line="264"/>
        <w:jc w:val="both"/>
      </w:pPr>
      <w:r>
        <w:rPr>
          <w:rFonts w:ascii="Calibri" w:cs="Calibri" w:eastAsia="Calibri" w:hAnsi="Calibri"/>
        </w:rPr>
        <w:t xml:space="preserve">Le Service, son code, son nom, son symbole et sa documentation restent la propriété exclusive de l'Éditeur. Le contrat confère au Club un droit d'usage personnel, non exclusif et non cessible, pendant sa durée. Le Club reste propriétaire des contenus qu'il saisit ou publie (actualités, fiches, noms de cours) et en garantit la licéité. Il consent à l'Éditeur le droit de les héberger et de les afficher aux seules fins du Service.</w:t>
      </w:r>
    </w:p>
    <w:p>
      <w:pPr>
        <w:keepNext/>
        <w:spacing w:after="100" w:before="240"/>
      </w:pPr>
      <w:r>
        <w:rPr>
          <w:rFonts w:ascii="Calibri" w:cs="Calibri" w:eastAsia="Calibri" w:hAnsi="Calibri"/>
          <w:b/>
          <w:bCs/>
          <w:color w:val="C2410C"/>
          <w:sz w:val="24"/>
          <w:szCs w:val="24"/>
        </w:rPr>
        <w:t xml:space="preserve">Article 9 — Confidentialité</w:t>
      </w:r>
    </w:p>
    <w:p>
      <w:pPr>
        <w:spacing w:after="100" w:before="0" w:line="264"/>
        <w:jc w:val="both"/>
      </w:pPr>
      <w:r>
        <w:rPr>
          <w:rFonts w:ascii="Calibri" w:cs="Calibri" w:eastAsia="Calibri" w:hAnsi="Calibri"/>
        </w:rPr>
        <w:t xml:space="preserve">Chaque Partie garde confidentielles les informations non publiques de l'autre dont elle a connaissance du fait du contrat (données, tarifs, éléments techniques) et ne les utilise que pour l'exécuter. Cet engagement dure tant que le contrat et pendant </w:t>
      </w:r>
      <w:r>
        <w:rPr>
          <w:rFonts w:ascii="Calibri" w:cs="Calibri" w:eastAsia="Calibri" w:hAnsi="Calibri"/>
          <w:highlight w:val="yellow"/>
        </w:rPr>
        <w:t xml:space="preserve">[2]</w:t>
      </w:r>
      <w:r>
        <w:rPr>
          <w:rFonts w:ascii="Calibri" w:cs="Calibri" w:eastAsia="Calibri" w:hAnsi="Calibri"/>
        </w:rPr>
        <w:t xml:space="preserve"> ans après son terme.</w:t>
      </w:r>
    </w:p>
    <w:p>
      <w:pPr>
        <w:keepNext/>
        <w:spacing w:after="100" w:before="240"/>
      </w:pPr>
      <w:r>
        <w:rPr>
          <w:rFonts w:ascii="Calibri" w:cs="Calibri" w:eastAsia="Calibri" w:hAnsi="Calibri"/>
          <w:b/>
          <w:bCs/>
          <w:color w:val="C2410C"/>
          <w:sz w:val="24"/>
          <w:szCs w:val="24"/>
        </w:rPr>
        <w:t xml:space="preserve">Article 10 — Responsabilité</w:t>
      </w:r>
    </w:p>
    <w:p>
      <w:pPr>
        <w:spacing w:after="100" w:before="0" w:line="264"/>
        <w:jc w:val="both"/>
      </w:pPr>
      <w:r>
        <w:rPr>
          <w:rFonts w:ascii="Calibri" w:cs="Calibri" w:eastAsia="Calibri" w:hAnsi="Calibri"/>
        </w:rPr>
        <w:t xml:space="preserve">Chaque Partie répond des dommages directs causés par sa faute. La responsabilité totale de l'Éditeur au titre du contrat, tous préjudices confondus, est limitée au montant des sommes effectivement versées par le Club au cours des douze mois précédant le fait générateur. L'Éditeur ne répond pas des dommages indirects (perte d'exploitation, perte d'adhérents, atteinte à l'image) ni des conséquences d'un usage du Service contraire au contrat.</w:t>
      </w:r>
    </w:p>
    <w:p>
      <w:pPr>
        <w:spacing w:after="100" w:before="0" w:line="264"/>
        <w:jc w:val="both"/>
      </w:pPr>
      <w:r>
        <w:rPr>
          <w:rFonts w:ascii="Calibri" w:cs="Calibri" w:eastAsia="Calibri" w:hAnsi="Calibri"/>
        </w:rPr>
        <w:t xml:space="preserve">Ces limites ne s'appliquent pas en cas de faute lourde ou dolosive, ni pour les dommages corporels, ni lorsque la loi l'interdit. Les responsabilités propres à chaque Partie en matière de données personnelles sont celles de l'article 82 du RGPD.</w:t>
      </w:r>
    </w:p>
    <w:p>
      <w:pPr>
        <w:spacing w:after="100" w:before="0" w:line="264"/>
        <w:jc w:val="both"/>
      </w:pPr>
      <w:r>
        <w:rPr>
          <w:rFonts w:ascii="Calibri" w:cs="Calibri" w:eastAsia="Calibri" w:hAnsi="Calibri"/>
        </w:rPr>
        <w:t xml:space="preserve">Aucune Partie n'est responsable d'un manquement dû à un cas de force majeure au sens de l'article 1218 du Code civil.</w:t>
      </w:r>
    </w:p>
    <w:p>
      <w:pPr>
        <w:keepNext/>
        <w:spacing w:after="100" w:before="240"/>
      </w:pPr>
      <w:r>
        <w:rPr>
          <w:rFonts w:ascii="Calibri" w:cs="Calibri" w:eastAsia="Calibri" w:hAnsi="Calibri"/>
          <w:b/>
          <w:bCs/>
          <w:color w:val="C2410C"/>
          <w:sz w:val="24"/>
          <w:szCs w:val="24"/>
        </w:rPr>
        <w:t xml:space="preserve">Article 11 — Suspension</w:t>
      </w:r>
    </w:p>
    <w:p>
      <w:pPr>
        <w:spacing w:after="100" w:before="0" w:line="264"/>
        <w:jc w:val="both"/>
      </w:pPr>
      <w:r>
        <w:rPr>
          <w:rFonts w:ascii="Calibri" w:cs="Calibri" w:eastAsia="Calibri" w:hAnsi="Calibri"/>
        </w:rPr>
        <w:t xml:space="preserve">En cas de défaut de paiement non régularisé </w:t>
      </w:r>
      <w:r>
        <w:rPr>
          <w:rFonts w:ascii="Calibri" w:cs="Calibri" w:eastAsia="Calibri" w:hAnsi="Calibri"/>
          <w:highlight w:val="yellow"/>
        </w:rPr>
        <w:t xml:space="preserve">[15]</w:t>
      </w:r>
      <w:r>
        <w:rPr>
          <w:rFonts w:ascii="Calibri" w:cs="Calibri" w:eastAsia="Calibri" w:hAnsi="Calibri"/>
        </w:rPr>
        <w:t xml:space="preserve"> jours après mise en demeure, ou d'usage manifestement illicite ou dangereux du Service, l'Éditeur peut suspendre l'accès du Club. Pendant la suspension, les données sont conservées intactes et le Club peut en demander l'export par courriel à contact@matnexa.fr ; l'accès est rétabli à la régularisation. L'Éditeur peut aussi suspendre immédiatement le Service pour préserver la sécurité des données.</w:t>
      </w:r>
    </w:p>
    <w:p>
      <w:pPr>
        <w:keepNext/>
        <w:spacing w:after="100" w:before="240"/>
      </w:pPr>
      <w:r>
        <w:rPr>
          <w:rFonts w:ascii="Calibri" w:cs="Calibri" w:eastAsia="Calibri" w:hAnsi="Calibri"/>
          <w:b/>
          <w:bCs/>
          <w:color w:val="C2410C"/>
          <w:sz w:val="24"/>
          <w:szCs w:val="24"/>
        </w:rPr>
        <w:t xml:space="preserve">Article 12 — Résiliation et fin du contrat</w:t>
      </w:r>
    </w:p>
    <w:p>
      <w:pPr>
        <w:spacing w:after="100" w:before="0" w:line="264"/>
        <w:jc w:val="both"/>
      </w:pPr>
      <w:r>
        <w:rPr>
          <w:rFonts w:ascii="Calibri" w:cs="Calibri" w:eastAsia="Calibri" w:hAnsi="Calibri"/>
        </w:rPr>
        <w:t xml:space="preserve">Chaque Partie peut résilier le contrat par courriel avec accusé de réception, de plein droit et sans indemnité, en cas de manquement grave de l'autre non réparé </w:t>
      </w:r>
      <w:r>
        <w:rPr>
          <w:rFonts w:ascii="Calibri" w:cs="Calibri" w:eastAsia="Calibri" w:hAnsi="Calibri"/>
          <w:highlight w:val="yellow"/>
        </w:rPr>
        <w:t xml:space="preserve">[30]</w:t>
      </w:r>
      <w:r>
        <w:rPr>
          <w:rFonts w:ascii="Calibri" w:cs="Calibri" w:eastAsia="Calibri" w:hAnsi="Calibri"/>
        </w:rPr>
        <w:t xml:space="preserve"> jours après mise en demeure. Le Club peut également ne pas le renouveler dans les conditions de l'article 4.</w:t>
      </w:r>
    </w:p>
    <w:p>
      <w:pPr>
        <w:spacing w:after="100" w:before="0" w:line="264"/>
        <w:jc w:val="both"/>
      </w:pPr>
      <w:r>
        <w:rPr>
          <w:rFonts w:ascii="Calibri" w:cs="Calibri" w:eastAsia="Calibri" w:hAnsi="Calibri"/>
        </w:rPr>
        <w:t xml:space="preserve">À la fin du contrat, quelle qu'en soit la cause : le Club exporte ses données (formats CSV et JSON proposés par le Service) ; l'Éditeur supprime ensuite le Club et ses données, conformément à l'article 10 de l'accord de traitement des données, et le confirme par écrit sur demande. Les sommes dues pour la période écoulée restent exigibles.</w:t>
      </w:r>
    </w:p>
    <w:p>
      <w:pPr>
        <w:keepNext/>
        <w:spacing w:after="100" w:before="240"/>
      </w:pPr>
      <w:r>
        <w:rPr>
          <w:rFonts w:ascii="Calibri" w:cs="Calibri" w:eastAsia="Calibri" w:hAnsi="Calibri"/>
          <w:b/>
          <w:bCs/>
          <w:color w:val="C2410C"/>
          <w:sz w:val="24"/>
          <w:szCs w:val="24"/>
        </w:rPr>
        <w:t xml:space="preserve">Article 13 — Modification du contrat</w:t>
      </w:r>
    </w:p>
    <w:p>
      <w:pPr>
        <w:spacing w:after="100" w:before="0" w:line="264"/>
        <w:jc w:val="both"/>
      </w:pPr>
      <w:r>
        <w:rPr>
          <w:rFonts w:ascii="Calibri" w:cs="Calibri" w:eastAsia="Calibri" w:hAnsi="Calibri"/>
        </w:rPr>
        <w:t xml:space="preserve">Toute modification du contrat fait l'objet d'un avenant écrit signé des deux Parties, sauf évolution des mentions légales, de la notice de confidentialité ou des fonctionnalités dans les conditions de l'article 2.</w:t>
      </w:r>
    </w:p>
    <w:p>
      <w:pPr>
        <w:keepNext/>
        <w:spacing w:after="100" w:before="240"/>
      </w:pPr>
      <w:r>
        <w:rPr>
          <w:rFonts w:ascii="Calibri" w:cs="Calibri" w:eastAsia="Calibri" w:hAnsi="Calibri"/>
          <w:b/>
          <w:bCs/>
          <w:color w:val="C2410C"/>
          <w:sz w:val="24"/>
          <w:szCs w:val="24"/>
        </w:rPr>
        <w:t xml:space="preserve">Article 14 — Cession</w:t>
      </w:r>
    </w:p>
    <w:p>
      <w:pPr>
        <w:spacing w:after="100" w:before="0" w:line="264"/>
        <w:jc w:val="both"/>
      </w:pPr>
      <w:r>
        <w:rPr>
          <w:rFonts w:ascii="Calibri" w:cs="Calibri" w:eastAsia="Calibri" w:hAnsi="Calibri"/>
        </w:rPr>
        <w:t xml:space="preserve">Le Club ne peut céder le contrat sans l'accord écrit de l'Éditeur. L'Éditeur peut le céder à une société qu'il créerait pour exploiter le Service ou à son successeur, sous réserve d'en informer le Club et de reprendre l'accord de traitement des données dans les mêmes termes.</w:t>
      </w:r>
    </w:p>
    <w:p>
      <w:pPr>
        <w:keepNext/>
        <w:spacing w:after="100" w:before="240"/>
      </w:pPr>
      <w:r>
        <w:rPr>
          <w:rFonts w:ascii="Calibri" w:cs="Calibri" w:eastAsia="Calibri" w:hAnsi="Calibri"/>
          <w:b/>
          <w:bCs/>
          <w:color w:val="C2410C"/>
          <w:sz w:val="24"/>
          <w:szCs w:val="24"/>
        </w:rPr>
        <w:t xml:space="preserve">Article 15 — Droit applicable et litiges</w:t>
      </w:r>
    </w:p>
    <w:p>
      <w:pPr>
        <w:spacing w:after="100" w:before="0" w:line="264"/>
        <w:jc w:val="both"/>
      </w:pPr>
      <w:r>
        <w:rPr>
          <w:rFonts w:ascii="Calibri" w:cs="Calibri" w:eastAsia="Calibri" w:hAnsi="Calibri"/>
        </w:rPr>
        <w:t xml:space="preserve">Le contrat est soumis au droit français. Les Parties s'efforcent de résoudre à l'amiable tout différend. À défaut d'accord dans un délai de </w:t>
      </w:r>
      <w:r>
        <w:rPr>
          <w:rFonts w:ascii="Calibri" w:cs="Calibri" w:eastAsia="Calibri" w:hAnsi="Calibri"/>
          <w:highlight w:val="yellow"/>
        </w:rPr>
        <w:t xml:space="preserve">[30]</w:t>
      </w:r>
      <w:r>
        <w:rPr>
          <w:rFonts w:ascii="Calibri" w:cs="Calibri" w:eastAsia="Calibri" w:hAnsi="Calibri"/>
        </w:rPr>
        <w:t xml:space="preserve"> jours, le litige est porté devant les juridictions compétentes de </w:t>
      </w:r>
      <w:r>
        <w:rPr>
          <w:rFonts w:ascii="Calibri" w:cs="Calibri" w:eastAsia="Calibri" w:hAnsi="Calibri"/>
          <w:highlight w:val="yellow"/>
        </w:rPr>
        <w:t xml:space="preserve">[ville du ressort]</w:t>
      </w:r>
      <w:r>
        <w:rPr>
          <w:rFonts w:ascii="Calibri" w:cs="Calibri" w:eastAsia="Calibri" w:hAnsi="Calibri"/>
        </w:rPr>
        <w:t xml:space="preserve">, sous réserve des règles impératives de compétence. L'invalidité d'une clause n'affecte pas les autres.</w:t>
      </w:r>
    </w:p>
    <w:p>
      <w:pPr>
        <w:keepNext/>
        <w:spacing w:after="100" w:before="240"/>
      </w:pPr>
      <w:r>
        <w:rPr>
          <w:rFonts w:ascii="Calibri" w:cs="Calibri" w:eastAsia="Calibri" w:hAnsi="Calibri"/>
          <w:b/>
          <w:bCs/>
          <w:color w:val="C2410C"/>
          <w:sz w:val="24"/>
          <w:szCs w:val="24"/>
        </w:rPr>
        <w:t xml:space="preserve">Article 16 — Annexes</w:t>
      </w:r>
    </w:p>
    <w:p>
      <w:pPr>
        <w:pStyle w:val="ListParagraph"/>
        <w:numPr>
          <w:ilvl w:val="0"/>
          <w:numId w:val="2"/>
        </w:numPr>
        <w:spacing w:after="50" w:line="264"/>
        <w:jc w:val="both"/>
      </w:pPr>
      <w:r>
        <w:rPr>
          <w:rFonts w:ascii="Calibri" w:cs="Calibri" w:eastAsia="Calibri" w:hAnsi="Calibri"/>
        </w:rPr>
        <w:t xml:space="preserve">Annexe 1 — Accord de traitement des données personnelles (article 28 du RGPD) ;</w:t>
      </w:r>
    </w:p>
    <w:p>
      <w:pPr>
        <w:pStyle w:val="ListParagraph"/>
        <w:numPr>
          <w:ilvl w:val="0"/>
          <w:numId w:val="2"/>
        </w:numPr>
        <w:spacing w:after="50" w:line="264"/>
        <w:jc w:val="both"/>
      </w:pPr>
      <w:r>
        <w:rPr>
          <w:rFonts w:ascii="Calibri" w:cs="Calibri" w:eastAsia="Calibri" w:hAnsi="Calibri"/>
        </w:rPr>
        <w:t xml:space="preserve">Annexe 2 — Document « Droits et rôles » (PDF) ;</w:t>
      </w:r>
    </w:p>
    <w:p>
      <w:pPr>
        <w:pStyle w:val="ListParagraph"/>
        <w:numPr>
          <w:ilvl w:val="0"/>
          <w:numId w:val="2"/>
        </w:numPr>
        <w:spacing w:after="50" w:line="264"/>
        <w:jc w:val="both"/>
      </w:pPr>
      <w:r>
        <w:rPr>
          <w:rFonts w:ascii="Calibri" w:cs="Calibri" w:eastAsia="Calibri" w:hAnsi="Calibri"/>
        </w:rPr>
        <w:t xml:space="preserve">Annexe 3 — Notice d'information à remettre aux adhérents.</w:t>
      </w:r>
    </w:p>
    <w:p>
      <w:pPr>
        <w:spacing w:after="100" w:before="200" w:line="264"/>
        <w:jc w:val="both"/>
      </w:pPr>
      <w:r>
        <w:rPr>
          <w:rFonts w:ascii="Calibri" w:cs="Calibri" w:eastAsia="Calibri" w:hAnsi="Calibri"/>
        </w:rPr>
        <w:t xml:space="preserve">Fait à </w:t>
      </w:r>
      <w:r>
        <w:rPr>
          <w:rFonts w:ascii="Calibri" w:cs="Calibri" w:eastAsia="Calibri" w:hAnsi="Calibri"/>
          <w:highlight w:val="yellow"/>
        </w:rPr>
        <w:t xml:space="preserve">[lieu]</w:t>
      </w:r>
      <w:r>
        <w:rPr>
          <w:rFonts w:ascii="Calibri" w:cs="Calibri" w:eastAsia="Calibri" w:hAnsi="Calibri"/>
        </w:rPr>
        <w:t xml:space="preserve">, le </w:t>
      </w:r>
      <w:r>
        <w:rPr>
          <w:rFonts w:ascii="Calibri" w:cs="Calibri" w:eastAsia="Calibri" w:hAnsi="Calibri"/>
          <w:highlight w:val="yellow"/>
        </w:rPr>
        <w:t xml:space="preserve">[jj/mm/aaaa]</w:t>
      </w:r>
      <w:r>
        <w:rPr>
          <w:rFonts w:ascii="Calibri" w:cs="Calibri" w:eastAsia="Calibri" w:hAnsi="Calibri"/>
        </w:rPr>
        <w:t xml:space="preserve">, en deux exemplaires originaux (ou par signature électronique).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Pour le Club</w:t>
            </w:r>
          </w:p>
        </w:tc>
        <w:tc>
          <w:tcPr>
            <w:tcW w:type="dxa" w:w="4819"/>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Pour l'Éditeur</w:t>
            </w:r>
          </w:p>
        </w:tc>
      </w:tr>
      <w:tr>
        <w:trPr>
          <w:cantSplit/>
          <w:trHeight w:val="1700" w:hRule="atLeast"/>
        </w:trPr>
        <w:tc>
          <w:tcPr>
            <w:tcW w:type="dxa" w:w="481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[Prénom NOM, qualité]</w:t>
            </w:r>
          </w:p>
          <w:p>
            <w:pPr>
              <w:spacing w:after="20"/>
              <w:jc w:val="left"/>
            </w:pPr>
            <w:r>
              <w:rPr>
                <w:rFonts w:ascii="Calibri" w:cs="Calibri" w:eastAsia="Calibri" w:hAnsi="Calibri"/>
              </w:rPr>
              <w:t xml:space="preserve">Lu et approuvé, bon pour accord</w:t>
            </w:r>
          </w:p>
          <w:p>
            <w:pPr>
              <w:spacing w:after="20"/>
              <w:jc w:val="left"/>
            </w:pPr>
            <w:r>
              <w:rPr>
                <w:rFonts w:ascii="Calibri" w:cs="Calibri" w:eastAsia="Calibri" w:hAnsi="Calibri"/>
              </w:rPr>
              <w:t xml:space="preserve">Date : </w:t>
            </w:r>
            <w:r>
              <w:rPr>
                <w:rFonts w:ascii="Calibri" w:cs="Calibri" w:eastAsia="Calibri" w:hAnsi="Calibri"/>
                <w:highlight w:val="yellow"/>
              </w:rPr>
              <w:t xml:space="preserve">[jj/mm/aaaa]</w:t>
            </w:r>
          </w:p>
          <w:p>
            <w:pPr>
              <w:spacing w:after="20"/>
              <w:jc w:val="left"/>
            </w:pPr>
            <w:r>
              <w:rPr>
                <w:rFonts w:ascii="Calibri" w:cs="Calibri" w:eastAsia="Calibri" w:hAnsi="Calibri"/>
              </w:rPr>
              <w:t xml:space="preserve">Signature :</w:t>
            </w:r>
          </w:p>
        </w:tc>
        <w:tc>
          <w:tcPr>
            <w:tcW w:type="dxa" w:w="481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Arthur DARON</w:t>
            </w:r>
          </w:p>
          <w:p>
            <w:pPr>
              <w:spacing w:after="20"/>
              <w:jc w:val="left"/>
            </w:pPr>
            <w:r>
              <w:rPr>
                <w:rFonts w:ascii="Calibri" w:cs="Calibri" w:eastAsia="Calibri" w:hAnsi="Calibri"/>
              </w:rPr>
              <w:t xml:space="preserve">Lu et approuvé, bon pour accord</w:t>
            </w:r>
          </w:p>
          <w:p>
            <w:pPr>
              <w:spacing w:after="20"/>
              <w:jc w:val="left"/>
            </w:pPr>
            <w:r>
              <w:rPr>
                <w:rFonts w:ascii="Calibri" w:cs="Calibri" w:eastAsia="Calibri" w:hAnsi="Calibri"/>
              </w:rPr>
              <w:t xml:space="preserve">Date : </w:t>
            </w:r>
            <w:r>
              <w:rPr>
                <w:rFonts w:ascii="Calibri" w:cs="Calibri" w:eastAsia="Calibri" w:hAnsi="Calibri"/>
                <w:highlight w:val="yellow"/>
              </w:rPr>
              <w:t xml:space="preserve">[jj/mm/aaaa]</w:t>
            </w:r>
          </w:p>
          <w:p>
            <w:pPr>
              <w:spacing w:after="20"/>
              <w:jc w:val="left"/>
            </w:pPr>
            <w:r>
              <w:rPr>
                <w:rFonts w:ascii="Calibri" w:cs="Calibri" w:eastAsia="Calibri" w:hAnsi="Calibri"/>
              </w:rPr>
              <w:t xml:space="preserve">Signature :</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68"/>
        <w:sz w:val="16"/>
        <w:szCs w:val="16"/>
      </w:rPr>
      <w:t xml:space="preserve">Page </w:t>
    </w:r>
    <w:r>
      <w:rPr>
        <w:rFonts w:ascii="Calibri" w:cs="Calibri" w:eastAsia="Calibri" w:hAnsi="Calibri"/>
        <w:color w:val="5A6068"/>
        <w:sz w:val="16"/>
        <w:szCs w:val="16"/>
      </w:rPr>
      <w:fldChar w:fldCharType="begin"/>
      <w:instrText xml:space="preserve">PAGE</w:instrText>
      <w:fldChar w:fldCharType="separate"/>
      <w:fldChar w:fldCharType="end"/>
    </w:r>
    <w:r>
      <w:rPr>
        <w:rFonts w:ascii="Calibri" w:cs="Calibri" w:eastAsia="Calibri" w:hAnsi="Calibri"/>
        <w:color w:val="5A6068"/>
        <w:sz w:val="16"/>
        <w:szCs w:val="16"/>
      </w:rPr>
      <w:t xml:space="preserve"> sur </w:t>
    </w:r>
    <w:r>
      <w:rPr>
        <w:rFonts w:ascii="Calibri" w:cs="Calibri" w:eastAsia="Calibri" w:hAnsi="Calibri"/>
        <w:color w:val="5A60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3C8" w:sz="4" w:space="6"/>
      </w:pBdr>
      <w:spacing w:after="120"/>
    </w:pPr>
    <w:r>
      <w:rPr>
        <w:rFonts w:ascii="Calibri" w:cs="Calibri" w:eastAsia="Calibri" w:hAnsi="Calibri"/>
        <w:b/>
        <w:bCs/>
        <w:color w:val="C2410C"/>
        <w:spacing w:val="60"/>
        <w:sz w:val="16"/>
        <w:szCs w:val="16"/>
      </w:rPr>
      <w:t xml:space="preserve">MATNEXA</w:t>
    </w:r>
    <w:r>
      <w:rPr>
        <w:rFonts w:ascii="Calibri" w:cs="Calibri" w:eastAsia="Calibri" w:hAnsi="Calibri"/>
        <w:color w:val="5A6068"/>
        <w:sz w:val="16"/>
        <w:szCs w:val="16"/>
      </w:rPr>
      <w:t xml:space="preserve">   ·   Contrat de prestation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dc:title>
  <dc:creator>Matnexa</dc:creator>
  <dc:description>Modèle Matnexa — à compléter pour chaque club</dc:description>
  <cp:lastModifiedBy>Un-named</cp:lastModifiedBy>
  <cp:revision>1</cp:revision>
  <dcterms:created xsi:type="dcterms:W3CDTF">2026-10-16T20:28:22.067Z</dcterms:created>
  <dcterms:modified xsi:type="dcterms:W3CDTF">2026-10-16T20:28:22.068Z</dcterms:modified>
</cp:coreProperties>
</file>

<file path=docProps/custom.xml><?xml version="1.0" encoding="utf-8"?>
<Properties xmlns="http://schemas.openxmlformats.org/officeDocument/2006/custom-properties" xmlns:vt="http://schemas.openxmlformats.org/officeDocument/2006/docPropsVTypes"/>
</file>