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43E94" w14:textId="6D3276A4" w:rsidR="00170449" w:rsidRPr="00170449" w:rsidRDefault="00170449" w:rsidP="00170449">
      <w:pPr>
        <w:jc w:val="center"/>
        <w:rPr>
          <w:rFonts w:eastAsia="Times New Roman"/>
          <w:b/>
          <w:sz w:val="48"/>
          <w:szCs w:val="48"/>
        </w:rPr>
      </w:pPr>
      <w:r w:rsidRPr="00170449">
        <w:rPr>
          <w:rFonts w:eastAsia="Times New Roman"/>
          <w:b/>
          <w:sz w:val="48"/>
          <w:szCs w:val="48"/>
        </w:rPr>
        <w:t>CPEN 411 Assignment 4</w:t>
      </w:r>
    </w:p>
    <w:p w14:paraId="186170D6" w14:textId="03920342" w:rsidR="00170449" w:rsidRDefault="00170449" w:rsidP="00170449">
      <w:pPr>
        <w:jc w:val="center"/>
        <w:rPr>
          <w:rFonts w:eastAsia="Times New Roman"/>
          <w:b/>
        </w:rPr>
      </w:pPr>
      <w:r w:rsidRPr="00170449">
        <w:rPr>
          <w:rFonts w:eastAsia="Times New Roman"/>
          <w:b/>
        </w:rPr>
        <w:t>Written by: Pooya Daravi</w:t>
      </w:r>
    </w:p>
    <w:p w14:paraId="1393A769" w14:textId="228A35F9" w:rsidR="00170449" w:rsidRPr="00170449" w:rsidRDefault="00170449" w:rsidP="00170449">
      <w:pPr>
        <w:jc w:val="center"/>
        <w:rPr>
          <w:rFonts w:eastAsia="Times New Roman"/>
          <w:b/>
        </w:rPr>
      </w:pPr>
      <w:r>
        <w:rPr>
          <w:rFonts w:eastAsia="Times New Roman"/>
          <w:b/>
        </w:rPr>
        <w:t>Student Number: 34584145</w:t>
      </w:r>
    </w:p>
    <w:p w14:paraId="5BB47116" w14:textId="77777777" w:rsidR="00B61F7A" w:rsidRDefault="00B61F7A" w:rsidP="003800D9">
      <w:pPr>
        <w:rPr>
          <w:rFonts w:eastAsia="Times New Roman"/>
        </w:rPr>
      </w:pPr>
    </w:p>
    <w:p w14:paraId="053BC282" w14:textId="6F7EEF8A" w:rsidR="002C3C26" w:rsidRPr="00B61F7A" w:rsidRDefault="006E557C" w:rsidP="003800D9">
      <w:pPr>
        <w:rPr>
          <w:rFonts w:eastAsia="Times New Roman"/>
          <w:b/>
          <w:sz w:val="28"/>
          <w:szCs w:val="28"/>
        </w:rPr>
      </w:pPr>
      <w:r w:rsidRPr="00B61F7A">
        <w:rPr>
          <w:rFonts w:eastAsia="Times New Roman"/>
          <w:b/>
          <w:sz w:val="28"/>
          <w:szCs w:val="28"/>
        </w:rPr>
        <w:t>Part (A</w:t>
      </w:r>
      <w:r w:rsidR="002C3C26" w:rsidRPr="00B61F7A">
        <w:rPr>
          <w:rFonts w:eastAsia="Times New Roman"/>
          <w:b/>
          <w:sz w:val="28"/>
          <w:szCs w:val="28"/>
        </w:rPr>
        <w:t>)</w:t>
      </w:r>
    </w:p>
    <w:p w14:paraId="27B16E7F" w14:textId="48978874" w:rsidR="00B61F7A" w:rsidRDefault="00170449" w:rsidP="003800D9">
      <w:pPr>
        <w:rPr>
          <w:rFonts w:eastAsia="Times New Roman"/>
        </w:rPr>
      </w:pPr>
      <w:r>
        <w:rPr>
          <w:rFonts w:eastAsia="Times New Roman"/>
        </w:rPr>
        <w:br/>
      </w:r>
      <w:r w:rsidR="002D15B5">
        <w:rPr>
          <w:rFonts w:eastAsia="Times New Roman"/>
        </w:rPr>
        <w:t xml:space="preserve">We can see that for part (a) the instruction miss rate for the 4-way cache </w:t>
      </w:r>
      <w:r w:rsidR="0021686A">
        <w:rPr>
          <w:rFonts w:eastAsia="Times New Roman"/>
        </w:rPr>
        <w:t xml:space="preserve">(11.1%) </w:t>
      </w:r>
      <w:r w:rsidR="002D15B5">
        <w:rPr>
          <w:rFonts w:eastAsia="Times New Roman"/>
        </w:rPr>
        <w:t>is bigger than the direct-map cache</w:t>
      </w:r>
      <w:r w:rsidR="0021686A">
        <w:rPr>
          <w:rFonts w:eastAsia="Times New Roman"/>
        </w:rPr>
        <w:t xml:space="preserve"> </w:t>
      </w:r>
      <w:r w:rsidR="0021686A">
        <w:rPr>
          <w:rFonts w:eastAsia="Times New Roman"/>
        </w:rPr>
        <w:t>(</w:t>
      </w:r>
      <w:r w:rsidR="0021686A" w:rsidRPr="002C3C26">
        <w:rPr>
          <w:rFonts w:eastAsia="Times New Roman"/>
        </w:rPr>
        <w:t>5</w:t>
      </w:r>
      <w:r w:rsidR="0021686A">
        <w:rPr>
          <w:rFonts w:eastAsia="Times New Roman"/>
        </w:rPr>
        <w:t>.9%)</w:t>
      </w:r>
      <w:r w:rsidR="002D15B5">
        <w:rPr>
          <w:rFonts w:eastAsia="Times New Roman"/>
        </w:rPr>
        <w:t xml:space="preserve">. This could be due to the smaller block size of the 4-way cache. </w:t>
      </w:r>
      <w:r w:rsidR="000905BE">
        <w:rPr>
          <w:rFonts w:eastAsia="Times New Roman"/>
        </w:rPr>
        <w:t xml:space="preserve">It appears that for the fpppp benchmark the instructions might be </w:t>
      </w:r>
      <w:r w:rsidR="002D15B5">
        <w:rPr>
          <w:rFonts w:eastAsia="Times New Roman"/>
        </w:rPr>
        <w:t>generally consecutively stored in</w:t>
      </w:r>
      <w:r w:rsidR="000905BE">
        <w:rPr>
          <w:rFonts w:eastAsia="Times New Roman"/>
        </w:rPr>
        <w:t xml:space="preserve"> instruction memory (with little </w:t>
      </w:r>
      <w:r w:rsidR="002D15B5">
        <w:rPr>
          <w:rFonts w:eastAsia="Times New Roman"/>
        </w:rPr>
        <w:t xml:space="preserve">jumps), it would </w:t>
      </w:r>
      <w:r w:rsidR="000905BE">
        <w:rPr>
          <w:rFonts w:eastAsia="Times New Roman"/>
        </w:rPr>
        <w:t xml:space="preserve">therefore </w:t>
      </w:r>
      <w:r w:rsidR="002D15B5">
        <w:rPr>
          <w:rFonts w:eastAsia="Times New Roman"/>
        </w:rPr>
        <w:t xml:space="preserve">be very </w:t>
      </w:r>
      <w:r w:rsidR="000905BE">
        <w:rPr>
          <w:rFonts w:eastAsia="Times New Roman"/>
        </w:rPr>
        <w:t>helpful</w:t>
      </w:r>
      <w:r w:rsidR="002D15B5">
        <w:rPr>
          <w:rFonts w:eastAsia="Times New Roman"/>
        </w:rPr>
        <w:t xml:space="preserve"> </w:t>
      </w:r>
      <w:r w:rsidR="000905BE">
        <w:rPr>
          <w:rFonts w:eastAsia="Times New Roman"/>
        </w:rPr>
        <w:t>for</w:t>
      </w:r>
      <w:r w:rsidR="0021686A">
        <w:rPr>
          <w:rFonts w:eastAsia="Times New Roman"/>
        </w:rPr>
        <w:t xml:space="preserve"> the miss rate to</w:t>
      </w:r>
      <w:r w:rsidR="002D15B5">
        <w:rPr>
          <w:rFonts w:eastAsia="Times New Roman"/>
        </w:rPr>
        <w:t xml:space="preserve"> have a block size twice as big. Therefore, the 4-way cache has </w:t>
      </w:r>
      <w:r w:rsidR="0021686A">
        <w:rPr>
          <w:rFonts w:eastAsia="Times New Roman"/>
        </w:rPr>
        <w:t xml:space="preserve">roughly </w:t>
      </w:r>
      <w:r w:rsidR="002D15B5">
        <w:rPr>
          <w:rFonts w:eastAsia="Times New Roman"/>
        </w:rPr>
        <w:t>twice the miss rate</w:t>
      </w:r>
      <w:r w:rsidR="002C3C26">
        <w:rPr>
          <w:rFonts w:eastAsia="Times New Roman"/>
        </w:rPr>
        <w:t xml:space="preserve"> </w:t>
      </w:r>
      <w:r w:rsidR="002D15B5">
        <w:rPr>
          <w:rFonts w:eastAsia="Times New Roman"/>
        </w:rPr>
        <w:t>of the direct map cache. (it seems that for th</w:t>
      </w:r>
      <w:r w:rsidR="0021686A">
        <w:rPr>
          <w:rFonts w:eastAsia="Times New Roman"/>
        </w:rPr>
        <w:t>is</w:t>
      </w:r>
      <w:r w:rsidR="002D15B5">
        <w:rPr>
          <w:rFonts w:eastAsia="Times New Roman"/>
        </w:rPr>
        <w:t xml:space="preserve"> fpppp test </w:t>
      </w:r>
      <w:r w:rsidR="0021686A">
        <w:rPr>
          <w:rFonts w:eastAsia="Times New Roman"/>
        </w:rPr>
        <w:t xml:space="preserve">for example, </w:t>
      </w:r>
      <w:r w:rsidR="002C3C26">
        <w:rPr>
          <w:rFonts w:eastAsia="Times New Roman"/>
        </w:rPr>
        <w:t xml:space="preserve">conflict misses are not substantial) This </w:t>
      </w:r>
      <w:r w:rsidR="0021686A">
        <w:rPr>
          <w:rFonts w:eastAsia="Times New Roman"/>
        </w:rPr>
        <w:t xml:space="preserve">hypothesis </w:t>
      </w:r>
      <w:r w:rsidR="002C3C26">
        <w:rPr>
          <w:rFonts w:eastAsia="Times New Roman"/>
        </w:rPr>
        <w:t xml:space="preserve">can be verified by increasing the block size of the 4-way cache to 64B while maintaining its capacity to get a miss rate of </w:t>
      </w:r>
      <w:r w:rsidR="002C3C26" w:rsidRPr="002C3C26">
        <w:rPr>
          <w:rFonts w:eastAsia="Times New Roman"/>
        </w:rPr>
        <w:t>5.</w:t>
      </w:r>
      <w:r w:rsidR="002C3C26">
        <w:rPr>
          <w:rFonts w:eastAsia="Times New Roman"/>
        </w:rPr>
        <w:t>6</w:t>
      </w:r>
      <w:r w:rsidR="002C3C26" w:rsidRPr="002C3C26">
        <w:rPr>
          <w:rFonts w:eastAsia="Times New Roman"/>
        </w:rPr>
        <w:t>%</w:t>
      </w:r>
      <w:r w:rsidR="0021686A">
        <w:rPr>
          <w:rFonts w:eastAsia="Times New Roman"/>
        </w:rPr>
        <w:t>.</w:t>
      </w:r>
      <w:r w:rsidR="002C3C26">
        <w:rPr>
          <w:rFonts w:eastAsia="Times New Roman"/>
        </w:rPr>
        <w:t xml:space="preserve"> </w:t>
      </w:r>
      <w:r w:rsidR="0021686A">
        <w:rPr>
          <w:rFonts w:eastAsia="Times New Roman"/>
        </w:rPr>
        <w:t xml:space="preserve">This is </w:t>
      </w:r>
      <w:r w:rsidR="002C3C26">
        <w:rPr>
          <w:rFonts w:eastAsia="Times New Roman"/>
        </w:rPr>
        <w:t xml:space="preserve">a slightly better result than the direct map version due a decrease in conflict misses. </w:t>
      </w:r>
      <w:r w:rsidR="0021686A">
        <w:rPr>
          <w:rFonts w:eastAsia="Times New Roman"/>
        </w:rPr>
        <w:t xml:space="preserve">It is expected that this </w:t>
      </w:r>
      <w:r w:rsidR="002C3C26">
        <w:rPr>
          <w:rFonts w:eastAsia="Times New Roman"/>
        </w:rPr>
        <w:t xml:space="preserve">improvement would be </w:t>
      </w:r>
      <w:r w:rsidR="0021686A">
        <w:rPr>
          <w:rFonts w:eastAsia="Times New Roman"/>
        </w:rPr>
        <w:t>relatively small</w:t>
      </w:r>
      <w:r w:rsidR="002C3C26">
        <w:rPr>
          <w:rFonts w:eastAsia="Times New Roman"/>
        </w:rPr>
        <w:t xml:space="preserve"> since the instructions are generally </w:t>
      </w:r>
      <w:r w:rsidR="0021686A">
        <w:rPr>
          <w:rFonts w:eastAsia="Times New Roman"/>
        </w:rPr>
        <w:t>consecutive with different addresses and</w:t>
      </w:r>
      <w:r w:rsidR="002C3C26">
        <w:rPr>
          <w:rFonts w:eastAsia="Times New Roman"/>
        </w:rPr>
        <w:t xml:space="preserve"> therefore conflict misses are not as substantial for instruction caches as they are for data caches.</w:t>
      </w:r>
    </w:p>
    <w:p w14:paraId="333105D1" w14:textId="375CF1E8" w:rsidR="002C3C26" w:rsidRPr="00B61F7A" w:rsidRDefault="00170449" w:rsidP="003800D9">
      <w:pPr>
        <w:rPr>
          <w:rFonts w:eastAsia="Times New Roman"/>
          <w:b/>
          <w:sz w:val="28"/>
          <w:szCs w:val="28"/>
        </w:rPr>
      </w:pPr>
      <w:r>
        <w:rPr>
          <w:rFonts w:eastAsia="Times New Roman"/>
        </w:rPr>
        <w:br/>
      </w:r>
      <w:r w:rsidR="006E557C" w:rsidRPr="00B61F7A">
        <w:rPr>
          <w:rFonts w:eastAsia="Times New Roman"/>
          <w:b/>
          <w:sz w:val="28"/>
          <w:szCs w:val="28"/>
        </w:rPr>
        <w:t>Part (B</w:t>
      </w:r>
      <w:r w:rsidR="002C3C26" w:rsidRPr="00B61F7A">
        <w:rPr>
          <w:rFonts w:eastAsia="Times New Roman"/>
          <w:b/>
          <w:sz w:val="28"/>
          <w:szCs w:val="28"/>
        </w:rPr>
        <w:t>)</w:t>
      </w:r>
    </w:p>
    <w:p w14:paraId="6007D634" w14:textId="77777777" w:rsidR="00B61F7A" w:rsidRDefault="00B61F7A" w:rsidP="003800D9">
      <w:pPr>
        <w:rPr>
          <w:rFonts w:eastAsia="Times New Roman"/>
        </w:rPr>
      </w:pPr>
    </w:p>
    <w:p w14:paraId="018AF2AB" w14:textId="0272CE5C" w:rsidR="00AA0D79" w:rsidRDefault="002C3C26" w:rsidP="002C3C26">
      <w:pPr>
        <w:rPr>
          <w:rFonts w:eastAsia="Times New Roman"/>
        </w:rPr>
      </w:pPr>
      <w:r>
        <w:rPr>
          <w:rFonts w:eastAsia="Times New Roman"/>
        </w:rPr>
        <w:t xml:space="preserve">The load and store miss rates are very low. This shows that programs have a high degree of locality that would decrease the miss rates to under 1%. We also observe that the store miss rate is </w:t>
      </w:r>
      <w:r w:rsidR="00AC122A">
        <w:rPr>
          <w:rFonts w:eastAsia="Times New Roman"/>
        </w:rPr>
        <w:t>about 1/3 of load miss rates. This could be due to the temporal precedence these two instructions. Naturally it would be common practice for programs to load data, apply computation to them and save them back. This means that if the load and save are close enough the load would be a cache miss while the store would result in a cache hit. The relative</w:t>
      </w:r>
      <w:r w:rsidR="0021686A">
        <w:rPr>
          <w:rFonts w:eastAsia="Times New Roman"/>
        </w:rPr>
        <w:t>ly high rate of write-back rate could be due to the fact that a lot of the stored values are being evicted due to misses. Increasing the capacity and associativity of the cache would be one simple but costly solution to improve this rate:</w:t>
      </w:r>
    </w:p>
    <w:p w14:paraId="4A8C2A0A" w14:textId="77777777" w:rsidR="00AA0D79" w:rsidRDefault="00AA0D79" w:rsidP="002C3C26">
      <w:pPr>
        <w:rPr>
          <w:rFonts w:eastAsia="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562"/>
        <w:gridCol w:w="851"/>
        <w:gridCol w:w="850"/>
        <w:gridCol w:w="851"/>
        <w:gridCol w:w="742"/>
      </w:tblGrid>
      <w:tr w:rsidR="00AA0D79" w14:paraId="05D050DE" w14:textId="77777777" w:rsidTr="00AA0D79">
        <w:tc>
          <w:tcPr>
            <w:tcW w:w="562" w:type="dxa"/>
            <w:vAlign w:val="bottom"/>
          </w:tcPr>
          <w:p w14:paraId="022444CE" w14:textId="77777777" w:rsidR="00AA0D79" w:rsidRDefault="00AA0D79" w:rsidP="00AA0D79">
            <w:pPr>
              <w:rPr>
                <w:rFonts w:eastAsia="Times New Roman"/>
              </w:rPr>
            </w:pPr>
          </w:p>
        </w:tc>
        <w:tc>
          <w:tcPr>
            <w:tcW w:w="851" w:type="dxa"/>
            <w:vAlign w:val="bottom"/>
          </w:tcPr>
          <w:p w14:paraId="447053CC" w14:textId="5B6E711F" w:rsidR="00AA0D79" w:rsidRDefault="00AA0D79" w:rsidP="00AA0D79">
            <w:pPr>
              <w:rPr>
                <w:rFonts w:eastAsia="Times New Roman"/>
              </w:rPr>
            </w:pPr>
            <w:r>
              <w:rPr>
                <w:rFonts w:ascii="Calibri" w:eastAsia="Times New Roman" w:hAnsi="Calibri"/>
                <w:color w:val="000000"/>
              </w:rPr>
              <w:t>fpppp</w:t>
            </w:r>
          </w:p>
        </w:tc>
        <w:tc>
          <w:tcPr>
            <w:tcW w:w="850" w:type="dxa"/>
            <w:vAlign w:val="bottom"/>
          </w:tcPr>
          <w:p w14:paraId="244BA576" w14:textId="36F6A26E" w:rsidR="00AA0D79" w:rsidRDefault="00AA0D79" w:rsidP="00AA0D79">
            <w:pPr>
              <w:rPr>
                <w:rFonts w:eastAsia="Times New Roman"/>
              </w:rPr>
            </w:pPr>
            <w:r>
              <w:rPr>
                <w:rFonts w:ascii="Calibri" w:eastAsia="Times New Roman" w:hAnsi="Calibri"/>
                <w:color w:val="000000"/>
              </w:rPr>
              <w:t>gcc</w:t>
            </w:r>
          </w:p>
        </w:tc>
        <w:tc>
          <w:tcPr>
            <w:tcW w:w="851" w:type="dxa"/>
            <w:vAlign w:val="bottom"/>
          </w:tcPr>
          <w:p w14:paraId="05175D03" w14:textId="2EC22C94" w:rsidR="00AA0D79" w:rsidRDefault="00AA0D79" w:rsidP="00AA0D79">
            <w:pPr>
              <w:rPr>
                <w:rFonts w:eastAsia="Times New Roman"/>
              </w:rPr>
            </w:pPr>
            <w:r>
              <w:rPr>
                <w:rFonts w:ascii="Calibri" w:eastAsia="Times New Roman" w:hAnsi="Calibri"/>
                <w:color w:val="000000"/>
              </w:rPr>
              <w:t>go</w:t>
            </w:r>
          </w:p>
        </w:tc>
        <w:tc>
          <w:tcPr>
            <w:tcW w:w="742" w:type="dxa"/>
            <w:vAlign w:val="bottom"/>
          </w:tcPr>
          <w:p w14:paraId="6C57F7F5" w14:textId="6A3502B4" w:rsidR="00AA0D79" w:rsidRDefault="00AA0D79" w:rsidP="00AA0D79">
            <w:pPr>
              <w:rPr>
                <w:rFonts w:eastAsia="Times New Roman"/>
              </w:rPr>
            </w:pPr>
            <w:r>
              <w:rPr>
                <w:rFonts w:ascii="Calibri" w:eastAsia="Times New Roman" w:hAnsi="Calibri"/>
                <w:color w:val="000000"/>
              </w:rPr>
              <w:t>vpr</w:t>
            </w:r>
          </w:p>
        </w:tc>
      </w:tr>
      <w:tr w:rsidR="00AA0D79" w14:paraId="493CC080" w14:textId="77777777" w:rsidTr="00AA0D79">
        <w:tc>
          <w:tcPr>
            <w:tcW w:w="562" w:type="dxa"/>
            <w:vAlign w:val="bottom"/>
          </w:tcPr>
          <w:p w14:paraId="23BB06A1" w14:textId="0EB5A489" w:rsidR="00AA0D79" w:rsidRDefault="00AA0D79" w:rsidP="00AA0D79">
            <w:pPr>
              <w:rPr>
                <w:rFonts w:eastAsia="Times New Roman"/>
              </w:rPr>
            </w:pPr>
            <w:r>
              <w:rPr>
                <w:rFonts w:ascii="Calibri" w:eastAsia="Times New Roman" w:hAnsi="Calibri"/>
                <w:color w:val="000000"/>
              </w:rPr>
              <w:t>LD</w:t>
            </w:r>
          </w:p>
        </w:tc>
        <w:tc>
          <w:tcPr>
            <w:tcW w:w="851" w:type="dxa"/>
            <w:vAlign w:val="bottom"/>
          </w:tcPr>
          <w:p w14:paraId="58FA07E2" w14:textId="3B147CE1" w:rsidR="00AA0D79" w:rsidRDefault="00AA0D79" w:rsidP="00AA0D79">
            <w:pPr>
              <w:rPr>
                <w:rFonts w:eastAsia="Times New Roman"/>
              </w:rPr>
            </w:pPr>
            <w:r>
              <w:rPr>
                <w:rFonts w:ascii="Calibri" w:eastAsia="Times New Roman" w:hAnsi="Calibri"/>
                <w:color w:val="000000"/>
              </w:rPr>
              <w:t>0.16</w:t>
            </w:r>
          </w:p>
        </w:tc>
        <w:tc>
          <w:tcPr>
            <w:tcW w:w="850" w:type="dxa"/>
            <w:vAlign w:val="bottom"/>
          </w:tcPr>
          <w:p w14:paraId="0B0D4830" w14:textId="6E441356" w:rsidR="00AA0D79" w:rsidRDefault="00AA0D79" w:rsidP="00AA0D79">
            <w:pPr>
              <w:rPr>
                <w:rFonts w:eastAsia="Times New Roman"/>
              </w:rPr>
            </w:pPr>
            <w:r>
              <w:rPr>
                <w:rFonts w:ascii="Calibri" w:eastAsia="Times New Roman" w:hAnsi="Calibri"/>
                <w:color w:val="000000"/>
              </w:rPr>
              <w:t>0.99</w:t>
            </w:r>
          </w:p>
        </w:tc>
        <w:tc>
          <w:tcPr>
            <w:tcW w:w="851" w:type="dxa"/>
            <w:vAlign w:val="bottom"/>
          </w:tcPr>
          <w:p w14:paraId="1797202C" w14:textId="77815719" w:rsidR="00AA0D79" w:rsidRDefault="00AA0D79" w:rsidP="00AA0D79">
            <w:pPr>
              <w:rPr>
                <w:rFonts w:eastAsia="Times New Roman"/>
              </w:rPr>
            </w:pPr>
            <w:r>
              <w:rPr>
                <w:rFonts w:ascii="Calibri" w:eastAsia="Times New Roman" w:hAnsi="Calibri"/>
                <w:color w:val="000000"/>
              </w:rPr>
              <w:t>0.92</w:t>
            </w:r>
          </w:p>
        </w:tc>
        <w:tc>
          <w:tcPr>
            <w:tcW w:w="742" w:type="dxa"/>
            <w:vAlign w:val="bottom"/>
          </w:tcPr>
          <w:p w14:paraId="1BB9FD72" w14:textId="0A750A21" w:rsidR="00AA0D79" w:rsidRDefault="00AA0D79" w:rsidP="00AA0D79">
            <w:pPr>
              <w:rPr>
                <w:rFonts w:eastAsia="Times New Roman"/>
              </w:rPr>
            </w:pPr>
            <w:r>
              <w:rPr>
                <w:rFonts w:ascii="Calibri" w:eastAsia="Times New Roman" w:hAnsi="Calibri"/>
                <w:color w:val="000000"/>
              </w:rPr>
              <w:t>1.8</w:t>
            </w:r>
          </w:p>
        </w:tc>
      </w:tr>
      <w:tr w:rsidR="00AA0D79" w14:paraId="7F8C113E" w14:textId="77777777" w:rsidTr="00AA0D79">
        <w:tc>
          <w:tcPr>
            <w:tcW w:w="562" w:type="dxa"/>
            <w:vAlign w:val="bottom"/>
          </w:tcPr>
          <w:p w14:paraId="3AB1D048" w14:textId="3C7C5088" w:rsidR="00AA0D79" w:rsidRDefault="00AA0D79" w:rsidP="00AA0D79">
            <w:pPr>
              <w:rPr>
                <w:rFonts w:eastAsia="Times New Roman"/>
              </w:rPr>
            </w:pPr>
            <w:r>
              <w:rPr>
                <w:rFonts w:ascii="Calibri" w:eastAsia="Times New Roman" w:hAnsi="Calibri"/>
                <w:color w:val="000000"/>
              </w:rPr>
              <w:t>ST</w:t>
            </w:r>
          </w:p>
        </w:tc>
        <w:tc>
          <w:tcPr>
            <w:tcW w:w="851" w:type="dxa"/>
            <w:vAlign w:val="bottom"/>
          </w:tcPr>
          <w:p w14:paraId="52903591" w14:textId="6CB916FA" w:rsidR="00AA0D79" w:rsidRDefault="00AA0D79" w:rsidP="00AA0D79">
            <w:pPr>
              <w:rPr>
                <w:rFonts w:eastAsia="Times New Roman"/>
              </w:rPr>
            </w:pPr>
            <w:r>
              <w:rPr>
                <w:rFonts w:ascii="Calibri" w:eastAsia="Times New Roman" w:hAnsi="Calibri"/>
                <w:color w:val="000000"/>
              </w:rPr>
              <w:t>0.038</w:t>
            </w:r>
          </w:p>
        </w:tc>
        <w:tc>
          <w:tcPr>
            <w:tcW w:w="850" w:type="dxa"/>
            <w:vAlign w:val="bottom"/>
          </w:tcPr>
          <w:p w14:paraId="0163EC99" w14:textId="4E6F00A0" w:rsidR="00AA0D79" w:rsidRDefault="00AA0D79" w:rsidP="00AA0D79">
            <w:pPr>
              <w:rPr>
                <w:rFonts w:eastAsia="Times New Roman"/>
              </w:rPr>
            </w:pPr>
            <w:r>
              <w:rPr>
                <w:rFonts w:ascii="Calibri" w:eastAsia="Times New Roman" w:hAnsi="Calibri"/>
                <w:color w:val="000000"/>
              </w:rPr>
              <w:t>0.38</w:t>
            </w:r>
          </w:p>
        </w:tc>
        <w:tc>
          <w:tcPr>
            <w:tcW w:w="851" w:type="dxa"/>
            <w:vAlign w:val="bottom"/>
          </w:tcPr>
          <w:p w14:paraId="717852CA" w14:textId="24EB2FE4" w:rsidR="00AA0D79" w:rsidRDefault="00AA0D79" w:rsidP="00AA0D79">
            <w:pPr>
              <w:rPr>
                <w:rFonts w:eastAsia="Times New Roman"/>
              </w:rPr>
            </w:pPr>
            <w:r>
              <w:rPr>
                <w:rFonts w:ascii="Calibri" w:eastAsia="Times New Roman" w:hAnsi="Calibri"/>
                <w:color w:val="000000"/>
              </w:rPr>
              <w:t>0.52</w:t>
            </w:r>
          </w:p>
        </w:tc>
        <w:tc>
          <w:tcPr>
            <w:tcW w:w="742" w:type="dxa"/>
            <w:vAlign w:val="bottom"/>
          </w:tcPr>
          <w:p w14:paraId="300D0BD7" w14:textId="4712382E" w:rsidR="00AA0D79" w:rsidRDefault="00AA0D79" w:rsidP="00AA0D79">
            <w:pPr>
              <w:rPr>
                <w:rFonts w:eastAsia="Times New Roman"/>
              </w:rPr>
            </w:pPr>
            <w:r>
              <w:rPr>
                <w:rFonts w:ascii="Calibri" w:eastAsia="Times New Roman" w:hAnsi="Calibri"/>
                <w:color w:val="000000"/>
              </w:rPr>
              <w:t>0.59</w:t>
            </w:r>
          </w:p>
        </w:tc>
      </w:tr>
      <w:tr w:rsidR="00AA0D79" w14:paraId="6A20D303" w14:textId="77777777" w:rsidTr="00AA0D79">
        <w:tc>
          <w:tcPr>
            <w:tcW w:w="562" w:type="dxa"/>
            <w:vAlign w:val="bottom"/>
          </w:tcPr>
          <w:p w14:paraId="3B7E6512" w14:textId="619259F2" w:rsidR="00AA0D79" w:rsidRDefault="00AA0D79" w:rsidP="00AA0D79">
            <w:pPr>
              <w:rPr>
                <w:rFonts w:eastAsia="Times New Roman"/>
              </w:rPr>
            </w:pPr>
            <w:r>
              <w:rPr>
                <w:rFonts w:ascii="Calibri" w:eastAsia="Times New Roman" w:hAnsi="Calibri"/>
                <w:color w:val="000000"/>
              </w:rPr>
              <w:t>WB</w:t>
            </w:r>
          </w:p>
        </w:tc>
        <w:tc>
          <w:tcPr>
            <w:tcW w:w="851" w:type="dxa"/>
            <w:vAlign w:val="bottom"/>
          </w:tcPr>
          <w:p w14:paraId="7AF82C97" w14:textId="63A93ADD" w:rsidR="00AA0D79" w:rsidRDefault="00AA0D79" w:rsidP="00AA0D79">
            <w:pPr>
              <w:rPr>
                <w:rFonts w:eastAsia="Times New Roman"/>
              </w:rPr>
            </w:pPr>
            <w:r>
              <w:rPr>
                <w:rFonts w:ascii="Calibri" w:eastAsia="Times New Roman" w:hAnsi="Calibri"/>
                <w:color w:val="000000"/>
              </w:rPr>
              <w:t>0.44</w:t>
            </w:r>
          </w:p>
        </w:tc>
        <w:tc>
          <w:tcPr>
            <w:tcW w:w="850" w:type="dxa"/>
            <w:vAlign w:val="bottom"/>
          </w:tcPr>
          <w:p w14:paraId="1DD3A0E2" w14:textId="20C41F9F" w:rsidR="00AA0D79" w:rsidRDefault="00AA0D79" w:rsidP="00AA0D79">
            <w:pPr>
              <w:rPr>
                <w:rFonts w:eastAsia="Times New Roman"/>
              </w:rPr>
            </w:pPr>
            <w:r>
              <w:rPr>
                <w:rFonts w:ascii="Calibri" w:eastAsia="Times New Roman" w:hAnsi="Calibri"/>
                <w:color w:val="000000"/>
              </w:rPr>
              <w:t>2.2</w:t>
            </w:r>
          </w:p>
        </w:tc>
        <w:tc>
          <w:tcPr>
            <w:tcW w:w="851" w:type="dxa"/>
            <w:vAlign w:val="bottom"/>
          </w:tcPr>
          <w:p w14:paraId="5ACFB3AD" w14:textId="6D98FA38" w:rsidR="00AA0D79" w:rsidRDefault="00AA0D79" w:rsidP="00AA0D79">
            <w:pPr>
              <w:rPr>
                <w:rFonts w:eastAsia="Times New Roman"/>
              </w:rPr>
            </w:pPr>
            <w:r>
              <w:rPr>
                <w:rFonts w:ascii="Calibri" w:eastAsia="Times New Roman" w:hAnsi="Calibri"/>
                <w:color w:val="000000"/>
              </w:rPr>
              <w:t>3.2</w:t>
            </w:r>
          </w:p>
        </w:tc>
        <w:tc>
          <w:tcPr>
            <w:tcW w:w="742" w:type="dxa"/>
            <w:vAlign w:val="bottom"/>
          </w:tcPr>
          <w:p w14:paraId="6D2CC8D0" w14:textId="0B35E894" w:rsidR="00AA0D79" w:rsidRDefault="00AA0D79" w:rsidP="00AA0D79">
            <w:pPr>
              <w:rPr>
                <w:rFonts w:eastAsia="Times New Roman"/>
              </w:rPr>
            </w:pPr>
            <w:r>
              <w:rPr>
                <w:rFonts w:ascii="Calibri" w:eastAsia="Times New Roman" w:hAnsi="Calibri"/>
                <w:color w:val="000000"/>
              </w:rPr>
              <w:t>5.0</w:t>
            </w:r>
          </w:p>
        </w:tc>
      </w:tr>
    </w:tbl>
    <w:p w14:paraId="4B6AC5B0" w14:textId="35D8ECAE" w:rsidR="00AC122A" w:rsidRDefault="00AA0D79" w:rsidP="00AA0D79">
      <w:pPr>
        <w:jc w:val="right"/>
        <w:rPr>
          <w:rFonts w:eastAsia="Times New Roman"/>
        </w:rPr>
      </w:pPr>
      <w:r>
        <w:rPr>
          <w:rFonts w:eastAsia="Times New Roman"/>
          <w:noProof/>
        </w:rPr>
        <w:drawing>
          <wp:inline distT="0" distB="0" distL="0" distR="0" wp14:anchorId="5DFCB257" wp14:editId="0998D49B">
            <wp:extent cx="2881447" cy="228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00006" cy="2303280"/>
                    </a:xfrm>
                    <a:prstGeom prst="rect">
                      <a:avLst/>
                    </a:prstGeom>
                  </pic:spPr>
                </pic:pic>
              </a:graphicData>
            </a:graphic>
          </wp:inline>
        </w:drawing>
      </w:r>
    </w:p>
    <w:p w14:paraId="5A2EC05C" w14:textId="64E76117" w:rsidR="00AC122A" w:rsidRDefault="002A4961" w:rsidP="002A4961">
      <w:pPr>
        <w:jc w:val="center"/>
        <w:rPr>
          <w:rFonts w:eastAsia="Times New Roman"/>
        </w:rPr>
      </w:pPr>
      <w:r>
        <w:rPr>
          <w:rFonts w:eastAsia="Times New Roman"/>
        </w:rPr>
        <w:t>Table 1 and Figure 1 – Load/store miss and write-back rates for part B</w:t>
      </w:r>
    </w:p>
    <w:p w14:paraId="1755B53D" w14:textId="57C9317C" w:rsidR="003800D9" w:rsidRPr="002A4961" w:rsidRDefault="00B61F7A" w:rsidP="003800D9">
      <w:pPr>
        <w:rPr>
          <w:rFonts w:eastAsia="Times New Roman"/>
        </w:rPr>
      </w:pPr>
      <w:r w:rsidRPr="00B61F7A">
        <w:rPr>
          <w:rFonts w:eastAsia="Times New Roman"/>
          <w:b/>
          <w:sz w:val="28"/>
          <w:szCs w:val="28"/>
        </w:rPr>
        <w:lastRenderedPageBreak/>
        <w:t>Part (C)</w:t>
      </w:r>
    </w:p>
    <w:p w14:paraId="406D8B53" w14:textId="77777777" w:rsidR="003544C7" w:rsidRDefault="003544C7" w:rsidP="003800D9">
      <w:pPr>
        <w:rPr>
          <w:rFonts w:eastAsia="Times New Roman"/>
        </w:rPr>
      </w:pPr>
    </w:p>
    <w:p w14:paraId="4586D834" w14:textId="2DB331B9" w:rsidR="003544C7" w:rsidRDefault="003544C7" w:rsidP="003800D9">
      <w:pPr>
        <w:rPr>
          <w:rFonts w:eastAsia="Times New Roman"/>
        </w:rPr>
      </w:pPr>
      <w:r>
        <w:rPr>
          <w:rFonts w:eastAsia="Times New Roman"/>
        </w:rPr>
        <w:t>For this part I have designed a chain structure that would allow for simulation of an arbitrary number of levels of cache:</w:t>
      </w:r>
    </w:p>
    <w:p w14:paraId="4C63DA1C" w14:textId="77777777" w:rsidR="003544C7" w:rsidRDefault="003544C7" w:rsidP="003800D9">
      <w:pPr>
        <w:rPr>
          <w:rFonts w:eastAsia="Times New Roman"/>
        </w:rPr>
      </w:pPr>
    </w:p>
    <w:p w14:paraId="4E875FF8" w14:textId="6179561E" w:rsidR="003544C7" w:rsidRDefault="00A6601B" w:rsidP="00A6601B">
      <w:pPr>
        <w:jc w:val="center"/>
        <w:rPr>
          <w:rFonts w:eastAsia="Times New Roman"/>
        </w:rPr>
      </w:pPr>
      <w:r>
        <w:rPr>
          <w:rFonts w:eastAsia="Times New Roman"/>
          <w:noProof/>
        </w:rPr>
        <w:drawing>
          <wp:inline distT="0" distB="0" distL="0" distR="0" wp14:anchorId="06E9B95C" wp14:editId="31E7B45E">
            <wp:extent cx="4737735" cy="3661115"/>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71124_2023488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0854" cy="3671253"/>
                    </a:xfrm>
                    <a:prstGeom prst="rect">
                      <a:avLst/>
                    </a:prstGeom>
                  </pic:spPr>
                </pic:pic>
              </a:graphicData>
            </a:graphic>
          </wp:inline>
        </w:drawing>
      </w:r>
    </w:p>
    <w:p w14:paraId="4720F6E1" w14:textId="7D33E839" w:rsidR="00B61F7A" w:rsidRDefault="00B61F7A" w:rsidP="00A6601B">
      <w:pPr>
        <w:jc w:val="center"/>
        <w:rPr>
          <w:rFonts w:eastAsia="Times New Roman"/>
        </w:rPr>
      </w:pPr>
      <w:r>
        <w:rPr>
          <w:rFonts w:eastAsia="Times New Roman"/>
        </w:rPr>
        <w:t>Figure 2 – Chain cash state diagram designed for part C</w:t>
      </w:r>
    </w:p>
    <w:p w14:paraId="3A799E29" w14:textId="77777777" w:rsidR="003544C7" w:rsidRDefault="003544C7" w:rsidP="003800D9">
      <w:pPr>
        <w:rPr>
          <w:rFonts w:eastAsia="Times New Roman"/>
        </w:rPr>
      </w:pPr>
    </w:p>
    <w:p w14:paraId="5A530880" w14:textId="5C7C3DFC" w:rsidR="00B61F7A" w:rsidRDefault="00A6601B" w:rsidP="003800D9">
      <w:pPr>
        <w:rPr>
          <w:rFonts w:eastAsia="Times New Roman"/>
        </w:rPr>
      </w:pPr>
      <w:r>
        <w:rPr>
          <w:rFonts w:eastAsia="Times New Roman"/>
        </w:rPr>
        <w:t>In this recursive definition, the missed read</w:t>
      </w:r>
      <w:r w:rsidR="00B61F7A">
        <w:rPr>
          <w:rFonts w:eastAsia="Times New Roman"/>
        </w:rPr>
        <w:t>s result</w:t>
      </w:r>
      <w:r>
        <w:rPr>
          <w:rFonts w:eastAsia="Times New Roman"/>
        </w:rPr>
        <w:t xml:space="preserve"> in a</w:t>
      </w:r>
      <w:r w:rsidR="00B61F7A">
        <w:rPr>
          <w:rFonts w:eastAsia="Times New Roman"/>
        </w:rPr>
        <w:t xml:space="preserve"> read from the child node and </w:t>
      </w:r>
      <w:r>
        <w:rPr>
          <w:rFonts w:eastAsia="Times New Roman"/>
        </w:rPr>
        <w:t>hit read</w:t>
      </w:r>
      <w:r w:rsidR="00B61F7A">
        <w:rPr>
          <w:rFonts w:eastAsia="Times New Roman"/>
        </w:rPr>
        <w:t>s</w:t>
      </w:r>
      <w:r>
        <w:rPr>
          <w:rFonts w:eastAsia="Times New Roman"/>
        </w:rPr>
        <w:t xml:space="preserve"> result in a write to the parent node. The values loaded to memory are sent directly to the top most level </w:t>
      </w:r>
      <w:r w:rsidR="00B61F7A">
        <w:rPr>
          <w:rFonts w:eastAsia="Times New Roman"/>
        </w:rPr>
        <w:t>(</w:t>
      </w:r>
      <w:r>
        <w:rPr>
          <w:rFonts w:eastAsia="Times New Roman"/>
        </w:rPr>
        <w:t xml:space="preserve">the root </w:t>
      </w:r>
      <w:r w:rsidR="00B61F7A">
        <w:rPr>
          <w:rFonts w:eastAsia="Times New Roman"/>
        </w:rPr>
        <w:t>cache)</w:t>
      </w:r>
      <w:r>
        <w:rPr>
          <w:rFonts w:eastAsia="Times New Roman"/>
        </w:rPr>
        <w:t xml:space="preserve">. Other loading policies </w:t>
      </w:r>
      <w:r w:rsidR="00B61F7A">
        <w:rPr>
          <w:rFonts w:eastAsia="Times New Roman"/>
        </w:rPr>
        <w:t>w</w:t>
      </w:r>
      <w:r>
        <w:rPr>
          <w:rFonts w:eastAsia="Times New Roman"/>
        </w:rPr>
        <w:t xml:space="preserve">ould also </w:t>
      </w:r>
      <w:r w:rsidR="00B61F7A">
        <w:rPr>
          <w:rFonts w:eastAsia="Times New Roman"/>
        </w:rPr>
        <w:t>be possible. (f</w:t>
      </w:r>
      <w:r>
        <w:rPr>
          <w:rFonts w:eastAsia="Times New Roman"/>
        </w:rPr>
        <w:t>or example, loading to the last layer</w:t>
      </w:r>
      <w:r w:rsidR="00B61F7A">
        <w:rPr>
          <w:rFonts w:eastAsia="Times New Roman"/>
        </w:rPr>
        <w:t xml:space="preserve"> which is closest to the memory)</w:t>
      </w:r>
      <w:r>
        <w:rPr>
          <w:rFonts w:eastAsia="Times New Roman"/>
        </w:rPr>
        <w:t xml:space="preserve"> However, I have chosen th</w:t>
      </w:r>
      <w:r w:rsidR="00B61F7A">
        <w:rPr>
          <w:rFonts w:eastAsia="Times New Roman"/>
        </w:rPr>
        <w:t>is</w:t>
      </w:r>
      <w:r>
        <w:rPr>
          <w:rFonts w:eastAsia="Times New Roman"/>
        </w:rPr>
        <w:t xml:space="preserve"> </w:t>
      </w:r>
      <w:r w:rsidR="00B61F7A">
        <w:rPr>
          <w:rFonts w:eastAsia="Times New Roman"/>
        </w:rPr>
        <w:t>policy</w:t>
      </w:r>
      <w:r>
        <w:rPr>
          <w:rFonts w:eastAsia="Times New Roman"/>
        </w:rPr>
        <w:t xml:space="preserve"> as that is the mechanism that could be used to simulate a victim cache behavior.</w:t>
      </w:r>
      <w:r w:rsidR="00BF3B7C">
        <w:rPr>
          <w:rFonts w:eastAsia="Times New Roman"/>
        </w:rPr>
        <w:t xml:space="preserve"> We see from the result</w:t>
      </w:r>
      <w:r w:rsidR="00B61F7A">
        <w:rPr>
          <w:rFonts w:eastAsia="Times New Roman"/>
        </w:rPr>
        <w:t>s</w:t>
      </w:r>
      <w:r w:rsidR="00BF3B7C">
        <w:rPr>
          <w:rFonts w:eastAsia="Times New Roman"/>
        </w:rPr>
        <w:t xml:space="preserve"> </w:t>
      </w:r>
      <w:r w:rsidR="00B61F7A">
        <w:rPr>
          <w:rFonts w:eastAsia="Times New Roman"/>
        </w:rPr>
        <w:t xml:space="preserve">in the table below </w:t>
      </w:r>
      <w:r w:rsidR="00BF3B7C">
        <w:rPr>
          <w:rFonts w:eastAsia="Times New Roman"/>
        </w:rPr>
        <w:t xml:space="preserve">that </w:t>
      </w:r>
      <w:r w:rsidR="0055189F">
        <w:rPr>
          <w:rFonts w:eastAsia="Times New Roman"/>
        </w:rPr>
        <w:t>as we increase the associativity, the miss rate decreases</w:t>
      </w:r>
      <w:r w:rsidR="00B61F7A">
        <w:rPr>
          <w:rFonts w:eastAsia="Times New Roman"/>
        </w:rPr>
        <w:t>.</w:t>
      </w:r>
      <w:r w:rsidR="0055189F">
        <w:rPr>
          <w:rFonts w:eastAsia="Times New Roman"/>
        </w:rPr>
        <w:t xml:space="preserve"> </w:t>
      </w:r>
      <w:r w:rsidR="00B61F7A">
        <w:rPr>
          <w:rFonts w:eastAsia="Times New Roman"/>
        </w:rPr>
        <w:t>(</w:t>
      </w:r>
      <w:r w:rsidR="0055189F">
        <w:rPr>
          <w:rFonts w:eastAsia="Times New Roman"/>
        </w:rPr>
        <w:t>to different degrees depending on the benchmark</w:t>
      </w:r>
      <w:r w:rsidR="00B61F7A">
        <w:rPr>
          <w:rFonts w:eastAsia="Times New Roman"/>
        </w:rPr>
        <w:t>)</w:t>
      </w:r>
      <w:r w:rsidR="0055189F">
        <w:rPr>
          <w:rFonts w:eastAsia="Times New Roman"/>
        </w:rPr>
        <w:t xml:space="preserve"> This shows that unlike the instructions, with data there is a high degree of conflict misses that </w:t>
      </w:r>
      <w:r w:rsidR="00B61F7A">
        <w:rPr>
          <w:rFonts w:eastAsia="Times New Roman"/>
        </w:rPr>
        <w:t>could</w:t>
      </w:r>
      <w:r w:rsidR="0055189F">
        <w:rPr>
          <w:rFonts w:eastAsia="Times New Roman"/>
        </w:rPr>
        <w:t xml:space="preserve"> be avoided by increasing associativity. Like before, we generally see higher load miss rates than </w:t>
      </w:r>
      <w:r w:rsidR="00B61F7A">
        <w:rPr>
          <w:rFonts w:eastAsia="Times New Roman"/>
        </w:rPr>
        <w:t>store miss rates:</w:t>
      </w:r>
      <w:bookmarkStart w:id="0" w:name="_GoBack"/>
      <w:bookmarkEnd w:id="0"/>
    </w:p>
    <w:p w14:paraId="2FBA5300" w14:textId="77777777" w:rsidR="0055189F" w:rsidRDefault="0055189F" w:rsidP="003800D9">
      <w:pPr>
        <w:rPr>
          <w:rFonts w:eastAsia="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55189F" w14:paraId="4D5EC79C" w14:textId="77777777" w:rsidTr="00C70979">
        <w:tc>
          <w:tcPr>
            <w:tcW w:w="1870" w:type="dxa"/>
            <w:vAlign w:val="bottom"/>
          </w:tcPr>
          <w:p w14:paraId="2540DE45" w14:textId="77777777" w:rsidR="0055189F" w:rsidRDefault="0055189F" w:rsidP="003800D9">
            <w:pPr>
              <w:rPr>
                <w:rFonts w:eastAsia="Times New Roman"/>
              </w:rPr>
            </w:pPr>
          </w:p>
        </w:tc>
        <w:tc>
          <w:tcPr>
            <w:tcW w:w="1870" w:type="dxa"/>
            <w:vAlign w:val="bottom"/>
          </w:tcPr>
          <w:p w14:paraId="449BBF74" w14:textId="1EFDAAF8" w:rsidR="0055189F" w:rsidRDefault="0055189F" w:rsidP="003800D9">
            <w:pPr>
              <w:rPr>
                <w:rFonts w:eastAsia="Times New Roman"/>
              </w:rPr>
            </w:pPr>
            <w:r>
              <w:rPr>
                <w:rFonts w:ascii="Calibri" w:eastAsia="Times New Roman" w:hAnsi="Calibri"/>
                <w:color w:val="000000"/>
              </w:rPr>
              <w:t>fpppp</w:t>
            </w:r>
          </w:p>
        </w:tc>
        <w:tc>
          <w:tcPr>
            <w:tcW w:w="1870" w:type="dxa"/>
            <w:vAlign w:val="bottom"/>
          </w:tcPr>
          <w:p w14:paraId="260C9C6F" w14:textId="0494AD0F" w:rsidR="0055189F" w:rsidRDefault="0055189F" w:rsidP="003800D9">
            <w:pPr>
              <w:rPr>
                <w:rFonts w:eastAsia="Times New Roman"/>
              </w:rPr>
            </w:pPr>
            <w:r>
              <w:rPr>
                <w:rFonts w:ascii="Calibri" w:eastAsia="Times New Roman" w:hAnsi="Calibri"/>
                <w:color w:val="000000"/>
              </w:rPr>
              <w:t>gcc</w:t>
            </w:r>
          </w:p>
        </w:tc>
        <w:tc>
          <w:tcPr>
            <w:tcW w:w="1870" w:type="dxa"/>
            <w:vAlign w:val="bottom"/>
          </w:tcPr>
          <w:p w14:paraId="4CDA1941" w14:textId="56BFDE6E" w:rsidR="0055189F" w:rsidRDefault="0055189F" w:rsidP="003800D9">
            <w:pPr>
              <w:rPr>
                <w:rFonts w:eastAsia="Times New Roman"/>
              </w:rPr>
            </w:pPr>
            <w:r>
              <w:rPr>
                <w:rFonts w:ascii="Calibri" w:eastAsia="Times New Roman" w:hAnsi="Calibri"/>
                <w:color w:val="000000"/>
              </w:rPr>
              <w:t>go</w:t>
            </w:r>
          </w:p>
        </w:tc>
        <w:tc>
          <w:tcPr>
            <w:tcW w:w="1870" w:type="dxa"/>
            <w:vAlign w:val="bottom"/>
          </w:tcPr>
          <w:p w14:paraId="66079EAA" w14:textId="19C514D4" w:rsidR="0055189F" w:rsidRDefault="0055189F" w:rsidP="003800D9">
            <w:pPr>
              <w:rPr>
                <w:rFonts w:eastAsia="Times New Roman"/>
              </w:rPr>
            </w:pPr>
            <w:r>
              <w:rPr>
                <w:rFonts w:ascii="Calibri" w:eastAsia="Times New Roman" w:hAnsi="Calibri"/>
                <w:color w:val="000000"/>
              </w:rPr>
              <w:t>vpr</w:t>
            </w:r>
          </w:p>
        </w:tc>
      </w:tr>
      <w:tr w:rsidR="0055189F" w14:paraId="7184D511" w14:textId="77777777" w:rsidTr="00C70979">
        <w:tc>
          <w:tcPr>
            <w:tcW w:w="1870" w:type="dxa"/>
            <w:vAlign w:val="bottom"/>
          </w:tcPr>
          <w:p w14:paraId="481C7C12" w14:textId="38BCCDF3" w:rsidR="0055189F" w:rsidRDefault="0055189F" w:rsidP="003800D9">
            <w:pPr>
              <w:rPr>
                <w:rFonts w:eastAsia="Times New Roman"/>
              </w:rPr>
            </w:pPr>
            <w:r>
              <w:rPr>
                <w:rFonts w:ascii="Calibri" w:eastAsia="Times New Roman" w:hAnsi="Calibri"/>
                <w:color w:val="000000"/>
              </w:rPr>
              <w:t>LD-D</w:t>
            </w:r>
          </w:p>
        </w:tc>
        <w:tc>
          <w:tcPr>
            <w:tcW w:w="1870" w:type="dxa"/>
            <w:vAlign w:val="bottom"/>
          </w:tcPr>
          <w:p w14:paraId="07D0948F" w14:textId="3E35C150" w:rsidR="0055189F" w:rsidRDefault="0055189F" w:rsidP="003800D9">
            <w:pPr>
              <w:rPr>
                <w:rFonts w:eastAsia="Times New Roman"/>
              </w:rPr>
            </w:pPr>
            <w:r>
              <w:rPr>
                <w:rFonts w:ascii="Calibri" w:eastAsia="Times New Roman" w:hAnsi="Calibri"/>
                <w:color w:val="000000"/>
              </w:rPr>
              <w:t>5.96%</w:t>
            </w:r>
          </w:p>
        </w:tc>
        <w:tc>
          <w:tcPr>
            <w:tcW w:w="1870" w:type="dxa"/>
            <w:vAlign w:val="bottom"/>
          </w:tcPr>
          <w:p w14:paraId="67DFF981" w14:textId="2F45F254" w:rsidR="0055189F" w:rsidRDefault="0055189F" w:rsidP="003800D9">
            <w:pPr>
              <w:rPr>
                <w:rFonts w:eastAsia="Times New Roman"/>
              </w:rPr>
            </w:pPr>
            <w:r>
              <w:rPr>
                <w:rFonts w:ascii="Calibri" w:eastAsia="Times New Roman" w:hAnsi="Calibri"/>
                <w:color w:val="000000"/>
              </w:rPr>
              <w:t>2.74%</w:t>
            </w:r>
          </w:p>
        </w:tc>
        <w:tc>
          <w:tcPr>
            <w:tcW w:w="1870" w:type="dxa"/>
            <w:vAlign w:val="bottom"/>
          </w:tcPr>
          <w:p w14:paraId="1673B59D" w14:textId="296E594F" w:rsidR="0055189F" w:rsidRDefault="0055189F" w:rsidP="003800D9">
            <w:pPr>
              <w:rPr>
                <w:rFonts w:eastAsia="Times New Roman"/>
              </w:rPr>
            </w:pPr>
            <w:r>
              <w:rPr>
                <w:rFonts w:ascii="Calibri" w:eastAsia="Times New Roman" w:hAnsi="Calibri"/>
                <w:color w:val="000000"/>
              </w:rPr>
              <w:t>5.19%</w:t>
            </w:r>
          </w:p>
        </w:tc>
        <w:tc>
          <w:tcPr>
            <w:tcW w:w="1870" w:type="dxa"/>
            <w:vAlign w:val="bottom"/>
          </w:tcPr>
          <w:p w14:paraId="700B0327" w14:textId="0964E88B" w:rsidR="0055189F" w:rsidRDefault="0055189F" w:rsidP="003800D9">
            <w:pPr>
              <w:rPr>
                <w:rFonts w:eastAsia="Times New Roman"/>
              </w:rPr>
            </w:pPr>
            <w:r>
              <w:rPr>
                <w:rFonts w:ascii="Calibri" w:eastAsia="Times New Roman" w:hAnsi="Calibri"/>
                <w:color w:val="000000"/>
              </w:rPr>
              <w:t>3.52%</w:t>
            </w:r>
          </w:p>
        </w:tc>
      </w:tr>
      <w:tr w:rsidR="0055189F" w14:paraId="19D3F9AE" w14:textId="77777777" w:rsidTr="00C70979">
        <w:tc>
          <w:tcPr>
            <w:tcW w:w="1870" w:type="dxa"/>
            <w:vAlign w:val="bottom"/>
          </w:tcPr>
          <w:p w14:paraId="0FEEEE95" w14:textId="7F39E2DA" w:rsidR="0055189F" w:rsidRDefault="0055189F" w:rsidP="003800D9">
            <w:pPr>
              <w:rPr>
                <w:rFonts w:eastAsia="Times New Roman"/>
              </w:rPr>
            </w:pPr>
            <w:r>
              <w:rPr>
                <w:rFonts w:ascii="Calibri" w:eastAsia="Times New Roman" w:hAnsi="Calibri"/>
                <w:color w:val="000000"/>
              </w:rPr>
              <w:t>ST-D</w:t>
            </w:r>
          </w:p>
        </w:tc>
        <w:tc>
          <w:tcPr>
            <w:tcW w:w="1870" w:type="dxa"/>
            <w:vAlign w:val="bottom"/>
          </w:tcPr>
          <w:p w14:paraId="5C4371EA" w14:textId="6AC0B489" w:rsidR="0055189F" w:rsidRDefault="0055189F" w:rsidP="003800D9">
            <w:pPr>
              <w:rPr>
                <w:rFonts w:eastAsia="Times New Roman"/>
              </w:rPr>
            </w:pPr>
            <w:r>
              <w:rPr>
                <w:rFonts w:ascii="Calibri" w:eastAsia="Times New Roman" w:hAnsi="Calibri"/>
                <w:color w:val="000000"/>
              </w:rPr>
              <w:t>7.28%</w:t>
            </w:r>
          </w:p>
        </w:tc>
        <w:tc>
          <w:tcPr>
            <w:tcW w:w="1870" w:type="dxa"/>
            <w:vAlign w:val="bottom"/>
          </w:tcPr>
          <w:p w14:paraId="22760928" w14:textId="7DDAE8F9" w:rsidR="0055189F" w:rsidRDefault="0055189F" w:rsidP="003800D9">
            <w:pPr>
              <w:rPr>
                <w:rFonts w:eastAsia="Times New Roman"/>
              </w:rPr>
            </w:pPr>
            <w:r>
              <w:rPr>
                <w:rFonts w:ascii="Calibri" w:eastAsia="Times New Roman" w:hAnsi="Calibri"/>
                <w:color w:val="000000"/>
              </w:rPr>
              <w:t>1.19%</w:t>
            </w:r>
          </w:p>
        </w:tc>
        <w:tc>
          <w:tcPr>
            <w:tcW w:w="1870" w:type="dxa"/>
            <w:vAlign w:val="bottom"/>
          </w:tcPr>
          <w:p w14:paraId="254A13A2" w14:textId="5228864D" w:rsidR="0055189F" w:rsidRDefault="0055189F" w:rsidP="003800D9">
            <w:pPr>
              <w:rPr>
                <w:rFonts w:eastAsia="Times New Roman"/>
              </w:rPr>
            </w:pPr>
            <w:r>
              <w:rPr>
                <w:rFonts w:ascii="Calibri" w:eastAsia="Times New Roman" w:hAnsi="Calibri"/>
                <w:color w:val="000000"/>
              </w:rPr>
              <w:t>1.65%</w:t>
            </w:r>
          </w:p>
        </w:tc>
        <w:tc>
          <w:tcPr>
            <w:tcW w:w="1870" w:type="dxa"/>
            <w:vAlign w:val="bottom"/>
          </w:tcPr>
          <w:p w14:paraId="25DFE7FF" w14:textId="77B51CE6" w:rsidR="0055189F" w:rsidRDefault="0055189F" w:rsidP="003800D9">
            <w:pPr>
              <w:rPr>
                <w:rFonts w:eastAsia="Times New Roman"/>
              </w:rPr>
            </w:pPr>
            <w:r>
              <w:rPr>
                <w:rFonts w:ascii="Calibri" w:eastAsia="Times New Roman" w:hAnsi="Calibri"/>
                <w:color w:val="000000"/>
              </w:rPr>
              <w:t>0.94%</w:t>
            </w:r>
          </w:p>
        </w:tc>
      </w:tr>
      <w:tr w:rsidR="0055189F" w14:paraId="459603BB" w14:textId="77777777" w:rsidTr="00C70979">
        <w:tc>
          <w:tcPr>
            <w:tcW w:w="1870" w:type="dxa"/>
            <w:vAlign w:val="bottom"/>
          </w:tcPr>
          <w:p w14:paraId="741E4C18" w14:textId="7A229717" w:rsidR="0055189F" w:rsidRDefault="0055189F" w:rsidP="003800D9">
            <w:pPr>
              <w:rPr>
                <w:rFonts w:eastAsia="Times New Roman"/>
              </w:rPr>
            </w:pPr>
            <w:r>
              <w:rPr>
                <w:rFonts w:ascii="Calibri" w:eastAsia="Times New Roman" w:hAnsi="Calibri"/>
                <w:color w:val="000000"/>
              </w:rPr>
              <w:t>LD-2W</w:t>
            </w:r>
          </w:p>
        </w:tc>
        <w:tc>
          <w:tcPr>
            <w:tcW w:w="1870" w:type="dxa"/>
            <w:vAlign w:val="bottom"/>
          </w:tcPr>
          <w:p w14:paraId="495A2449" w14:textId="1C0B5128" w:rsidR="0055189F" w:rsidRDefault="0055189F" w:rsidP="003800D9">
            <w:pPr>
              <w:rPr>
                <w:rFonts w:eastAsia="Times New Roman"/>
              </w:rPr>
            </w:pPr>
            <w:r>
              <w:rPr>
                <w:rFonts w:ascii="Calibri" w:eastAsia="Times New Roman" w:hAnsi="Calibri"/>
                <w:color w:val="000000"/>
              </w:rPr>
              <w:t>0.86%</w:t>
            </w:r>
          </w:p>
        </w:tc>
        <w:tc>
          <w:tcPr>
            <w:tcW w:w="1870" w:type="dxa"/>
            <w:vAlign w:val="bottom"/>
          </w:tcPr>
          <w:p w14:paraId="222EF032" w14:textId="7935327C" w:rsidR="0055189F" w:rsidRDefault="0055189F" w:rsidP="003800D9">
            <w:pPr>
              <w:rPr>
                <w:rFonts w:eastAsia="Times New Roman"/>
              </w:rPr>
            </w:pPr>
            <w:r>
              <w:rPr>
                <w:rFonts w:ascii="Calibri" w:eastAsia="Times New Roman" w:hAnsi="Calibri"/>
                <w:color w:val="000000"/>
              </w:rPr>
              <w:t>1.41%</w:t>
            </w:r>
          </w:p>
        </w:tc>
        <w:tc>
          <w:tcPr>
            <w:tcW w:w="1870" w:type="dxa"/>
            <w:vAlign w:val="bottom"/>
          </w:tcPr>
          <w:p w14:paraId="7DC16250" w14:textId="08DEBFC7" w:rsidR="0055189F" w:rsidRDefault="0055189F" w:rsidP="003800D9">
            <w:pPr>
              <w:rPr>
                <w:rFonts w:eastAsia="Times New Roman"/>
              </w:rPr>
            </w:pPr>
            <w:r>
              <w:rPr>
                <w:rFonts w:ascii="Calibri" w:eastAsia="Times New Roman" w:hAnsi="Calibri"/>
                <w:color w:val="000000"/>
              </w:rPr>
              <w:t>1.98%</w:t>
            </w:r>
          </w:p>
        </w:tc>
        <w:tc>
          <w:tcPr>
            <w:tcW w:w="1870" w:type="dxa"/>
            <w:vAlign w:val="bottom"/>
          </w:tcPr>
          <w:p w14:paraId="7EE58115" w14:textId="646FEB2A" w:rsidR="0055189F" w:rsidRDefault="0055189F" w:rsidP="003800D9">
            <w:pPr>
              <w:rPr>
                <w:rFonts w:eastAsia="Times New Roman"/>
              </w:rPr>
            </w:pPr>
            <w:r>
              <w:rPr>
                <w:rFonts w:ascii="Calibri" w:eastAsia="Times New Roman" w:hAnsi="Calibri"/>
                <w:color w:val="000000"/>
              </w:rPr>
              <w:t>2.24%</w:t>
            </w:r>
          </w:p>
        </w:tc>
      </w:tr>
      <w:tr w:rsidR="0055189F" w14:paraId="1BCEA3CF" w14:textId="77777777" w:rsidTr="00C70979">
        <w:tc>
          <w:tcPr>
            <w:tcW w:w="1870" w:type="dxa"/>
            <w:vAlign w:val="bottom"/>
          </w:tcPr>
          <w:p w14:paraId="2719F593" w14:textId="349D9B1A" w:rsidR="0055189F" w:rsidRDefault="0055189F" w:rsidP="003800D9">
            <w:pPr>
              <w:rPr>
                <w:rFonts w:eastAsia="Times New Roman"/>
              </w:rPr>
            </w:pPr>
            <w:r>
              <w:rPr>
                <w:rFonts w:ascii="Calibri" w:eastAsia="Times New Roman" w:hAnsi="Calibri"/>
                <w:color w:val="000000"/>
              </w:rPr>
              <w:t>ST-2W</w:t>
            </w:r>
          </w:p>
        </w:tc>
        <w:tc>
          <w:tcPr>
            <w:tcW w:w="1870" w:type="dxa"/>
            <w:vAlign w:val="bottom"/>
          </w:tcPr>
          <w:p w14:paraId="29EEDDAC" w14:textId="1D53FD0E" w:rsidR="0055189F" w:rsidRDefault="0055189F" w:rsidP="003800D9">
            <w:pPr>
              <w:rPr>
                <w:rFonts w:eastAsia="Times New Roman"/>
              </w:rPr>
            </w:pPr>
            <w:r>
              <w:rPr>
                <w:rFonts w:ascii="Calibri" w:eastAsia="Times New Roman" w:hAnsi="Calibri"/>
                <w:color w:val="000000"/>
              </w:rPr>
              <w:t>0.50%</w:t>
            </w:r>
          </w:p>
        </w:tc>
        <w:tc>
          <w:tcPr>
            <w:tcW w:w="1870" w:type="dxa"/>
            <w:vAlign w:val="bottom"/>
          </w:tcPr>
          <w:p w14:paraId="4BBADE15" w14:textId="3A1FB5F0" w:rsidR="0055189F" w:rsidRDefault="0055189F" w:rsidP="003800D9">
            <w:pPr>
              <w:rPr>
                <w:rFonts w:eastAsia="Times New Roman"/>
              </w:rPr>
            </w:pPr>
            <w:r>
              <w:rPr>
                <w:rFonts w:ascii="Calibri" w:eastAsia="Times New Roman" w:hAnsi="Calibri"/>
                <w:color w:val="000000"/>
              </w:rPr>
              <w:t>0.51%</w:t>
            </w:r>
          </w:p>
        </w:tc>
        <w:tc>
          <w:tcPr>
            <w:tcW w:w="1870" w:type="dxa"/>
            <w:vAlign w:val="bottom"/>
          </w:tcPr>
          <w:p w14:paraId="5AE6BA39" w14:textId="6D938656" w:rsidR="0055189F" w:rsidRDefault="0055189F" w:rsidP="003800D9">
            <w:pPr>
              <w:rPr>
                <w:rFonts w:eastAsia="Times New Roman"/>
              </w:rPr>
            </w:pPr>
            <w:r>
              <w:rPr>
                <w:rFonts w:ascii="Calibri" w:eastAsia="Times New Roman" w:hAnsi="Calibri"/>
                <w:color w:val="000000"/>
              </w:rPr>
              <w:t>0.83%</w:t>
            </w:r>
          </w:p>
        </w:tc>
        <w:tc>
          <w:tcPr>
            <w:tcW w:w="1870" w:type="dxa"/>
            <w:vAlign w:val="bottom"/>
          </w:tcPr>
          <w:p w14:paraId="6082FA71" w14:textId="4F957C64" w:rsidR="0055189F" w:rsidRDefault="0055189F" w:rsidP="003800D9">
            <w:pPr>
              <w:rPr>
                <w:rFonts w:eastAsia="Times New Roman"/>
              </w:rPr>
            </w:pPr>
            <w:r>
              <w:rPr>
                <w:rFonts w:ascii="Calibri" w:eastAsia="Times New Roman" w:hAnsi="Calibri"/>
                <w:color w:val="000000"/>
              </w:rPr>
              <w:t>0.66%</w:t>
            </w:r>
          </w:p>
        </w:tc>
      </w:tr>
      <w:tr w:rsidR="0055189F" w14:paraId="0E3924C9" w14:textId="77777777" w:rsidTr="00C70979">
        <w:tc>
          <w:tcPr>
            <w:tcW w:w="1870" w:type="dxa"/>
            <w:vAlign w:val="bottom"/>
          </w:tcPr>
          <w:p w14:paraId="616EFF1C" w14:textId="34D1D894" w:rsidR="0055189F" w:rsidRDefault="0055189F" w:rsidP="003800D9">
            <w:pPr>
              <w:rPr>
                <w:rFonts w:eastAsia="Times New Roman"/>
              </w:rPr>
            </w:pPr>
            <w:r>
              <w:rPr>
                <w:rFonts w:ascii="Calibri" w:eastAsia="Times New Roman" w:hAnsi="Calibri"/>
                <w:color w:val="000000"/>
              </w:rPr>
              <w:t>LD-4W</w:t>
            </w:r>
          </w:p>
        </w:tc>
        <w:tc>
          <w:tcPr>
            <w:tcW w:w="1870" w:type="dxa"/>
            <w:vAlign w:val="bottom"/>
          </w:tcPr>
          <w:p w14:paraId="7A3DB6E0" w14:textId="716E6DD8" w:rsidR="0055189F" w:rsidRDefault="0055189F" w:rsidP="003800D9">
            <w:pPr>
              <w:rPr>
                <w:rFonts w:eastAsia="Times New Roman"/>
              </w:rPr>
            </w:pPr>
            <w:r>
              <w:rPr>
                <w:rFonts w:ascii="Calibri" w:eastAsia="Times New Roman" w:hAnsi="Calibri"/>
                <w:color w:val="000000"/>
              </w:rPr>
              <w:t>0.19%</w:t>
            </w:r>
          </w:p>
        </w:tc>
        <w:tc>
          <w:tcPr>
            <w:tcW w:w="1870" w:type="dxa"/>
            <w:vAlign w:val="bottom"/>
          </w:tcPr>
          <w:p w14:paraId="2C9DAA2F" w14:textId="3478EDA2" w:rsidR="0055189F" w:rsidRDefault="0055189F" w:rsidP="003800D9">
            <w:pPr>
              <w:rPr>
                <w:rFonts w:eastAsia="Times New Roman"/>
              </w:rPr>
            </w:pPr>
            <w:r>
              <w:rPr>
                <w:rFonts w:ascii="Calibri" w:eastAsia="Times New Roman" w:hAnsi="Calibri"/>
                <w:color w:val="000000"/>
              </w:rPr>
              <w:t>1.09%</w:t>
            </w:r>
          </w:p>
        </w:tc>
        <w:tc>
          <w:tcPr>
            <w:tcW w:w="1870" w:type="dxa"/>
            <w:vAlign w:val="bottom"/>
          </w:tcPr>
          <w:p w14:paraId="37969BD3" w14:textId="1E412490" w:rsidR="0055189F" w:rsidRDefault="0055189F" w:rsidP="003800D9">
            <w:pPr>
              <w:rPr>
                <w:rFonts w:eastAsia="Times New Roman"/>
              </w:rPr>
            </w:pPr>
            <w:r>
              <w:rPr>
                <w:rFonts w:ascii="Calibri" w:eastAsia="Times New Roman" w:hAnsi="Calibri"/>
                <w:color w:val="000000"/>
              </w:rPr>
              <w:t>1.41%</w:t>
            </w:r>
          </w:p>
        </w:tc>
        <w:tc>
          <w:tcPr>
            <w:tcW w:w="1870" w:type="dxa"/>
            <w:vAlign w:val="bottom"/>
          </w:tcPr>
          <w:p w14:paraId="27E4C3D2" w14:textId="44247171" w:rsidR="0055189F" w:rsidRDefault="0055189F" w:rsidP="003800D9">
            <w:pPr>
              <w:rPr>
                <w:rFonts w:eastAsia="Times New Roman"/>
              </w:rPr>
            </w:pPr>
            <w:r>
              <w:rPr>
                <w:rFonts w:ascii="Calibri" w:eastAsia="Times New Roman" w:hAnsi="Calibri"/>
                <w:color w:val="000000"/>
              </w:rPr>
              <w:t>1.91%</w:t>
            </w:r>
          </w:p>
        </w:tc>
      </w:tr>
      <w:tr w:rsidR="0055189F" w14:paraId="48473361" w14:textId="77777777" w:rsidTr="00C70979">
        <w:trPr>
          <w:trHeight w:val="255"/>
        </w:trPr>
        <w:tc>
          <w:tcPr>
            <w:tcW w:w="1870" w:type="dxa"/>
            <w:vAlign w:val="bottom"/>
          </w:tcPr>
          <w:p w14:paraId="4144F029" w14:textId="4520E0AE" w:rsidR="0055189F" w:rsidRDefault="0055189F" w:rsidP="003800D9">
            <w:pPr>
              <w:rPr>
                <w:rFonts w:eastAsia="Times New Roman"/>
              </w:rPr>
            </w:pPr>
            <w:r>
              <w:rPr>
                <w:rFonts w:ascii="Calibri" w:eastAsia="Times New Roman" w:hAnsi="Calibri"/>
                <w:color w:val="000000"/>
              </w:rPr>
              <w:t>ST-4W</w:t>
            </w:r>
          </w:p>
        </w:tc>
        <w:tc>
          <w:tcPr>
            <w:tcW w:w="1870" w:type="dxa"/>
            <w:vAlign w:val="bottom"/>
          </w:tcPr>
          <w:p w14:paraId="0CBE3721" w14:textId="19584AE1" w:rsidR="0055189F" w:rsidRDefault="0055189F" w:rsidP="003800D9">
            <w:pPr>
              <w:rPr>
                <w:rFonts w:eastAsia="Times New Roman"/>
              </w:rPr>
            </w:pPr>
            <w:r>
              <w:rPr>
                <w:rFonts w:ascii="Calibri" w:eastAsia="Times New Roman" w:hAnsi="Calibri"/>
                <w:color w:val="000000"/>
              </w:rPr>
              <w:t>0.05%</w:t>
            </w:r>
          </w:p>
        </w:tc>
        <w:tc>
          <w:tcPr>
            <w:tcW w:w="1870" w:type="dxa"/>
            <w:vAlign w:val="bottom"/>
          </w:tcPr>
          <w:p w14:paraId="7855A57B" w14:textId="6B3D6125" w:rsidR="0055189F" w:rsidRDefault="0055189F" w:rsidP="003800D9">
            <w:pPr>
              <w:rPr>
                <w:rFonts w:eastAsia="Times New Roman"/>
              </w:rPr>
            </w:pPr>
            <w:r>
              <w:rPr>
                <w:rFonts w:ascii="Calibri" w:eastAsia="Times New Roman" w:hAnsi="Calibri"/>
                <w:color w:val="000000"/>
              </w:rPr>
              <w:t>0.41%</w:t>
            </w:r>
          </w:p>
        </w:tc>
        <w:tc>
          <w:tcPr>
            <w:tcW w:w="1870" w:type="dxa"/>
            <w:vAlign w:val="bottom"/>
          </w:tcPr>
          <w:p w14:paraId="08BA5E3E" w14:textId="2CC4A641" w:rsidR="0055189F" w:rsidRDefault="0055189F" w:rsidP="003800D9">
            <w:pPr>
              <w:rPr>
                <w:rFonts w:eastAsia="Times New Roman"/>
              </w:rPr>
            </w:pPr>
            <w:r>
              <w:rPr>
                <w:rFonts w:ascii="Calibri" w:eastAsia="Times New Roman" w:hAnsi="Calibri"/>
                <w:color w:val="000000"/>
              </w:rPr>
              <w:t>0.68%</w:t>
            </w:r>
          </w:p>
        </w:tc>
        <w:tc>
          <w:tcPr>
            <w:tcW w:w="1870" w:type="dxa"/>
            <w:vAlign w:val="bottom"/>
          </w:tcPr>
          <w:p w14:paraId="70BE1C0E" w14:textId="0F2ACEFA" w:rsidR="0055189F" w:rsidRDefault="0055189F" w:rsidP="003800D9">
            <w:pPr>
              <w:rPr>
                <w:rFonts w:eastAsia="Times New Roman"/>
              </w:rPr>
            </w:pPr>
            <w:r>
              <w:rPr>
                <w:rFonts w:ascii="Calibri" w:eastAsia="Times New Roman" w:hAnsi="Calibri"/>
                <w:color w:val="000000"/>
              </w:rPr>
              <w:t>0.62%</w:t>
            </w:r>
          </w:p>
        </w:tc>
      </w:tr>
    </w:tbl>
    <w:p w14:paraId="4AD9DE36" w14:textId="6A1C87B6" w:rsidR="0055189F" w:rsidRDefault="00B61F7A" w:rsidP="00F55E4C">
      <w:pPr>
        <w:jc w:val="center"/>
        <w:rPr>
          <w:rFonts w:eastAsia="Times New Roman"/>
        </w:rPr>
      </w:pPr>
      <w:r>
        <w:rPr>
          <w:rFonts w:eastAsia="Times New Roman"/>
        </w:rPr>
        <w:t>Table 2</w:t>
      </w:r>
      <w:r w:rsidR="00F55E4C">
        <w:rPr>
          <w:rFonts w:eastAsia="Times New Roman"/>
        </w:rPr>
        <w:t xml:space="preserve"> – Part C results</w:t>
      </w:r>
    </w:p>
    <w:p w14:paraId="0C488076" w14:textId="77777777" w:rsidR="00F55E4C" w:rsidRDefault="00F55E4C" w:rsidP="003800D9">
      <w:pPr>
        <w:rPr>
          <w:rFonts w:eastAsia="Times New Roman"/>
        </w:rPr>
      </w:pPr>
    </w:p>
    <w:p w14:paraId="7FA86AAE" w14:textId="57727F65" w:rsidR="0055189F" w:rsidRDefault="0055189F" w:rsidP="003800D9">
      <w:pPr>
        <w:rPr>
          <w:rFonts w:eastAsia="Times New Roman"/>
        </w:rPr>
      </w:pPr>
      <w:r>
        <w:rPr>
          <w:rFonts w:eastAsia="Times New Roman"/>
        </w:rPr>
        <w:t xml:space="preserve">Comparing these values with the configuration </w:t>
      </w:r>
      <w:r w:rsidR="00B61F7A">
        <w:rPr>
          <w:rFonts w:eastAsia="Times New Roman"/>
        </w:rPr>
        <w:t>with no</w:t>
      </w:r>
      <w:r>
        <w:rPr>
          <w:rFonts w:eastAsia="Times New Roman"/>
        </w:rPr>
        <w:t xml:space="preserve"> victim cache</w:t>
      </w:r>
      <w:r w:rsidR="00B61F7A">
        <w:rPr>
          <w:rFonts w:eastAsia="Times New Roman"/>
        </w:rPr>
        <w:t>,</w:t>
      </w:r>
      <w:r>
        <w:rPr>
          <w:rFonts w:eastAsia="Times New Roman"/>
        </w:rPr>
        <w:t xml:space="preserve"> for the fpppp benchmark</w:t>
      </w:r>
      <w:r w:rsidR="00B61F7A">
        <w:rPr>
          <w:rFonts w:eastAsia="Times New Roman"/>
        </w:rPr>
        <w:t>,</w:t>
      </w:r>
      <w:r>
        <w:rPr>
          <w:rFonts w:eastAsia="Times New Roman"/>
        </w:rPr>
        <w:t xml:space="preserve"> we see that </w:t>
      </w:r>
      <w:r w:rsidR="00F55E4C">
        <w:rPr>
          <w:rFonts w:eastAsia="Times New Roman"/>
        </w:rPr>
        <w:t>the victim cache results in a very slight improvement for load instruction miss rates, while not helping the store instruction miss rates:</w:t>
      </w:r>
    </w:p>
    <w:p w14:paraId="7B1197CF" w14:textId="77777777" w:rsidR="0055189F" w:rsidRDefault="0055189F" w:rsidP="003800D9">
      <w:pPr>
        <w:rPr>
          <w:rFonts w:eastAsia="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F55E4C" w14:paraId="41B8DAD3" w14:textId="77777777" w:rsidTr="003C324E">
        <w:tc>
          <w:tcPr>
            <w:tcW w:w="1870" w:type="dxa"/>
            <w:vAlign w:val="bottom"/>
          </w:tcPr>
          <w:p w14:paraId="59273AF2" w14:textId="04E625E5" w:rsidR="00F55E4C" w:rsidRDefault="00F55E4C" w:rsidP="003800D9">
            <w:pPr>
              <w:rPr>
                <w:rFonts w:eastAsia="Times New Roman"/>
              </w:rPr>
            </w:pPr>
          </w:p>
        </w:tc>
        <w:tc>
          <w:tcPr>
            <w:tcW w:w="1870" w:type="dxa"/>
            <w:vAlign w:val="bottom"/>
          </w:tcPr>
          <w:p w14:paraId="510D41BC" w14:textId="2B85856F" w:rsidR="00F55E4C" w:rsidRDefault="00F55E4C" w:rsidP="003800D9">
            <w:pPr>
              <w:rPr>
                <w:rFonts w:eastAsia="Times New Roman"/>
              </w:rPr>
            </w:pPr>
            <w:r>
              <w:rPr>
                <w:rFonts w:ascii="Calibri" w:eastAsia="Times New Roman" w:hAnsi="Calibri"/>
                <w:color w:val="000000"/>
              </w:rPr>
              <w:t>LD</w:t>
            </w:r>
          </w:p>
        </w:tc>
        <w:tc>
          <w:tcPr>
            <w:tcW w:w="1870" w:type="dxa"/>
            <w:vAlign w:val="bottom"/>
          </w:tcPr>
          <w:p w14:paraId="049FB1C0" w14:textId="3C5CC599" w:rsidR="00F55E4C" w:rsidRDefault="00F55E4C" w:rsidP="003800D9">
            <w:pPr>
              <w:rPr>
                <w:rFonts w:eastAsia="Times New Roman"/>
              </w:rPr>
            </w:pPr>
            <w:r>
              <w:rPr>
                <w:rFonts w:ascii="Calibri" w:eastAsia="Times New Roman" w:hAnsi="Calibri"/>
                <w:color w:val="000000"/>
              </w:rPr>
              <w:t>LD+V</w:t>
            </w:r>
          </w:p>
        </w:tc>
        <w:tc>
          <w:tcPr>
            <w:tcW w:w="1870" w:type="dxa"/>
            <w:vAlign w:val="bottom"/>
          </w:tcPr>
          <w:p w14:paraId="7D72CE2A" w14:textId="4E1542FE" w:rsidR="00F55E4C" w:rsidRDefault="00F55E4C" w:rsidP="003800D9">
            <w:pPr>
              <w:rPr>
                <w:rFonts w:eastAsia="Times New Roman"/>
              </w:rPr>
            </w:pPr>
            <w:r>
              <w:rPr>
                <w:rFonts w:ascii="Calibri" w:eastAsia="Times New Roman" w:hAnsi="Calibri"/>
                <w:color w:val="000000"/>
              </w:rPr>
              <w:t>ST</w:t>
            </w:r>
          </w:p>
        </w:tc>
        <w:tc>
          <w:tcPr>
            <w:tcW w:w="1870" w:type="dxa"/>
            <w:vAlign w:val="bottom"/>
          </w:tcPr>
          <w:p w14:paraId="385C2309" w14:textId="20B7DDE5" w:rsidR="00F55E4C" w:rsidRDefault="00F55E4C" w:rsidP="003800D9">
            <w:pPr>
              <w:rPr>
                <w:rFonts w:eastAsia="Times New Roman"/>
              </w:rPr>
            </w:pPr>
            <w:r>
              <w:rPr>
                <w:rFonts w:ascii="Calibri" w:eastAsia="Times New Roman" w:hAnsi="Calibri"/>
                <w:color w:val="000000"/>
              </w:rPr>
              <w:t>ST+V</w:t>
            </w:r>
          </w:p>
        </w:tc>
      </w:tr>
      <w:tr w:rsidR="00F55E4C" w14:paraId="3467D5AD" w14:textId="77777777" w:rsidTr="003C324E">
        <w:tc>
          <w:tcPr>
            <w:tcW w:w="1870" w:type="dxa"/>
            <w:vAlign w:val="bottom"/>
          </w:tcPr>
          <w:p w14:paraId="6BAFA039" w14:textId="48C868F1" w:rsidR="00F55E4C" w:rsidRDefault="00F55E4C" w:rsidP="003800D9">
            <w:pPr>
              <w:rPr>
                <w:rFonts w:eastAsia="Times New Roman"/>
              </w:rPr>
            </w:pPr>
            <w:r>
              <w:rPr>
                <w:rFonts w:ascii="Calibri" w:eastAsia="Times New Roman" w:hAnsi="Calibri"/>
                <w:color w:val="000000"/>
              </w:rPr>
              <w:t>Direct-map</w:t>
            </w:r>
          </w:p>
        </w:tc>
        <w:tc>
          <w:tcPr>
            <w:tcW w:w="1870" w:type="dxa"/>
            <w:vAlign w:val="bottom"/>
          </w:tcPr>
          <w:p w14:paraId="4BA2A72A" w14:textId="4B6EBBB8" w:rsidR="00F55E4C" w:rsidRDefault="00F55E4C" w:rsidP="003800D9">
            <w:pPr>
              <w:rPr>
                <w:rFonts w:eastAsia="Times New Roman"/>
              </w:rPr>
            </w:pPr>
            <w:r>
              <w:rPr>
                <w:rFonts w:ascii="Calibri" w:eastAsia="Times New Roman" w:hAnsi="Calibri"/>
                <w:color w:val="000000"/>
              </w:rPr>
              <w:t>6.0132</w:t>
            </w:r>
          </w:p>
        </w:tc>
        <w:tc>
          <w:tcPr>
            <w:tcW w:w="1870" w:type="dxa"/>
            <w:vAlign w:val="bottom"/>
          </w:tcPr>
          <w:p w14:paraId="39F3C4DC" w14:textId="72245756" w:rsidR="00F55E4C" w:rsidRDefault="00F55E4C" w:rsidP="003800D9">
            <w:pPr>
              <w:rPr>
                <w:rFonts w:eastAsia="Times New Roman"/>
              </w:rPr>
            </w:pPr>
            <w:r>
              <w:rPr>
                <w:rFonts w:ascii="Calibri" w:eastAsia="Times New Roman" w:hAnsi="Calibri"/>
                <w:color w:val="000000"/>
              </w:rPr>
              <w:t>5.9648</w:t>
            </w:r>
          </w:p>
        </w:tc>
        <w:tc>
          <w:tcPr>
            <w:tcW w:w="1870" w:type="dxa"/>
            <w:vAlign w:val="bottom"/>
          </w:tcPr>
          <w:p w14:paraId="57D3F427" w14:textId="773761BE" w:rsidR="00F55E4C" w:rsidRDefault="00F55E4C" w:rsidP="003800D9">
            <w:pPr>
              <w:rPr>
                <w:rFonts w:eastAsia="Times New Roman"/>
              </w:rPr>
            </w:pPr>
            <w:r>
              <w:rPr>
                <w:rFonts w:ascii="Calibri" w:eastAsia="Times New Roman" w:hAnsi="Calibri"/>
                <w:color w:val="000000"/>
              </w:rPr>
              <w:t>7.2842</w:t>
            </w:r>
          </w:p>
        </w:tc>
        <w:tc>
          <w:tcPr>
            <w:tcW w:w="1870" w:type="dxa"/>
            <w:vAlign w:val="bottom"/>
          </w:tcPr>
          <w:p w14:paraId="794A59E6" w14:textId="22ADBE9F" w:rsidR="00F55E4C" w:rsidRDefault="00F55E4C" w:rsidP="003800D9">
            <w:pPr>
              <w:rPr>
                <w:rFonts w:eastAsia="Times New Roman"/>
              </w:rPr>
            </w:pPr>
            <w:r>
              <w:rPr>
                <w:rFonts w:ascii="Calibri" w:eastAsia="Times New Roman" w:hAnsi="Calibri"/>
                <w:color w:val="000000"/>
              </w:rPr>
              <w:t>7.2842</w:t>
            </w:r>
          </w:p>
        </w:tc>
      </w:tr>
      <w:tr w:rsidR="00F55E4C" w14:paraId="4ED5E946" w14:textId="77777777" w:rsidTr="003C324E">
        <w:tc>
          <w:tcPr>
            <w:tcW w:w="1870" w:type="dxa"/>
            <w:vAlign w:val="bottom"/>
          </w:tcPr>
          <w:p w14:paraId="0E7D10E9" w14:textId="7E769254" w:rsidR="00F55E4C" w:rsidRDefault="00F55E4C" w:rsidP="003800D9">
            <w:pPr>
              <w:rPr>
                <w:rFonts w:eastAsia="Times New Roman"/>
              </w:rPr>
            </w:pPr>
            <w:r>
              <w:rPr>
                <w:rFonts w:ascii="Calibri" w:eastAsia="Times New Roman" w:hAnsi="Calibri"/>
                <w:color w:val="000000"/>
              </w:rPr>
              <w:t>2-way</w:t>
            </w:r>
          </w:p>
        </w:tc>
        <w:tc>
          <w:tcPr>
            <w:tcW w:w="1870" w:type="dxa"/>
            <w:vAlign w:val="bottom"/>
          </w:tcPr>
          <w:p w14:paraId="6EFE83EC" w14:textId="25D8A60A" w:rsidR="00F55E4C" w:rsidRDefault="00F55E4C" w:rsidP="003800D9">
            <w:pPr>
              <w:rPr>
                <w:rFonts w:eastAsia="Times New Roman"/>
              </w:rPr>
            </w:pPr>
            <w:r>
              <w:rPr>
                <w:rFonts w:ascii="Calibri" w:eastAsia="Times New Roman" w:hAnsi="Calibri"/>
                <w:color w:val="000000"/>
              </w:rPr>
              <w:t>0.86078</w:t>
            </w:r>
          </w:p>
        </w:tc>
        <w:tc>
          <w:tcPr>
            <w:tcW w:w="1870" w:type="dxa"/>
            <w:vAlign w:val="bottom"/>
          </w:tcPr>
          <w:p w14:paraId="3517E74D" w14:textId="03669B7D" w:rsidR="00F55E4C" w:rsidRDefault="00F55E4C" w:rsidP="003800D9">
            <w:pPr>
              <w:rPr>
                <w:rFonts w:eastAsia="Times New Roman"/>
              </w:rPr>
            </w:pPr>
            <w:r>
              <w:rPr>
                <w:rFonts w:ascii="Calibri" w:eastAsia="Times New Roman" w:hAnsi="Calibri"/>
                <w:color w:val="000000"/>
              </w:rPr>
              <w:t>0.8606</w:t>
            </w:r>
          </w:p>
        </w:tc>
        <w:tc>
          <w:tcPr>
            <w:tcW w:w="1870" w:type="dxa"/>
            <w:vAlign w:val="bottom"/>
          </w:tcPr>
          <w:p w14:paraId="71114478" w14:textId="1267B353" w:rsidR="00F55E4C" w:rsidRDefault="00F55E4C" w:rsidP="003800D9">
            <w:pPr>
              <w:rPr>
                <w:rFonts w:eastAsia="Times New Roman"/>
              </w:rPr>
            </w:pPr>
            <w:r>
              <w:rPr>
                <w:rFonts w:ascii="Calibri" w:eastAsia="Times New Roman" w:hAnsi="Calibri"/>
                <w:color w:val="000000"/>
              </w:rPr>
              <w:t>0.49717</w:t>
            </w:r>
          </w:p>
        </w:tc>
        <w:tc>
          <w:tcPr>
            <w:tcW w:w="1870" w:type="dxa"/>
            <w:vAlign w:val="bottom"/>
          </w:tcPr>
          <w:p w14:paraId="3E7CA515" w14:textId="2F57315F" w:rsidR="00F55E4C" w:rsidRDefault="00F55E4C" w:rsidP="003800D9">
            <w:pPr>
              <w:rPr>
                <w:rFonts w:eastAsia="Times New Roman"/>
              </w:rPr>
            </w:pPr>
            <w:r>
              <w:rPr>
                <w:rFonts w:ascii="Calibri" w:eastAsia="Times New Roman" w:hAnsi="Calibri"/>
                <w:color w:val="000000"/>
              </w:rPr>
              <w:t>0.49717</w:t>
            </w:r>
          </w:p>
        </w:tc>
      </w:tr>
      <w:tr w:rsidR="00F55E4C" w14:paraId="1BF54557" w14:textId="77777777" w:rsidTr="003C324E">
        <w:tc>
          <w:tcPr>
            <w:tcW w:w="1870" w:type="dxa"/>
            <w:vAlign w:val="bottom"/>
          </w:tcPr>
          <w:p w14:paraId="7F6309AD" w14:textId="3F0DE885" w:rsidR="00F55E4C" w:rsidRDefault="00F55E4C" w:rsidP="003800D9">
            <w:pPr>
              <w:rPr>
                <w:rFonts w:eastAsia="Times New Roman"/>
              </w:rPr>
            </w:pPr>
            <w:r>
              <w:rPr>
                <w:rFonts w:ascii="Calibri" w:eastAsia="Times New Roman" w:hAnsi="Calibri"/>
                <w:color w:val="000000"/>
              </w:rPr>
              <w:t>4-way</w:t>
            </w:r>
          </w:p>
        </w:tc>
        <w:tc>
          <w:tcPr>
            <w:tcW w:w="1870" w:type="dxa"/>
            <w:vAlign w:val="bottom"/>
          </w:tcPr>
          <w:p w14:paraId="15773D98" w14:textId="139E1C72" w:rsidR="00F55E4C" w:rsidRDefault="00F55E4C" w:rsidP="003800D9">
            <w:pPr>
              <w:rPr>
                <w:rFonts w:eastAsia="Times New Roman"/>
              </w:rPr>
            </w:pPr>
            <w:r>
              <w:rPr>
                <w:rFonts w:ascii="Calibri" w:eastAsia="Times New Roman" w:hAnsi="Calibri"/>
                <w:color w:val="000000"/>
              </w:rPr>
              <w:t>0.18562</w:t>
            </w:r>
          </w:p>
        </w:tc>
        <w:tc>
          <w:tcPr>
            <w:tcW w:w="1870" w:type="dxa"/>
            <w:vAlign w:val="bottom"/>
          </w:tcPr>
          <w:p w14:paraId="1A829A8E" w14:textId="33B60AFF" w:rsidR="00F55E4C" w:rsidRDefault="00F55E4C" w:rsidP="003800D9">
            <w:pPr>
              <w:rPr>
                <w:rFonts w:eastAsia="Times New Roman"/>
              </w:rPr>
            </w:pPr>
            <w:r>
              <w:rPr>
                <w:rFonts w:ascii="Calibri" w:eastAsia="Times New Roman" w:hAnsi="Calibri"/>
                <w:color w:val="000000"/>
              </w:rPr>
              <w:t>0.18556</w:t>
            </w:r>
          </w:p>
        </w:tc>
        <w:tc>
          <w:tcPr>
            <w:tcW w:w="1870" w:type="dxa"/>
            <w:vAlign w:val="bottom"/>
          </w:tcPr>
          <w:p w14:paraId="1F70051E" w14:textId="69D09A59" w:rsidR="00F55E4C" w:rsidRDefault="00F55E4C" w:rsidP="003800D9">
            <w:pPr>
              <w:rPr>
                <w:rFonts w:eastAsia="Times New Roman"/>
              </w:rPr>
            </w:pPr>
            <w:r>
              <w:rPr>
                <w:rFonts w:ascii="Calibri" w:eastAsia="Times New Roman" w:hAnsi="Calibri"/>
                <w:color w:val="000000"/>
              </w:rPr>
              <w:t>0.053987</w:t>
            </w:r>
          </w:p>
        </w:tc>
        <w:tc>
          <w:tcPr>
            <w:tcW w:w="1870" w:type="dxa"/>
            <w:vAlign w:val="bottom"/>
          </w:tcPr>
          <w:p w14:paraId="278106F9" w14:textId="02BE2DA4" w:rsidR="00F55E4C" w:rsidRDefault="00F55E4C" w:rsidP="003800D9">
            <w:pPr>
              <w:rPr>
                <w:rFonts w:eastAsia="Times New Roman"/>
              </w:rPr>
            </w:pPr>
            <w:r>
              <w:rPr>
                <w:rFonts w:ascii="Calibri" w:eastAsia="Times New Roman" w:hAnsi="Calibri"/>
                <w:color w:val="000000"/>
              </w:rPr>
              <w:t>0.053987</w:t>
            </w:r>
          </w:p>
        </w:tc>
      </w:tr>
    </w:tbl>
    <w:p w14:paraId="46D83B8C" w14:textId="09020D10" w:rsidR="0055189F" w:rsidRDefault="00F55E4C" w:rsidP="00F55E4C">
      <w:pPr>
        <w:jc w:val="center"/>
        <w:rPr>
          <w:rFonts w:eastAsia="Times New Roman"/>
        </w:rPr>
      </w:pPr>
      <w:r>
        <w:rPr>
          <w:rFonts w:eastAsia="Times New Roman"/>
        </w:rPr>
        <w:t xml:space="preserve">Table </w:t>
      </w:r>
      <w:r w:rsidR="00B61F7A">
        <w:rPr>
          <w:rFonts w:eastAsia="Times New Roman"/>
        </w:rPr>
        <w:t>3</w:t>
      </w:r>
      <w:r>
        <w:rPr>
          <w:rFonts w:eastAsia="Times New Roman"/>
        </w:rPr>
        <w:t xml:space="preserve"> – Miss rates with and without a victim cache for the fpppp benchmark</w:t>
      </w:r>
    </w:p>
    <w:p w14:paraId="5505111D" w14:textId="77777777" w:rsidR="00F55E4C" w:rsidRDefault="00F55E4C" w:rsidP="003800D9">
      <w:pPr>
        <w:rPr>
          <w:rFonts w:eastAsia="Times New Roman"/>
        </w:rPr>
      </w:pPr>
    </w:p>
    <w:p w14:paraId="3E6E78A0" w14:textId="400C6873" w:rsidR="00F55E4C" w:rsidRDefault="00F55E4C" w:rsidP="003800D9">
      <w:pPr>
        <w:rPr>
          <w:rFonts w:eastAsia="Times New Roman"/>
        </w:rPr>
      </w:pPr>
      <w:r>
        <w:rPr>
          <w:rFonts w:eastAsia="Times New Roman"/>
        </w:rPr>
        <w:t xml:space="preserve">This could be due to an error in the implementation of the victim cache </w:t>
      </w:r>
      <w:r w:rsidR="00FB32AD">
        <w:rPr>
          <w:rFonts w:eastAsia="Times New Roman"/>
        </w:rPr>
        <w:t>code</w:t>
      </w:r>
      <w:r>
        <w:rPr>
          <w:rFonts w:eastAsia="Times New Roman"/>
        </w:rPr>
        <w:t xml:space="preserve"> or due to the nature of the capacities </w:t>
      </w:r>
      <w:r w:rsidR="00FB32AD">
        <w:rPr>
          <w:rFonts w:eastAsia="Times New Roman"/>
        </w:rPr>
        <w:t xml:space="preserve">and access rates </w:t>
      </w:r>
      <w:r>
        <w:rPr>
          <w:rFonts w:eastAsia="Times New Roman"/>
        </w:rPr>
        <w:t>of the main and victim caches. Further investigation is required.</w:t>
      </w:r>
    </w:p>
    <w:p w14:paraId="1A0EF501" w14:textId="77777777" w:rsidR="0055189F" w:rsidRDefault="0055189F" w:rsidP="003800D9">
      <w:pPr>
        <w:rPr>
          <w:rFonts w:eastAsia="Times New Roman"/>
        </w:rPr>
      </w:pPr>
    </w:p>
    <w:p w14:paraId="2E316EF7" w14:textId="52882B60" w:rsidR="001A548D" w:rsidRPr="00B61F7A" w:rsidRDefault="006E557C" w:rsidP="003800D9">
      <w:pPr>
        <w:rPr>
          <w:rFonts w:eastAsia="Times New Roman"/>
          <w:b/>
          <w:sz w:val="28"/>
          <w:szCs w:val="28"/>
        </w:rPr>
      </w:pPr>
      <w:r w:rsidRPr="00B61F7A">
        <w:rPr>
          <w:rFonts w:eastAsia="Times New Roman"/>
          <w:b/>
          <w:sz w:val="28"/>
          <w:szCs w:val="28"/>
        </w:rPr>
        <w:t>Part (D)</w:t>
      </w:r>
    </w:p>
    <w:p w14:paraId="2558963B" w14:textId="77777777" w:rsidR="006E557C" w:rsidRDefault="006E557C" w:rsidP="003800D9">
      <w:pPr>
        <w:rPr>
          <w:rFonts w:eastAsia="Times New Roman"/>
        </w:rPr>
      </w:pPr>
    </w:p>
    <w:p w14:paraId="4753734B" w14:textId="4D8916BB" w:rsidR="006E557C" w:rsidRDefault="006E557C" w:rsidP="003800D9">
      <w:pPr>
        <w:rPr>
          <w:rFonts w:eastAsia="Times New Roman"/>
        </w:rPr>
      </w:pPr>
      <w:r>
        <w:rPr>
          <w:rFonts w:eastAsia="Times New Roman"/>
        </w:rPr>
        <w:t>It appears that the prefetcher, due to similar reasons as mentioned in part (A), decreases the miss rate by increasing the capacity to take advantage of spatial locality, which would be a very likely characteristic of consecutive instructions unless there is a high number of jumps per instruction:</w:t>
      </w:r>
    </w:p>
    <w:p w14:paraId="1F39E591" w14:textId="77777777" w:rsidR="00997D6B" w:rsidRDefault="00997D6B" w:rsidP="003800D9">
      <w:pPr>
        <w:rPr>
          <w:rFonts w:eastAsia="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6E557C" w14:paraId="7F19561D" w14:textId="77777777" w:rsidTr="002B221F">
        <w:tc>
          <w:tcPr>
            <w:tcW w:w="1870" w:type="dxa"/>
            <w:vAlign w:val="bottom"/>
          </w:tcPr>
          <w:p w14:paraId="402C7534" w14:textId="77777777" w:rsidR="006E557C" w:rsidRDefault="006E557C" w:rsidP="003800D9">
            <w:pPr>
              <w:rPr>
                <w:rFonts w:eastAsia="Times New Roman"/>
              </w:rPr>
            </w:pPr>
          </w:p>
        </w:tc>
        <w:tc>
          <w:tcPr>
            <w:tcW w:w="1870" w:type="dxa"/>
            <w:vAlign w:val="bottom"/>
          </w:tcPr>
          <w:p w14:paraId="04993552" w14:textId="32707D6E" w:rsidR="006E557C" w:rsidRDefault="006E557C" w:rsidP="003800D9">
            <w:pPr>
              <w:rPr>
                <w:rFonts w:eastAsia="Times New Roman"/>
              </w:rPr>
            </w:pPr>
            <w:r>
              <w:rPr>
                <w:rFonts w:ascii="Calibri" w:eastAsia="Times New Roman" w:hAnsi="Calibri"/>
                <w:color w:val="000000"/>
              </w:rPr>
              <w:t>fpppp</w:t>
            </w:r>
          </w:p>
        </w:tc>
        <w:tc>
          <w:tcPr>
            <w:tcW w:w="1870" w:type="dxa"/>
            <w:vAlign w:val="bottom"/>
          </w:tcPr>
          <w:p w14:paraId="049F2DB6" w14:textId="2088A52D" w:rsidR="006E557C" w:rsidRDefault="006E557C" w:rsidP="003800D9">
            <w:pPr>
              <w:rPr>
                <w:rFonts w:eastAsia="Times New Roman"/>
              </w:rPr>
            </w:pPr>
            <w:r>
              <w:rPr>
                <w:rFonts w:ascii="Calibri" w:eastAsia="Times New Roman" w:hAnsi="Calibri"/>
                <w:color w:val="000000"/>
              </w:rPr>
              <w:t>gcc</w:t>
            </w:r>
          </w:p>
        </w:tc>
        <w:tc>
          <w:tcPr>
            <w:tcW w:w="1870" w:type="dxa"/>
            <w:vAlign w:val="bottom"/>
          </w:tcPr>
          <w:p w14:paraId="69A944F4" w14:textId="35357C60" w:rsidR="006E557C" w:rsidRDefault="006E557C" w:rsidP="003800D9">
            <w:pPr>
              <w:rPr>
                <w:rFonts w:eastAsia="Times New Roman"/>
              </w:rPr>
            </w:pPr>
            <w:r>
              <w:rPr>
                <w:rFonts w:ascii="Calibri" w:eastAsia="Times New Roman" w:hAnsi="Calibri"/>
                <w:color w:val="000000"/>
              </w:rPr>
              <w:t>go</w:t>
            </w:r>
          </w:p>
        </w:tc>
        <w:tc>
          <w:tcPr>
            <w:tcW w:w="1870" w:type="dxa"/>
            <w:vAlign w:val="bottom"/>
          </w:tcPr>
          <w:p w14:paraId="1DC73A6E" w14:textId="5FF13E39" w:rsidR="006E557C" w:rsidRDefault="006E557C" w:rsidP="003800D9">
            <w:pPr>
              <w:rPr>
                <w:rFonts w:eastAsia="Times New Roman"/>
              </w:rPr>
            </w:pPr>
            <w:r>
              <w:rPr>
                <w:rFonts w:ascii="Calibri" w:eastAsia="Times New Roman" w:hAnsi="Calibri"/>
                <w:color w:val="000000"/>
              </w:rPr>
              <w:t>vpr</w:t>
            </w:r>
          </w:p>
        </w:tc>
      </w:tr>
      <w:tr w:rsidR="006E557C" w14:paraId="1946458E" w14:textId="77777777" w:rsidTr="002B221F">
        <w:tc>
          <w:tcPr>
            <w:tcW w:w="1870" w:type="dxa"/>
            <w:vAlign w:val="bottom"/>
          </w:tcPr>
          <w:p w14:paraId="0A0993AB" w14:textId="44ECF842" w:rsidR="006E557C" w:rsidRDefault="006E557C" w:rsidP="003800D9">
            <w:pPr>
              <w:rPr>
                <w:rFonts w:eastAsia="Times New Roman"/>
              </w:rPr>
            </w:pPr>
            <w:r>
              <w:rPr>
                <w:rFonts w:ascii="Calibri" w:eastAsia="Times New Roman" w:hAnsi="Calibri"/>
                <w:color w:val="000000"/>
              </w:rPr>
              <w:t>LD</w:t>
            </w:r>
          </w:p>
        </w:tc>
        <w:tc>
          <w:tcPr>
            <w:tcW w:w="1870" w:type="dxa"/>
            <w:vAlign w:val="bottom"/>
          </w:tcPr>
          <w:p w14:paraId="2C72C7C9" w14:textId="51FCD6DD" w:rsidR="006E557C" w:rsidRDefault="006E557C" w:rsidP="003800D9">
            <w:pPr>
              <w:rPr>
                <w:rFonts w:eastAsia="Times New Roman"/>
              </w:rPr>
            </w:pPr>
            <w:r>
              <w:rPr>
                <w:rFonts w:ascii="Calibri" w:eastAsia="Times New Roman" w:hAnsi="Calibri"/>
                <w:color w:val="000000"/>
              </w:rPr>
              <w:t>11.060%</w:t>
            </w:r>
          </w:p>
        </w:tc>
        <w:tc>
          <w:tcPr>
            <w:tcW w:w="1870" w:type="dxa"/>
            <w:vAlign w:val="bottom"/>
          </w:tcPr>
          <w:p w14:paraId="4A673A7E" w14:textId="6BCBC2C9" w:rsidR="006E557C" w:rsidRDefault="006E557C" w:rsidP="003800D9">
            <w:pPr>
              <w:rPr>
                <w:rFonts w:eastAsia="Times New Roman"/>
              </w:rPr>
            </w:pPr>
            <w:r>
              <w:rPr>
                <w:rFonts w:ascii="Calibri" w:eastAsia="Times New Roman" w:hAnsi="Calibri"/>
                <w:color w:val="000000"/>
              </w:rPr>
              <w:t>3.410%</w:t>
            </w:r>
          </w:p>
        </w:tc>
        <w:tc>
          <w:tcPr>
            <w:tcW w:w="1870" w:type="dxa"/>
            <w:vAlign w:val="bottom"/>
          </w:tcPr>
          <w:p w14:paraId="753BD0C2" w14:textId="02FC8572" w:rsidR="006E557C" w:rsidRDefault="006E557C" w:rsidP="003800D9">
            <w:pPr>
              <w:rPr>
                <w:rFonts w:eastAsia="Times New Roman"/>
              </w:rPr>
            </w:pPr>
            <w:r>
              <w:rPr>
                <w:rFonts w:ascii="Calibri" w:eastAsia="Times New Roman" w:hAnsi="Calibri"/>
                <w:color w:val="000000"/>
              </w:rPr>
              <w:t>2.988%</w:t>
            </w:r>
          </w:p>
        </w:tc>
        <w:tc>
          <w:tcPr>
            <w:tcW w:w="1870" w:type="dxa"/>
            <w:vAlign w:val="bottom"/>
          </w:tcPr>
          <w:p w14:paraId="12C48C47" w14:textId="2C981399" w:rsidR="006E557C" w:rsidRDefault="006E557C" w:rsidP="003800D9">
            <w:pPr>
              <w:rPr>
                <w:rFonts w:eastAsia="Times New Roman"/>
              </w:rPr>
            </w:pPr>
            <w:r>
              <w:rPr>
                <w:rFonts w:ascii="Calibri" w:eastAsia="Times New Roman" w:hAnsi="Calibri"/>
                <w:color w:val="000000"/>
              </w:rPr>
              <w:t>0.025%</w:t>
            </w:r>
          </w:p>
        </w:tc>
      </w:tr>
      <w:tr w:rsidR="006E557C" w14:paraId="1BF63FAD" w14:textId="77777777" w:rsidTr="002B221F">
        <w:tc>
          <w:tcPr>
            <w:tcW w:w="1870" w:type="dxa"/>
            <w:vAlign w:val="bottom"/>
          </w:tcPr>
          <w:p w14:paraId="37E7102F" w14:textId="61349C5D" w:rsidR="006E557C" w:rsidRDefault="006E557C" w:rsidP="003800D9">
            <w:pPr>
              <w:rPr>
                <w:rFonts w:eastAsia="Times New Roman"/>
              </w:rPr>
            </w:pPr>
            <w:r>
              <w:rPr>
                <w:rFonts w:ascii="Calibri" w:eastAsia="Times New Roman" w:hAnsi="Calibri"/>
                <w:color w:val="000000"/>
              </w:rPr>
              <w:t>LD+PF</w:t>
            </w:r>
          </w:p>
        </w:tc>
        <w:tc>
          <w:tcPr>
            <w:tcW w:w="1870" w:type="dxa"/>
            <w:vAlign w:val="bottom"/>
          </w:tcPr>
          <w:p w14:paraId="3664AC5F" w14:textId="3A5F8D14" w:rsidR="006E557C" w:rsidRDefault="006E557C" w:rsidP="003800D9">
            <w:pPr>
              <w:rPr>
                <w:rFonts w:eastAsia="Times New Roman"/>
              </w:rPr>
            </w:pPr>
            <w:r>
              <w:rPr>
                <w:rFonts w:ascii="Calibri" w:eastAsia="Times New Roman" w:hAnsi="Calibri"/>
                <w:color w:val="000000"/>
              </w:rPr>
              <w:t>5.550%</w:t>
            </w:r>
          </w:p>
        </w:tc>
        <w:tc>
          <w:tcPr>
            <w:tcW w:w="1870" w:type="dxa"/>
            <w:vAlign w:val="bottom"/>
          </w:tcPr>
          <w:p w14:paraId="4F35956C" w14:textId="7EB40450" w:rsidR="006E557C" w:rsidRDefault="006E557C" w:rsidP="003800D9">
            <w:pPr>
              <w:rPr>
                <w:rFonts w:eastAsia="Times New Roman"/>
              </w:rPr>
            </w:pPr>
            <w:r>
              <w:rPr>
                <w:rFonts w:ascii="Calibri" w:eastAsia="Times New Roman" w:hAnsi="Calibri"/>
                <w:color w:val="000000"/>
              </w:rPr>
              <w:t>2.263%</w:t>
            </w:r>
          </w:p>
        </w:tc>
        <w:tc>
          <w:tcPr>
            <w:tcW w:w="1870" w:type="dxa"/>
            <w:vAlign w:val="bottom"/>
          </w:tcPr>
          <w:p w14:paraId="55B23310" w14:textId="5B167F46" w:rsidR="006E557C" w:rsidRDefault="006E557C" w:rsidP="003800D9">
            <w:pPr>
              <w:rPr>
                <w:rFonts w:eastAsia="Times New Roman"/>
              </w:rPr>
            </w:pPr>
            <w:r>
              <w:rPr>
                <w:rFonts w:ascii="Calibri" w:eastAsia="Times New Roman" w:hAnsi="Calibri"/>
                <w:color w:val="000000"/>
              </w:rPr>
              <w:t>1.642%</w:t>
            </w:r>
          </w:p>
        </w:tc>
        <w:tc>
          <w:tcPr>
            <w:tcW w:w="1870" w:type="dxa"/>
            <w:vAlign w:val="bottom"/>
          </w:tcPr>
          <w:p w14:paraId="305DDD0E" w14:textId="091D9758" w:rsidR="006E557C" w:rsidRDefault="006E557C" w:rsidP="003800D9">
            <w:pPr>
              <w:rPr>
                <w:rFonts w:eastAsia="Times New Roman"/>
              </w:rPr>
            </w:pPr>
            <w:r>
              <w:rPr>
                <w:rFonts w:ascii="Calibri" w:eastAsia="Times New Roman" w:hAnsi="Calibri"/>
                <w:color w:val="000000"/>
              </w:rPr>
              <w:t>0.014%</w:t>
            </w:r>
          </w:p>
        </w:tc>
      </w:tr>
      <w:tr w:rsidR="006E557C" w14:paraId="5C4ACE0B" w14:textId="77777777" w:rsidTr="002B221F">
        <w:tc>
          <w:tcPr>
            <w:tcW w:w="1870" w:type="dxa"/>
            <w:vAlign w:val="bottom"/>
          </w:tcPr>
          <w:p w14:paraId="50F57E4D" w14:textId="4F43C88F" w:rsidR="006E557C" w:rsidRDefault="006E557C" w:rsidP="003800D9">
            <w:pPr>
              <w:rPr>
                <w:rFonts w:eastAsia="Times New Roman"/>
              </w:rPr>
            </w:pPr>
            <w:r>
              <w:rPr>
                <w:rFonts w:ascii="Calibri" w:eastAsia="Times New Roman" w:hAnsi="Calibri"/>
                <w:color w:val="000000"/>
              </w:rPr>
              <w:t>SR</w:t>
            </w:r>
          </w:p>
        </w:tc>
        <w:tc>
          <w:tcPr>
            <w:tcW w:w="1870" w:type="dxa"/>
            <w:vAlign w:val="bottom"/>
          </w:tcPr>
          <w:p w14:paraId="74FB417C" w14:textId="7671FBA0" w:rsidR="006E557C" w:rsidRDefault="006E557C" w:rsidP="003800D9">
            <w:pPr>
              <w:rPr>
                <w:rFonts w:eastAsia="Times New Roman"/>
              </w:rPr>
            </w:pPr>
            <w:r>
              <w:rPr>
                <w:rFonts w:ascii="Calibri" w:eastAsia="Times New Roman" w:hAnsi="Calibri"/>
                <w:color w:val="000000"/>
              </w:rPr>
              <w:t>99.572%</w:t>
            </w:r>
          </w:p>
        </w:tc>
        <w:tc>
          <w:tcPr>
            <w:tcW w:w="1870" w:type="dxa"/>
            <w:vAlign w:val="bottom"/>
          </w:tcPr>
          <w:p w14:paraId="660C395E" w14:textId="0DCF15A0" w:rsidR="006E557C" w:rsidRDefault="006E557C" w:rsidP="003800D9">
            <w:pPr>
              <w:rPr>
                <w:rFonts w:eastAsia="Times New Roman"/>
              </w:rPr>
            </w:pPr>
            <w:r>
              <w:rPr>
                <w:rFonts w:ascii="Calibri" w:eastAsia="Times New Roman" w:hAnsi="Calibri"/>
                <w:color w:val="000000"/>
              </w:rPr>
              <w:t>77.623%</w:t>
            </w:r>
          </w:p>
        </w:tc>
        <w:tc>
          <w:tcPr>
            <w:tcW w:w="1870" w:type="dxa"/>
            <w:vAlign w:val="bottom"/>
          </w:tcPr>
          <w:p w14:paraId="7E01A6C8" w14:textId="5C7D4F33" w:rsidR="006E557C" w:rsidRDefault="006E557C" w:rsidP="003800D9">
            <w:pPr>
              <w:rPr>
                <w:rFonts w:eastAsia="Times New Roman"/>
              </w:rPr>
            </w:pPr>
            <w:r>
              <w:rPr>
                <w:rFonts w:ascii="Calibri" w:eastAsia="Times New Roman" w:hAnsi="Calibri"/>
                <w:color w:val="000000"/>
              </w:rPr>
              <w:t>91.131%</w:t>
            </w:r>
          </w:p>
        </w:tc>
        <w:tc>
          <w:tcPr>
            <w:tcW w:w="1870" w:type="dxa"/>
            <w:vAlign w:val="bottom"/>
          </w:tcPr>
          <w:p w14:paraId="20684C7B" w14:textId="4E543A95" w:rsidR="006E557C" w:rsidRDefault="006E557C" w:rsidP="003800D9">
            <w:pPr>
              <w:rPr>
                <w:rFonts w:eastAsia="Times New Roman"/>
              </w:rPr>
            </w:pPr>
            <w:r>
              <w:rPr>
                <w:rFonts w:ascii="Calibri" w:eastAsia="Times New Roman" w:hAnsi="Calibri"/>
                <w:color w:val="000000"/>
              </w:rPr>
              <w:t>90.745%</w:t>
            </w:r>
          </w:p>
        </w:tc>
      </w:tr>
    </w:tbl>
    <w:p w14:paraId="677AD192" w14:textId="3D26A784" w:rsidR="006E557C" w:rsidRDefault="00997D6B" w:rsidP="00997D6B">
      <w:pPr>
        <w:jc w:val="center"/>
        <w:rPr>
          <w:rFonts w:eastAsia="Times New Roman"/>
        </w:rPr>
      </w:pPr>
      <w:r>
        <w:rPr>
          <w:rFonts w:eastAsia="Times New Roman"/>
        </w:rPr>
        <w:t>Table 4 – Miss rates w/ and w/o a prefetcher and the success rate of prefetcher</w:t>
      </w:r>
    </w:p>
    <w:p w14:paraId="72B0B037" w14:textId="2FEA4514" w:rsidR="006E557C" w:rsidRDefault="00997D6B" w:rsidP="003800D9">
      <w:pPr>
        <w:rPr>
          <w:rFonts w:eastAsia="Times New Roman"/>
        </w:rPr>
      </w:pPr>
      <w:r>
        <w:rPr>
          <w:rFonts w:eastAsia="Times New Roman"/>
        </w:rPr>
        <w:br/>
      </w:r>
      <w:r w:rsidR="006E557C">
        <w:rPr>
          <w:rFonts w:eastAsia="Times New Roman"/>
        </w:rPr>
        <w:t>We can see that as the miss rate improves (LD/LD+PF) so does the success rate. This could be due to the same factor as explained above, namely the fact that instructions are usually encountered consecutively and thus by prefetching the next instruction we are likely to have prefetched an instruction that would have been missed otherwise</w:t>
      </w:r>
    </w:p>
    <w:p w14:paraId="7F6527BC" w14:textId="77777777" w:rsidR="006E557C" w:rsidRDefault="006E557C" w:rsidP="003800D9">
      <w:pPr>
        <w:rPr>
          <w:rFonts w:eastAsia="Times New Roman"/>
        </w:rPr>
      </w:pPr>
    </w:p>
    <w:p w14:paraId="1DCAE3A8" w14:textId="03082180" w:rsidR="006E557C" w:rsidRPr="00B61F7A" w:rsidRDefault="00B61F7A" w:rsidP="00637E9F">
      <w:pPr>
        <w:rPr>
          <w:rFonts w:eastAsia="Times New Roman"/>
          <w:b/>
          <w:sz w:val="28"/>
          <w:szCs w:val="28"/>
        </w:rPr>
      </w:pPr>
      <w:r w:rsidRPr="00B61F7A">
        <w:rPr>
          <w:rFonts w:eastAsia="Times New Roman"/>
          <w:b/>
          <w:sz w:val="28"/>
          <w:szCs w:val="28"/>
        </w:rPr>
        <w:t>Post Script</w:t>
      </w:r>
    </w:p>
    <w:p w14:paraId="0640E7C5" w14:textId="77777777" w:rsidR="00B61F7A" w:rsidRDefault="00B61F7A" w:rsidP="00637E9F">
      <w:pPr>
        <w:rPr>
          <w:rFonts w:eastAsia="Times New Roman"/>
        </w:rPr>
      </w:pPr>
    </w:p>
    <w:p w14:paraId="66B25DF1" w14:textId="453702A6" w:rsidR="006E557C" w:rsidRPr="0085313B" w:rsidRDefault="006E557C" w:rsidP="00637E9F">
      <w:pPr>
        <w:rPr>
          <w:sz w:val="18"/>
          <w:szCs w:val="18"/>
        </w:rPr>
      </w:pPr>
      <w:r>
        <w:rPr>
          <w:rFonts w:eastAsia="Times New Roman"/>
        </w:rPr>
        <w:t xml:space="preserve">At the time of writing the report I have realized that the SimpleScalar instructions are only 8-byte addressable. This means that in my implementation of the instruction cache I should have shifted the PC by 3 bits before taking the offset and index bits. Having done the masking correctly I would have likely had a higher hit rate for sections </w:t>
      </w:r>
      <w:r w:rsidR="00B61F7A">
        <w:rPr>
          <w:rFonts w:eastAsia="Times New Roman"/>
        </w:rPr>
        <w:t>(A) and (D).</w:t>
      </w:r>
    </w:p>
    <w:sectPr w:rsidR="006E557C" w:rsidRPr="0085313B" w:rsidSect="008E0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65"/>
    <w:rsid w:val="000905BE"/>
    <w:rsid w:val="00170449"/>
    <w:rsid w:val="001A548D"/>
    <w:rsid w:val="0021686A"/>
    <w:rsid w:val="002A4961"/>
    <w:rsid w:val="002B278A"/>
    <w:rsid w:val="002C3C26"/>
    <w:rsid w:val="002D15B5"/>
    <w:rsid w:val="002D7072"/>
    <w:rsid w:val="003544C7"/>
    <w:rsid w:val="00375965"/>
    <w:rsid w:val="003800D9"/>
    <w:rsid w:val="0055189F"/>
    <w:rsid w:val="00637E9F"/>
    <w:rsid w:val="006E557C"/>
    <w:rsid w:val="0085313B"/>
    <w:rsid w:val="008E0CF7"/>
    <w:rsid w:val="00997D6B"/>
    <w:rsid w:val="00A6601B"/>
    <w:rsid w:val="00AA0D79"/>
    <w:rsid w:val="00AC122A"/>
    <w:rsid w:val="00B61F7A"/>
    <w:rsid w:val="00BF3B7C"/>
    <w:rsid w:val="00C0141D"/>
    <w:rsid w:val="00E343BE"/>
    <w:rsid w:val="00F55E4C"/>
    <w:rsid w:val="00FA6C6D"/>
    <w:rsid w:val="00FB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5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0D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0D9"/>
    <w:pPr>
      <w:ind w:left="720"/>
      <w:contextualSpacing/>
    </w:pPr>
  </w:style>
  <w:style w:type="table" w:styleId="TableGrid">
    <w:name w:val="Table Grid"/>
    <w:basedOn w:val="TableNormal"/>
    <w:uiPriority w:val="39"/>
    <w:rsid w:val="00AA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7576">
      <w:bodyDiv w:val="1"/>
      <w:marLeft w:val="0"/>
      <w:marRight w:val="0"/>
      <w:marTop w:val="0"/>
      <w:marBottom w:val="0"/>
      <w:divBdr>
        <w:top w:val="none" w:sz="0" w:space="0" w:color="auto"/>
        <w:left w:val="none" w:sz="0" w:space="0" w:color="auto"/>
        <w:bottom w:val="none" w:sz="0" w:space="0" w:color="auto"/>
        <w:right w:val="none" w:sz="0" w:space="0" w:color="auto"/>
      </w:divBdr>
    </w:div>
    <w:div w:id="369963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784</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2017-11-24T23:58:00Z</dcterms:created>
  <dcterms:modified xsi:type="dcterms:W3CDTF">2017-11-25T06:10:00Z</dcterms:modified>
</cp:coreProperties>
</file>