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200" w:line="300" w:lineRule="auto"/>
        <w:jc w:val="start"/>
      </w:pPr>
      <w:r>
        <w:rPr>
          <w:rFonts w:ascii="DIN Next LT Arabic" w:cs="DIN Next LT Arabic" w:eastAsia="DIN Next LT Arabic" w:hAnsi="DIN Next LT Arabic"/>
          <w:b/>
          <w:bCs/>
          <w:color w:val="66686A"/>
          <w:sz w:val="17"/>
          <w:szCs w:val="17"/>
          <w:rtl/>
        </w:rPr>
        <w:t xml:space="preserve">تقرير ربعي للحملات التسويقية</w:t>
      </w:r>
    </w:p>
    <w:p>
      <w:pPr>
        <w:bidi/>
        <w:spacing w:after="40" w:before="0" w:line="300" w:lineRule="auto"/>
        <w:jc w:val="start"/>
      </w:pPr>
      <w:r>
        <w:rPr>
          <w:rFonts w:ascii="DIN Next LT Arabic" w:cs="DIN Next LT Arabic" w:eastAsia="DIN Next LT Arabic" w:hAnsi="DIN Next LT Arabic"/>
          <w:b/>
          <w:bCs/>
          <w:color w:val="2B2E30"/>
          <w:sz w:val="52"/>
          <w:szCs w:val="52"/>
          <w:rtl/>
        </w:rPr>
        <w:t xml:space="preserve">تقرير الربع الثالث 2026 م</w:t>
      </w:r>
    </w:p>
    <w:p>
      <w:pPr>
        <w:pBdr>
          <w:bottom w:val="single" w:color="F3741F" w:sz="14" w:space="10"/>
        </w:pBdr>
        <w:bidi/>
        <w:spacing w:after="200" w:before="0" w:line="300" w:lineRule="auto"/>
        <w:jc w:val="start"/>
      </w:pPr>
      <w:r>
        <w:rPr>
          <w:rFonts w:ascii="DIN Next LT Arabic" w:cs="DIN Next LT Arabic" w:eastAsia="DIN Next LT Arabic" w:hAnsi="DIN Next LT Arabic"/>
          <w:b/>
          <w:bCs/>
          <w:color w:val="D25C0C"/>
          <w:sz w:val="34"/>
          <w:szCs w:val="34"/>
          <w:rtl/>
        </w:rPr>
        <w:t xml:space="preserve">يوليو · أغسطس · سبتمبر</w:t>
      </w:r>
    </w:p>
    <w:p>
      <w:pPr>
        <w:bidi/>
        <w:spacing w:after="220" w:before="0" w:line="300" w:lineRule="auto"/>
        <w:jc w:val="start"/>
      </w:pPr>
      <w:r>
        <w:rPr>
          <w:rFonts w:ascii="Tahoma" w:cs="Tahoma" w:eastAsia="Tahoma" w:hAnsi="Tahoma"/>
          <w:b w:val="false"/>
          <w:bCs w:val="false"/>
          <w:color w:val="5E6265"/>
          <w:sz w:val="21"/>
          <w:szCs w:val="21"/>
          <w:rtl/>
        </w:rPr>
        <w:t xml:space="preserve">يغطي هذا التقرير أداء الحملات التسويقية في محطات درب خلال الربع الثالث من عام 2026 م، ويعرض لكل حملة قسماً مستقلاً يوضّح أداءها ومستهدفاتها وما تحقق منها وما لم يتحقق مع بيان المبررات، إضافة إلى مستهدفات فريق العمل الدورية، والتحديات التي واجهت التنفيذ والفرص الممكن الاستفادة منها في الربع القادم.</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900"/>
        <w:gridCol w:w="2148"/>
      </w:tblGrid>
      <w:tr>
        <w:trPr>
          <w:tblHeader/>
        </w:trPr>
        <w:tc>
          <w:tcPr>
            <w:tcW w:type="dxa" w:w="2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التقرير</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المحطات المشمولة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تاريخ الإصدار</w:t>
            </w:r>
          </w:p>
        </w:tc>
        <w:tc>
          <w:tcPr>
            <w:tcW w:type="dxa" w:w="21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الجهة المعدّة</w:t>
            </w:r>
          </w:p>
        </w:tc>
      </w:tr>
      <w:tr>
        <w:tc>
          <w:tcPr>
            <w:tcW w:type="dxa" w:w="2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 يوليو – 30 سبتمبر 2026 م</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 محطات</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 حملات</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 سبتمبر 2026 م</w:t>
            </w:r>
          </w:p>
        </w:tc>
        <w:tc>
          <w:tcPr>
            <w:tcW w:type="dxa" w:w="21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إدارة التسويق</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4,356,512</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الوصول</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400,000 — ‎1,089%‎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37,805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التفاعلات</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16,000 — ‎236%‎</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36,142</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الإنفاق الفعلي (ر.س)</w:t>
            </w:r>
          </w:p>
          <w:p>
            <w:pPr>
              <w:bidi/>
              <w:spacing w:after="0" w:before="0" w:line="300" w:lineRule="auto"/>
              <w:jc w:val="center"/>
            </w:pPr>
            <w:r>
              <w:rPr>
                <w:rFonts w:ascii="Tahoma" w:cs="Tahoma" w:eastAsia="Tahoma" w:hAnsi="Tahoma"/>
                <w:b w:val="false"/>
                <w:bCs w:val="false"/>
                <w:color w:val="8E9295"/>
                <w:sz w:val="15"/>
                <w:szCs w:val="15"/>
                <w:rtl/>
              </w:rPr>
              <w:t xml:space="preserve">استهلاك ‎100.4%‎ من مخصص 36,000 ر.س</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في 4 محطات</w:t>
            </w:r>
          </w:p>
          <w:p>
            <w:pPr>
              <w:bidi/>
              <w:spacing w:after="0" w:before="0" w:line="300" w:lineRule="auto"/>
              <w:jc w:val="center"/>
            </w:pPr>
            <w:r>
              <w:rPr>
                <w:rFonts w:ascii="Tahoma" w:cs="Tahoma" w:eastAsia="Tahoma" w:hAnsi="Tahoma"/>
                <w:b w:val="false"/>
                <w:bCs w:val="false"/>
                <w:color w:val="8E9295"/>
                <w:sz w:val="15"/>
                <w:szCs w:val="15"/>
                <w:rtl/>
              </w:rPr>
              <w:t xml:space="preserve">يوليو 1 · أغسطس 3 · سبتمبر لا توجد</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01 · الملخص التنفيذي</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المستهدفات · ما تحقق منها وما لم يتحقق</w:t>
      </w:r>
    </w:p>
    <w:p>
      <w:pPr>
        <w:bidi/>
        <w:spacing w:after="180" w:before="0" w:line="300" w:lineRule="auto"/>
        <w:jc w:val="start"/>
      </w:pPr>
      <w:r>
        <w:rPr>
          <w:rFonts w:ascii="Tahoma" w:cs="Tahoma" w:eastAsia="Tahoma" w:hAnsi="Tahoma"/>
          <w:b w:val="false"/>
          <w:bCs w:val="false"/>
          <w:color w:val="5E6265"/>
          <w:sz w:val="20"/>
          <w:szCs w:val="20"/>
          <w:rtl/>
        </w:rPr>
        <w:t xml:space="preserve">نُفّذت خلال الربع الثالث أربع حملات وعي بالعلامة التجارية في أربع محطات، جميعها من نوع «البنزين المجاني للسيارات الأولى» المرتبط بافتتاح المحطات والتعريف بها. تجاوز الأداء الإعلامي مستهدفاته بفارق كبير — الوصول بلغ عشرة أضعاف المستهدف — بينما ظل الإنفاق الإجمالي ضمن المخصص بفارق ‎0.4%‎. في المقابل، لم يُقَس أي أثر تجاري للحملات، ولم تَرِد بيانات حملات لشهر سبتمبر.</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50"/>
        <w:gridCol w:w="1250"/>
        <w:gridCol w:w="1250"/>
        <w:gridCol w:w="1100"/>
        <w:gridCol w:w="1350"/>
        <w:gridCol w:w="2448"/>
      </w:tblGrid>
      <w:tr>
        <w:trPr>
          <w:tblHeader/>
        </w:trPr>
        <w:tc>
          <w:tcPr>
            <w:tcW w:type="dxa" w:w="2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c>
          <w:tcPr>
            <w:tcW w:type="dxa" w:w="2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ملاحظة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400,000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4,356,512</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‎1,089%‎</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في الحملات الأربع دون استثناء</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16,000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37,805</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‎236%‎</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لثلاث حملات رُصد لها مستهدف تفاعل</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36,000 ر.س</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36,142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نجران عوّضه وفر حائل والروضة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أشهر الربع بالحملات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شهران</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‎67%‎</w:t>
            </w:r>
          </w:p>
        </w:tc>
        <w:tc>
          <w:tcPr>
            <w:tcW w:type="dxa" w:w="1350"/>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لم يتحقق</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سبتمبر بلا حملات مسجّلة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مهام الفريق الدورية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مهام</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مكتملة</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متوسط الإنجاز · التفصيل في القسم 05</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الفرص التجارية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العملاء المحوّلون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عائد الإنفاق (ROAS)</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0x</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احتسابه بغياب الأثر التجاري</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خلاصة ما تحقق</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الوصول: 4,356,512 مشاهدة مقابل مستهدف 400,000 — أي ‎1,089%‎ من المستهدف، وبتجاوز في كل حملة على حدة.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التفاعل: 37,805 تفاعلاً مقابل مستهدف 16,000 (‎236%‎)، بمعدلات تفاعل فعلية تراوحت بين ‎1.4%‎ و‎3.6%‎ من الوصول.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الانضباط المالي على مستوى المحفظة: 36,142 ر.س من مخصص 36,000 ر.س — انحراف ‎0.4%‎ فقط.</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كفاءة التكلفة: متوسط تكلفة الألف مشاهدة بلغ نحو 8.3 هللة.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نموذج «البنزين المجاني للسيارات الأولى» أثبت فاعليته كأداة افتتاح وتعريف بالمحطات الجديدة في أربع مناطق مختلفة.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02 · ما لم يتحقق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البنود التي لم تتحقق · المبررات والإجراء التصحيحي</w:t>
      </w:r>
    </w:p>
    <w:p>
      <w:pPr>
        <w:bidi/>
        <w:spacing w:after="180" w:before="0" w:line="300" w:lineRule="auto"/>
        <w:jc w:val="start"/>
      </w:pPr>
      <w:r>
        <w:rPr>
          <w:rFonts w:ascii="Tahoma" w:cs="Tahoma" w:eastAsia="Tahoma" w:hAnsi="Tahoma"/>
          <w:b w:val="false"/>
          <w:bCs w:val="false"/>
          <w:color w:val="5E6265"/>
          <w:sz w:val="20"/>
          <w:szCs w:val="20"/>
          <w:rtl/>
        </w:rPr>
        <w:t xml:space="preserve">حيث لم يَرِد مبرر موثّق في تقرير الحملة أو لوحة المتابعة، يُذكر ذلك صراحةً بدلاً من افتراضه.</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50"/>
        <w:gridCol w:w="1200"/>
        <w:gridCol w:w="1200"/>
        <w:gridCol w:w="2799"/>
        <w:gridCol w:w="2599"/>
      </w:tblGrid>
      <w:tr>
        <w:trPr>
          <w:tblHeader/>
        </w:trPr>
        <w:tc>
          <w:tcPr>
            <w:tcW w:type="dxa" w:w="1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7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شهر سبتمبر بالحملات</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تغطية الشهر</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لا توجد حملات</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تَرِد بيانات حملات لشهر سبتمبر حتى تاريخ إعداد التقرير — لم يتأكد ما إذا كانت لم تُنفَّذ حملات أصلاً أم أن بياناتها لم تُدخل في النظام.</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تأكيد الحالة مع فريق التشغيل واستكمال قسم سبتمبر قبل الاعتماد النهائي.</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بميزانية حملة نجران NJ219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للتجاوز في تقرير الحملة.</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مبرر التجاوز واعتماده، وضبط تقدير ميزانية الحملات الميدانية اليومية.</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حملة ظبيا JA070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للحملة في النظام.</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لاحتساب عائد الإنفاق، ومراجعة تحمّل الكلفة مع شريك الامتياز.</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الأثر التجاري للحملات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مستهدفات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الفرص التجارية والعملاء المحوّلون وعائد الإنفاق وتكلفة الفرصة ونسبة التحويل غير مُستهدفة وغير مقيسة في الحملات الأربع.</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مستهدفات تجارية لكل حملة قادمة، وربط القياس ببرنامج الولاء ونقاط البيع.</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أربع مهام دورية دون ‎40%‎ من مستهدفها</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المستهدف المعتمد</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 ‎33%‎</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دعم افتتاحات المحطات — امتياز تجاري (‎8%‎)، تغطية الافتتاحات — تشغيل (‎13%‎)، عرض البنزين — افتتاحات التشغيل (‎20%‎)، اجتماعات التشغيل (‎33%‎). لم تُسجَّل مبررات التأخر في لوحة المتابعة.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مبرر لكل مهمة متأخرة، وربط مهام الافتتاحات بجدول الافتتاحات المعتمد.</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 حائل HA052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تصريح الفعالية مسبقاً ولم يُتعاقد مع شركة حراسات أمنية قبل التنفيذ.</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التنسيق المسبق قبل التنفيذ</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تنسيق مكتمل</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 في 3 حملات</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تكررت الملاحظة في نجران NJ219، وحائل HA052 (مع مدير المحطة)، والروضة MK040 (مع الشريك والمؤثرين).</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إقفال التنسيق قبل أسبوعين من موعد التنفيذ كشرط لانطلاق الحملة.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03 · أداء الربع</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الوصول المتحقق لكل حملة وتوزيع الأداء على الأشهر</w:t>
      </w:r>
    </w:p>
    <w:p>
      <w:pPr>
        <w:spacing w:after="120"/>
      </w:pPr>
    </w:p>
    <w:p>
      <w:pPr>
        <w:bidi/>
        <w:spacing w:after="60" w:before="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bidi/>
        <w:spacing w:after="220" w:before="0" w:line="300" w:lineRule="auto"/>
        <w:jc w:val="center"/>
      </w:pPr>
      <w:r>
        <w:rPr>
          <w:rFonts w:ascii="Tahoma" w:cs="Tahoma" w:eastAsia="Tahoma" w:hAnsi="Tahoma"/>
          <w:b w:val="false"/>
          <w:bCs w:val="false"/>
          <w:color w:val="8E9295"/>
          <w:sz w:val="16"/>
          <w:szCs w:val="16"/>
          <w:rtl/>
        </w:rPr>
        <w:t xml:space="preserve">المستهدف موحّد لكل حملة عند 100,000 مشاهدة — تجاوزته الحملات الأربع بين 2.7 و26 ضعفاً.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توزيع الأداء على أشهر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600"/>
        <w:gridCol w:w="1300"/>
        <w:gridCol w:w="1500"/>
        <w:gridCol w:w="1500"/>
        <w:gridCol w:w="1098"/>
      </w:tblGrid>
      <w:tr>
        <w:trPr>
          <w:tblHeader/>
        </w:trPr>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الوصول</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التفاعلات</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الميزانية المخصصة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الإنفاق الفعلي</w:t>
            </w:r>
          </w:p>
        </w:tc>
        <w:tc>
          <w:tcPr>
            <w:tcW w:type="dxa" w:w="10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الحالة</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2,626,300</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21,000 ر.س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1,730,212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11,142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9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C6486B"/>
                <w:sz w:val="18"/>
                <w:szCs w:val="18"/>
                <w:rtl/>
              </w:rPr>
              <w:t xml:space="preserve">لا توجد بيانات</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4,356,512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36,142 ر.س</w:t>
            </w:r>
          </w:p>
        </w:tc>
        <w:tc>
          <w:tcPr>
            <w:tcW w:type="dxa" w:w="10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تنبيه على اكتمال التقرير</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هذا التقرير يغطي الربع الثالث كاملاً كما تنص متطلبات الإدارة، غير أن شهر سبتمبر لا يتضمن أي حملة مسجّلة حتى تاريخ الإصدار.</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جميع الأرقام المجمّعة في هذا التقرير تمثّل يوليو وأغسطس فقط، وستُحدَّث فور استلام بيانات سبتمبر أو تأكيد عدم تنفيذ حملات خلاله.</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04 · أقسام الحملات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قسم مستقل لكل حملة</w:t>
      </w:r>
    </w:p>
    <w:p>
      <w:pPr>
        <w:bidi/>
        <w:spacing w:after="120" w:before="0" w:line="300" w:lineRule="auto"/>
        <w:jc w:val="start"/>
      </w:pPr>
      <w:r>
        <w:rPr>
          <w:rFonts w:ascii="Tahoma" w:cs="Tahoma" w:eastAsia="Tahoma" w:hAnsi="Tahoma"/>
          <w:b w:val="false"/>
          <w:bCs w:val="false"/>
          <w:color w:val="5E6265"/>
          <w:sz w:val="20"/>
          <w:szCs w:val="20"/>
          <w:rtl/>
        </w:rPr>
        <w:t xml:space="preserve">لكل حملة قسم يوضّح بياناتها التعريفية، ومستهدفاتها وما تحقق منها، وميزانيتها، ثم أبرز النتائج والتحديات والفرص والتوصيات الخاصة بها.</w:t>
      </w:r>
    </w:p>
    <w:p>
      <w:pPr>
        <w:keepNext/>
        <w:pBdr>
          <w:bottom w:val="single" w:color="F3741F" w:sz="10" w:space="6"/>
        </w:pBdr>
        <w:bidi/>
        <w:spacing w:after="110" w:before="180" w:line="300" w:lineRule="auto"/>
        <w:jc w:val="start"/>
      </w:pPr>
      <w:r>
        <w:rPr>
          <w:rFonts w:ascii="DIN Next LT Arabic" w:cs="DIN Next LT Arabic" w:eastAsia="DIN Next LT Arabic" w:hAnsi="DIN Next LT Arabic"/>
          <w:b/>
          <w:bCs/>
          <w:color w:val="2B2E30"/>
          <w:sz w:val="26"/>
          <w:szCs w:val="26"/>
          <w:rtl/>
        </w:rPr>
        <w:t xml:space="preserve">01 · البنزين المجاني لأول 300 سيارة — نجران  </w:t>
      </w:r>
      <w:r>
        <w:rPr>
          <w:rFonts w:ascii="DIN Next LT Arabic" w:cs="DIN Next LT Arabic" w:eastAsia="DIN Next LT Arabic" w:hAnsi="DIN Next LT Arabic"/>
          <w:b/>
          <w:bCs/>
          <w:color w:val="D25C0C"/>
          <w:sz w:val="20"/>
          <w:szCs w:val="20"/>
          <w:rtl/>
        </w:rPr>
        <w:t xml:space="preserve">[NJ219]</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 يوليو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نجران NJ219</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21,000 ر.س · فعلي 25,000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2,626,300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‎2,626%‎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‎119%‎ استهلاك</w:t>
            </w:r>
          </w:p>
        </w:tc>
        <w:tc>
          <w:tcPr>
            <w:tcW w:type="dxa" w:w="17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تجاوز</w:t>
            </w:r>
          </w:p>
        </w:tc>
      </w:tr>
    </w:tbl>
    <w:p>
      <w:pPr>
        <w:bidi/>
        <w:spacing w:after="150" w:before="90" w:line="300" w:lineRule="auto"/>
        <w:jc w:val="start"/>
      </w:pPr>
      <w:r>
        <w:rPr>
          <w:rFonts w:ascii="Tahoma" w:cs="Tahoma" w:eastAsia="Tahoma" w:hAnsi="Tahoma"/>
          <w:b w:val="false"/>
          <w:bCs w:val="false"/>
          <w:color w:val="8E9295"/>
          <w:sz w:val="16"/>
          <w:szCs w:val="16"/>
          <w:rtl/>
        </w:rPr>
        <w:t xml:space="preserve">لم يُرصد مستهدف تفاعل لهذه الحملة ولم يُسجَّل تفاعل فعلي.</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في تقرير الحملة</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المبرر واعتماده، وضبط تقدير ميزانية الحملات الميدانية اليومية</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2,526,300 مشاهدة — ‎2,626%‎ من المستهدف، وهو أعلى أداء وصول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رفع الوعي بالعلامة التجارية في سوق نجران</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حضور ميداني قوي رافقه انتشار واسع في منصات التواصل الاجتماعي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قبل انطلاق الحملة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الإنفاق الفعلي للميزانية المخصصة بمقدار 4,000 ر.س (استهلاك ‎119%‎) دون مبرر موثّق</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تكرار النموذج في محطات أخرى بنفس المزيج الإعلاني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تحويل حجم الوصول المرتفع إلى تسجيلات في برنامج الولاء</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التنسيق المسبق كبند إلزامي قبل انطلاق أي حملة ميدانية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مبرر تجاوز الميزانية واعتماده</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 لقياس الأثر التجاري لا الوصول فقط</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02 · البنزين المجاني لأول 200 سيارة — الامتياز التجاري ظبيا  </w:t>
      </w:r>
      <w:r>
        <w:rPr>
          <w:rFonts w:ascii="DIN Next LT Arabic" w:cs="DIN Next LT Arabic" w:eastAsia="DIN Next LT Arabic" w:hAnsi="DIN Next LT Arabic"/>
          <w:b/>
          <w:bCs/>
          <w:color w:val="D25C0C"/>
          <w:sz w:val="20"/>
          <w:szCs w:val="20"/>
          <w:rtl/>
        </w:rPr>
        <w:t xml:space="preserve">[JA070]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ظبيا JA070 — امتياز تجاري</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تُسجَّل</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991,400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‎991%‎</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‎140%‎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مسجّلة</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‎1.4%‎ من إجمالي الوصول.</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الحملة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في تقرير الحملة — كلاهما صفر</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ومراجعة ترتيب تحمّل الكلفة مع شريك الامتياز</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891,400 مشاهدة — ‎991%‎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بنسبة ‎40%‎ (14,000 مقابل 10,000)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إثبات صلاحية النموذج في محطات الامتياز التجاري لا المحطات المملوكة فقط</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لم تُسجَّل ميزانية مخصصة ولا إنفاق فعلي للحملة في النظام، فتعذّر احتساب كفاءة الإنفاق وعائده</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توسيع النموذج على محطات الامتياز التجاري الأخرى</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إشراك شريك الامتياز في تحمّل جزء من كلفة الحملة مقابل التغطية</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استكمال تسجيل الميزانية المخصصة والفعلية لاحتساب عائد الإنفاق وتكلفة الوصول</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03 · البنزين المجاني لأول 100 سيارة — افتتاح حائل  </w:t>
      </w:r>
      <w:r>
        <w:rPr>
          <w:rFonts w:ascii="DIN Next LT Arabic" w:cs="DIN Next LT Arabic" w:eastAsia="DIN Next LT Arabic" w:hAnsi="DIN Next LT Arabic"/>
          <w:b/>
          <w:bCs/>
          <w:color w:val="D25C0C"/>
          <w:sz w:val="20"/>
          <w:szCs w:val="20"/>
          <w:rtl/>
        </w:rPr>
        <w:t xml:space="preserve">[HA052]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حائل HA052</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10,000 ر.س · فعلي 7,002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469,000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‎469%‎</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16,805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‎3.6%‎ من إجمالي الوصول — الأعلى بين حملات الربع.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المسبقة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التصريح ولم يُتعاقد مع شركة حراسات قبل التنفيذ</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369,000 مشاهدة — ‎469%‎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بأكثر من ثلاثة أضعاف (16,805 مقابل 5,000)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2,998 ر.س من الميزانية المخصصة (استهلاك ‎70%‎)</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إصدار تصريح الفعالية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التعاقد المسبق مع شركة حراسات أمنية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مدير المحطة</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الحملة كنموذج قياسي لافتتاحات المحطات الجديدة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توجيه الوفر في الميزانية لتوسيع التغطية بالمؤثرين</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التنسيق والتنظيم المسبق مع مدير المحطة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إدراج تصريح الفعالية والتعاقد الأمني ضمن قائمة تحقق إلزامية قبل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04 · افتتاح محطة درب — الروضة  </w:t>
      </w:r>
      <w:r>
        <w:rPr>
          <w:rFonts w:ascii="DIN Next LT Arabic" w:cs="DIN Next LT Arabic" w:eastAsia="DIN Next LT Arabic" w:hAnsi="DIN Next LT Arabic"/>
          <w:b/>
          <w:bCs/>
          <w:color w:val="D25C0C"/>
          <w:sz w:val="20"/>
          <w:szCs w:val="20"/>
          <w:rtl/>
        </w:rPr>
        <w:t xml:space="preserve">[MK040]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 – 29 أغسطس 2026 (3 أيام)</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الروضة MK040</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5,000 ر.س · فعلي 4,140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269,812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‎270%‎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4,140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‎2.6%‎ من إجمالي الوصول. الحملة الوحيدة الممتدة على ثلاثة أيام.</w:t>
      </w: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169,812 مشاهدة — ‎270%‎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بسبعة أضعاف (7,000 مقابل 1,000)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860 ر.س من الميزانية المخصصة (استهلاك ‎83%‎)</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الشريك</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المؤثرين</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تمديد مدة حملات الافتتاح إلى 3 أيام أثبت فاعليته — تعميمه على الافتتاحات القادمة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بناء قائمة مؤثرين معتمدة مسبقاً لكل منطقة لتسريع التعاقد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إقفال التنسيق مع الشريك والمؤثرين قبل أسبوعين من موعد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05 · مستهدفات فريق العمل</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المهام الدورية والشهرية · المستهدف مقابل الإنجاز</w:t>
      </w:r>
    </w:p>
    <w:p>
      <w:pPr>
        <w:bidi/>
        <w:spacing w:after="180" w:before="0" w:line="300" w:lineRule="auto"/>
        <w:jc w:val="start"/>
      </w:pPr>
      <w:r>
        <w:rPr>
          <w:rFonts w:ascii="Tahoma" w:cs="Tahoma" w:eastAsia="Tahoma" w:hAnsi="Tahoma"/>
          <w:b w:val="false"/>
          <w:bCs w:val="false"/>
          <w:color w:val="5E6265"/>
          <w:sz w:val="20"/>
          <w:szCs w:val="20"/>
          <w:rtl/>
        </w:rPr>
        <w:t xml:space="preserve">إلى جانب أداء الحملات، يلتزم فريق التسويق بتسع مهام دورية معتمدة. الأرقام أدناه هي الإنجاز المسجّل في لوحة متابعة المهام حتى تاريخ إعداد هذا التقرير مقابل المستهدف المعتمد لكل مهمة، مرتبة تنازلياً بحسب نسبة الإنجاز.</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دورية معتمدة</w:t>
            </w:r>
          </w:p>
          <w:p>
            <w:pPr>
              <w:bidi/>
              <w:spacing w:after="0" w:before="0" w:line="300" w:lineRule="auto"/>
              <w:jc w:val="center"/>
            </w:pPr>
            <w:r>
              <w:rPr>
                <w:rFonts w:ascii="Tahoma" w:cs="Tahoma" w:eastAsia="Tahoma" w:hAnsi="Tahoma"/>
                <w:b w:val="false"/>
                <w:bCs w:val="false"/>
                <w:color w:val="8E9295"/>
                <w:sz w:val="15"/>
                <w:szCs w:val="15"/>
                <w:rtl/>
              </w:rPr>
              <w:t xml:space="preserve">مهمة واحدة مكتملة · 8 قيد التنفيذ</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نسبة الإنجاز</w:t>
            </w:r>
          </w:p>
          <w:p>
            <w:pPr>
              <w:bidi/>
              <w:spacing w:after="0" w:before="0" w:line="300" w:lineRule="auto"/>
              <w:jc w:val="center"/>
            </w:pPr>
            <w:r>
              <w:rPr>
                <w:rFonts w:ascii="Tahoma" w:cs="Tahoma" w:eastAsia="Tahoma" w:hAnsi="Tahoma"/>
                <w:b w:val="false"/>
                <w:bCs w:val="false"/>
                <w:color w:val="8E9295"/>
                <w:sz w:val="15"/>
                <w:szCs w:val="15"/>
                <w:rtl/>
              </w:rPr>
              <w:t xml:space="preserve">متوسط نسب الإنجاز عبر المهام التسع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دون ‎40%‎</w:t>
            </w:r>
          </w:p>
          <w:p>
            <w:pPr>
              <w:bidi/>
              <w:spacing w:after="0" w:before="0" w:line="300" w:lineRule="auto"/>
              <w:jc w:val="center"/>
            </w:pPr>
            <w:r>
              <w:rPr>
                <w:rFonts w:ascii="Tahoma" w:cs="Tahoma" w:eastAsia="Tahoma" w:hAnsi="Tahoma"/>
                <w:b w:val="false"/>
                <w:bCs w:val="false"/>
                <w:color w:val="8E9295"/>
                <w:sz w:val="15"/>
                <w:szCs w:val="15"/>
                <w:rtl/>
              </w:rPr>
              <w:t xml:space="preserve">تحتاج خطة استدراك في الربع الرابع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الوحدات المنجزة</w:t>
            </w:r>
          </w:p>
          <w:p>
            <w:pPr>
              <w:bidi/>
              <w:spacing w:after="0" w:before="0" w:line="300" w:lineRule="auto"/>
              <w:jc w:val="center"/>
            </w:pPr>
            <w:r>
              <w:rPr>
                <w:rFonts w:ascii="Tahoma" w:cs="Tahoma" w:eastAsia="Tahoma" w:hAnsi="Tahoma"/>
                <w:b w:val="false"/>
                <w:bCs w:val="false"/>
                <w:color w:val="8E9295"/>
                <w:sz w:val="15"/>
                <w:szCs w:val="15"/>
                <w:rtl/>
              </w:rPr>
              <w:t xml:space="preserve">من إجمالي 287 وحدة مستهدفة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250"/>
        <w:gridCol w:w="1400"/>
        <w:gridCol w:w="1848"/>
      </w:tblGrid>
      <w:tr>
        <w:trPr>
          <w:tblHeader/>
        </w:trPr>
        <w:tc>
          <w:tcPr>
            <w:tcW w:type="dxa" w:w="3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المهمة</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الإنجاز</w:t>
            </w:r>
          </w:p>
        </w:tc>
        <w:tc>
          <w:tcPr>
            <w:tcW w:type="dxa" w:w="1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ملف المؤثرين مصنفين بالمدن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مكتمل</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المشاركة في الأيام العالمية والمناسبات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متقدم</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عقود مؤثرين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الامتياز التجاري</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الامتياز التجاري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التشغيل</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‎20%‎</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افتتاحات المحطات الجديدة — 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13</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دعم افتتاحات المحطات الجديدة — امتياز 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F3741F" w:sz="18"/>
            </w:tcBorders>
            <w:shd w:fill="FDEAD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D25C0C"/>
                <w:sz w:val="21"/>
                <w:szCs w:val="21"/>
                <w:rtl/>
              </w:rPr>
              <w:t xml:space="preserve">قراءة سريعة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مهمة واحدة مكتملة: «ملف المؤثرين مصنفين بالمدن» بنسبة ‎100%‎ — وهي المهمة التأسيسية الوحيدة ضمن القائمة.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الأقرب للاكتمال: «المشاركة في الأيام العالمية والمناسبات» عند ‎83%‎ (10 من 12).</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أربع مهام دون ‎40%‎، وثلاث منها مرتبطة مباشرة بافتتاحات المحطات: تغطية الافتتاحات — تشغيل (‎13%‎)، ودعم الافتتاحات — امتياز تجاري (‎8%‎)، وعرض البنزين — افتتاحات التشغيل (‎20%‎). وهي مهام يرتبط إنجازها بوتيرة الافتتاحات الفعلية لا بجهد الفريق وحده.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اجتماعات التشغيل عند ‎33%‎ مقابل اجتماعات الامتياز التجاري عند ‎50%‎ — فجوة تستدعي تثبيت وتيرة اجتماعات التشغيل.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لم تُسجَّل مبررات التأخر في لوحة المهام، ويُوصى بإضافتها لكل مهمة دون ‎40%‎ قبل إقفال الربع.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06 · التحديات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التحديات التي واجهت تنفيذ حملات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50"/>
        <w:gridCol w:w="3450"/>
        <w:gridCol w:w="2100"/>
        <w:gridCol w:w="2848"/>
      </w:tblGrid>
      <w:tr>
        <w:trPr>
          <w:tblHeader/>
        </w:trPr>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المجال</w:t>
            </w:r>
          </w:p>
        </w:tc>
        <w:tc>
          <w:tcPr>
            <w:tcW w:type="dxa" w:w="3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التحدي</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الحملات المتأثرة</w:t>
            </w:r>
          </w:p>
        </w:tc>
        <w:tc>
          <w:tcPr>
            <w:tcW w:type="dxa" w:w="2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الأثر</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تشغيلي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ضعف التنسيق المسبق قبل انطلاق الحملة — مع مدير المحطة والشريك والمؤثرين</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 · HA052 · MK040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 في 3 حملات من 4؛ يرفع مخاطر التنفيذ ويقلّص زمن التجهيز</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تنظيمي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إصدار تصريح الفعالية والتعاقد مع شركة حراسات أمنية قبل التنفيذ</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HA052</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مخاطرة نظامية وأمنية مباشرة على فعالية جماهيرية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الميزانية المخصصة دون مبرر موثّق</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(‎119%‎ استهلاك)</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تسجيل الميزانية المخصصة والفعلية للحملة</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 كفاءة الإنفاق وعائده للحملة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المؤشرات التجارية غير مُستهدفة وغير مقيسة</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الأربع</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التقييم مقتصر على الوصول والتفاعل دون أثر على المبيعات</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في النظام تحت مسمى «معدل التفاعل %»</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 · HA052 · MK040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يُنتج قيماً مضلّلة مثل «‎16,805%‎» ما لم تُصحَّح وحدة القياس</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تخطيطي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مستهدف الوصول الموحّد (100,000 لكل حملة) أقل بكثير من الأداء الفعلي</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الأربع</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بين 2.7 و26 ضعفاً يُفقد المستهدف قيمته كأداة قياس</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غياب حملات مسجّلة في شهر سبتمبر</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ثلث الربع بلا نشاط تسويقي موثّق</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07 · الفرص</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الفرص الممكن الاستفادة منها</w:t>
      </w:r>
    </w:p>
    <w:p>
      <w:pPr>
        <w:bidi/>
        <w:spacing w:after="180" w:before="0" w:line="300" w:lineRule="auto"/>
        <w:jc w:val="start"/>
      </w:pPr>
      <w:r>
        <w:rPr>
          <w:rFonts w:ascii="Tahoma" w:cs="Tahoma" w:eastAsia="Tahoma" w:hAnsi="Tahoma"/>
          <w:b w:val="false"/>
          <w:bCs w:val="false"/>
          <w:color w:val="5E6265"/>
          <w:sz w:val="20"/>
          <w:szCs w:val="20"/>
          <w:rtl/>
        </w:rPr>
        <w:t xml:space="preserve">فرص مستخلصة من أداء الربع نفسه، قابلة للتفعيل خلال الربع الرابع.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توسيع نموذج أثبت نجاحه</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تعميم «البنزين المجاني للسيارات الأولى» كنموذج قياسي لكل افتتاح محطة جديدة — كلفة منخفضة ووصول يفوق المستهدف بأضعاف.</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تمديد مدة حملة الافتتاح إلى ثلاثة أيام كما في الروضة MK040 بدل يوم واحد.</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نقل النموذج إلى محطات الامتياز التجاري بعد نجاحه في ظبيا JA070.</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تحويل الوصول إلى قيمة تجارية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ربط الحملات ببرنامج الولاء وتحويل الوصول المرتفع إلى تسجيلات وعملاء متكررين.</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تفعيل قياس الفرص التجارية والعملاء المحوّلين لاحتساب عائد الإنفاق لأول مرة.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إشراك شريك الامتياز في تحمّل جزء من كلفة الحملة مقابل التغطية.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رفع جاهزية التنفيذ</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إعداد دليل تشغيلي موحّد للافتتاحات يغطي التصاريح والحراسات والتنسيق مع مدير المحطة والشريك.</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بناء قائمة مؤثرين معتمدة لكل منطقة لتقصير زمن التعاقد ورفع جودة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إعادة معايرة مستهدف الوصول على أساس الأداء الفعلي بدل رقم ثابت لا يعكس حجم المحطة أو المنطقة.</w:t>
      </w:r>
    </w:p>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08 · التوصيات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التوصيات والخطوات التالية للربع الرابع</w:t>
      </w:r>
    </w:p>
    <w:p>
      <w:pPr>
        <w:bidi/>
        <w:spacing w:after="180" w:before="0" w:line="300" w:lineRule="auto"/>
        <w:jc w:val="start"/>
      </w:pPr>
      <w:r>
        <w:rPr>
          <w:rFonts w:ascii="Tahoma" w:cs="Tahoma" w:eastAsia="Tahoma" w:hAnsi="Tahoma"/>
          <w:b w:val="false"/>
          <w:bCs w:val="false"/>
          <w:color w:val="5E6265"/>
          <w:sz w:val="20"/>
          <w:szCs w:val="20"/>
          <w:rtl/>
        </w:rPr>
        <w:t xml:space="preserve">مرتبة بحسب الأولوية — الأثر على جودة القرار أولاً، ثم جاهزية التنفيذ، ثم التوسع.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4300"/>
        <w:gridCol w:w="2248"/>
      </w:tblGrid>
      <w:tr>
        <w:trPr>
          <w:tblHeader/>
        </w:trPr>
        <w:tc>
          <w:tcPr>
            <w:tcW w:type="dxa" w:w="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w:t>
            </w:r>
          </w:p>
        </w:tc>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التوصية</w:t>
            </w:r>
          </w:p>
        </w:tc>
        <w:tc>
          <w:tcPr>
            <w:tcW w:type="dxa" w:w="4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c>
          <w:tcPr>
            <w:tcW w:type="dxa" w:w="22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التوقيت</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مستهدفات تجارية لكل حملة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تحديد مستهدف للفرص التجارية والعملاء المحوّلين وعائد الإنفاق قبل اعتماد أي حملة، وربط القياس ببرنامج الولاء ونقاط البيع. بدون ذلك يبقى تقييم الحملات مقتصراً على الوصول.</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انطلاق حملات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2</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وحدة قياس التفاعل في النظام</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كعدد ومعدل التفاعل كنسبة في حقلين منفصلين، لتفادي قيم مضلّلة مثل «‎16,805%‎» في التقارير المرفوعة للإدارة.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إجراء فوري</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3</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قائمة تحقق إلزامية قبل اعتماد أي حملة ميدانية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تشمل تصريح الفعالية، التعاقد الأمني، التنسيق المكتمل مع مدير المحطة والشريك والمؤثرين، واعتماد الميزانية — ولا تنطلق الحملة قبل استيفائها.</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أول افتتاح قادم</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4</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استكمال البيانات الناقصة للربع الثالث</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إدخال ميزانية حملة ظبيا JA070، وتوثيق مبرر تجاوز ميزانية نجران NJ219، وتأكيد وضع شهر سبتمبر — ثم إعادة اعتماد هذا التقرير بنسخته النهائية.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الاعتماد النهائي</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5</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خطة استدراك للمهام الدورية المتأخرة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مهام دون ‎40%‎ من مستهدفها، ثلاث منها مرتبطة بوتيرة افتتاحات المحطات. يلزم ربطها بجدول الافتتاحات المعتمد للربع الرابع، وتسجيل مبرر لكل مهمة متأخرة.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إقفال الربع الثالث</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6</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إعادة معايرة مستهدف الوصول</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استبدال المستهدف الموحّد (100,000) بمستهدف يُبنى على حجم المحطة وكثافة المنطقة وقنوات التنفيذ، مستفيدين من الأداء الفعلي في الربع الثالث كخط أساس.</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ضمن خطة الربع الرابع</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7</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تحديث حالات الحملات في النظام</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حائل HA052 والروضة MK040 ما زالتا بحالة «مخطط لها» رغم تنفيذهما وتسجيل نتائج وإنفاق فعلي لهما.</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إجراء فوري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8</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توسيع النموذج على الافتتاحات القادمة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«البنزين المجاني» كحزمة افتتاح قياسية بثلاثة أيام، مع قائمة مؤثرين معتمدة مسبقاً لكل منطقة.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خطة الربع الرابع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09 · الملحق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المنهجية ومصادر البيانات وملاحظات الجودة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7548"/>
      </w:tblGrid>
      <w:tr>
        <w:trPr>
          <w:tblHeader/>
        </w:trPr>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75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البيانات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بطاقات تقارير الحملات الصادرة من نظام إدارة الحملات التسويقية — محطات درب، ولوحة «المهام الدورية والشهرية لفريق العمل».</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فترة التغطية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يوليو – 30 سبتمبر 2026 م (الربع الثالث).</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الإنجاز</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 المتحقق ÷ المستهدف. «تحقق» عند ‎100%‎ فأكثر، و«تحقق جزئياً» بين ‎80%‎ و‎99%‎، وما دون ذلك «لم يتحقق».</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تكلفة الألف مشاهدة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الإنفاق الفعلي ÷ إجمالي الوصول × 1000 = 36,142 ÷ 4,356,512 × 1000 ≈ 8.3 هللة.</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وحدة التفاعل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تعرض بطاقات النظام حقل «معدل التفاعل %» بقيم تمثل عدد التفاعلات لا نسبة مئوية (مثال: 14,000 تفاعل على وصول 991,400 = معدل ‎1.4%‎). عولجت في هذا التقرير كعدد تفاعلات، وأُدرج المعدل الفعلي المحسوب ضمن نتائج كل حملة.</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حالات الحملات</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HA052 وMK040 مسجّلتان في النظام بحالة «مخطط لها» رغم مرور تاريخ تنفيذهما وتسجيل نتائج وإنفاق فعلي؛ عُوملتا في هذا التقرير كحملتين منتهيتين.</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مستهدفات فريق العمل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الفترة الزمنية التي يغطيها كل مستهدف (سنوية أم ربعية) لم تُحدَّد في لوحة المتابعة، لذا عُرضت النسب كما هي دون مقارنتها بنسبة الزمن المنقضي.</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البيانات الناقصة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JA070 غير مسجّلة · مبرر تجاوز ميزانية NJ219 غير موثّق · لا توجد حملات مسجّلة في سبتمبر · المؤشرات التجارية غير مقيسة في الحملات الأربع.</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التقرير</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الأرقام المجمّعة تمثّل يوليو وأغسطس فقط. لا يتضمن التقرير قياساً لأثر الحملات على المبيعات أو حركة العملاء داخل المحطات لعدم توفر بياناته.</w:t>
            </w:r>
          </w:p>
        </w:tc>
      </w:tr>
    </w:tbl>
    <w:p>
      <w:pPr>
        <w:spacing w:after="300"/>
      </w:pPr>
    </w:p>
    <w:p>
      <w:pPr>
        <w:pBdr>
          <w:top w:val="single" w:color="DEDFE1" w:sz="6" w:space="8"/>
        </w:pBdr>
        <w:bidi/>
        <w:spacing w:after="60" w:before="0" w:line="300" w:lineRule="auto"/>
        <w:jc w:val="center"/>
      </w:pPr>
      <w:r>
        <w:rPr>
          <w:rFonts w:ascii="Tahoma" w:cs="Tahoma" w:eastAsia="Tahoma" w:hAnsi="Tahoma"/>
          <w:b w:val="false"/>
          <w:bCs w:val="false"/>
          <w:color w:val="8E9295"/>
          <w:sz w:val="17"/>
          <w:szCs w:val="17"/>
          <w:rtl/>
        </w:rPr>
        <w:t xml:space="preserve">إعداد: إدارة التسويق · أخصائي الحملات التسويقية        تاريخ الإصدار: 27 سبتمبر 2026 م</w:t>
      </w:r>
    </w:p>
    <w:p>
      <w:pPr>
        <w:bidi/>
        <w:spacing w:after="120" w:before="0" w:line="300" w:lineRule="auto"/>
        <w:jc w:val="center"/>
      </w:pPr>
      <w:r>
        <w:rPr>
          <w:rFonts w:ascii="Tahoma" w:cs="Tahoma" w:eastAsia="Tahoma" w:hAnsi="Tahoma"/>
          <w:b w:val="false"/>
          <w:bCs w:val="false"/>
          <w:color w:val="8E9295"/>
          <w:sz w:val="15"/>
          <w:szCs w:val="15"/>
          <w:rtl/>
        </w:rPr>
        <w:t xml:space="preserve">محطات درب © 2026 م — وثيقة داخلية لأغراض المتابعة الإدارية</w:t>
      </w:r>
    </w:p>
    <w:sectPr>
      <w:headerReference w:type="default" r:id="rId7"/>
      <w:headerReference w:type="first" r:id="rId8"/>
      <w:headerReference w:type="even" r:id="rId9"/>
      <w:pgSz w:w="12240" w:h="15840" w:orient="portrait"/>
      <w:pgMar w:top="1950" w:right="1296" w:bottom="1150" w:left="1296" w:header="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B2E30"/>
        <w:sz w:val="20"/>
        <w:szCs w:val="20"/>
        <w:rtl/>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471476e20fc2d8c938540522e37413ec47e8b31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2.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3.xml.rels><?xml version="1.0" encoding="UTF-8"?><Relationships xmlns="http://schemas.openxmlformats.org/package/2006/relationships"><Relationship Id="rId0" Type="http://schemas.openxmlformats.org/officeDocument/2006/relationships/image" Target="media/6345cdf00b32293dcda61d3a15063690eb34205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الربع الثالث 2026 م — الحملات التسويقية</dc:title>
  <dc:creator>إدارة التسويق · محطات درب</dc:creator>
  <dc:description>تقرير الربع الثالث 2026 للحملات التسويقية في محطات درب (يوليو · أغسطس · سبتمبر).</dc:description>
  <cp:lastModifiedBy>Un-named</cp:lastModifiedBy>
  <cp:revision>1</cp:revision>
  <dcterms:created xsi:type="dcterms:W3CDTF">2026-09-27T06:58:33.659Z</dcterms:created>
  <dcterms:modified xsi:type="dcterms:W3CDTF">2026-09-27T06:58:33.659Z</dcterms:modified>
</cp:coreProperties>
</file>

<file path=docProps/custom.xml><?xml version="1.0" encoding="utf-8"?>
<Properties xmlns="http://schemas.openxmlformats.org/officeDocument/2006/custom-properties" xmlns:vt="http://schemas.openxmlformats.org/officeDocument/2006/docPropsVTypes"/>
</file>