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أداء قناة البريد الإلكتروني، ومستهدفات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+ 9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4,519,865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‎1,130%‎</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3 حملات مقيسة — 6.1× تكلفتها</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66,149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الإنفاق (ر.س)</w:t>
            </w:r>
          </w:p>
          <w:p>
            <w:pPr>
              <w:bidi/>
              <w:spacing w:after="0" w:before="0" w:line="300" w:lineRule="auto"/>
              <w:jc w:val="center"/>
            </w:pPr>
            <w:r>
              <w:rPr>
                <w:rFonts w:ascii="Tahoma" w:cs="Tahoma" w:eastAsia="Tahoma" w:hAnsi="Tahoma"/>
                <w:b w:val="false"/>
                <w:bCs w:val="false"/>
                <w:color w:val="8E9295"/>
                <w:sz w:val="15"/>
                <w:szCs w:val="15"/>
                <w:rtl/>
              </w:rPr>
              <w:t xml:space="preserve">منها 36,142 ر.س على الحملات ذات الميزانية المعتمدة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منفّذة</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1</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خمس حملات: أربع حملات «البنزين المجاني للسيارات الأولى» المرتبطة بافتتاح المحطات في يوليو وأغسطس، وفعالية اليوم الوطني في تسع محطات خلال سبتمبر. تجاوز الأداء الإعلامي للحملات الأربع مستهدفاته بفارق كبير — الوصول بلغ عشرة أضعاف المستهدف — وظل إنفاقها ضمن المخصص بفارق ‎0.4%‎. في المقابل نُفّذت فعالية اليوم الوطني بتكلفة 30,007 ر.س دون مستهدف معتمد ودون قياس وصول أو تفاعل، ولم يُقَس أي أثر تجاري لأي من الحملات الخمس.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4,519,865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‎1,130%‎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لأربع حملات من خمس — فعالية اليوم الوطني غير مقيسة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معدلات لكل حملة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~263,950 تفاعل</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 و‎16.8%‎ و‎7.0%‎ مقابل ‎10%‎ و‎5%‎ و‎1%‎</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للحملات الأربع ذات الميزانية المعتمدة فقط</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الإنفاق على حملات الربع</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يُعتمد مستهدف شامل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66,149 ر.س</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مُقارَن</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منها 30,007 ر.س لفعالية اليوم الوطني دون ميزانية معتمدة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يوليو 1 · أغسطس 3 · سبتمبر 1</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06</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الإيراد الإضافي المقدَّر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220,431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 التفصيل في القسم 04</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(إيراد ÷ تكلفة)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مُقاس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إيراد إضافي لا ربح · 3 حملات من 5</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4,519,865 مشاهدة مقابل مستهدف 400,000 — أي ‎1,130%‎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نحو 263,950 تفاعلاً. المستهدف مرصود كمعدل لكل حملة (‎10%‎ · ‎5%‎ · ‎1%‎) وتحقق ‎14.0%‎ و‎16.8%‎ و‎7.0%‎ — أي 1.4 و3.4 و7.0 أضعافه.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الأثر باقٍ حتى سبتمبر: 1,412,617 ر.س من المحطات الثلاث في أول 27 يوماً — حائل ‎+29.6%‎ والروضة ‎+65.7%‎ عن أغسطس، ونجران ‎-4.4%‎ لكنها أعلى بـ‎60%‎ من مستواها قبل حملة يوليو.</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قناة البريد الإلكتروني: 235 رسالة في الربع وصل منها 219 (نسبة تسليم ‎93.2%‎ مقابل ‎20.0%‎ في الفترة السابقة)، لكن معدل الفتح ‎7.3%‎ فقط — نحو 16 قارئاً. القناة بلا مستهدف معتمد وبلا قياس للنقر أو التحويل.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36,142 ر.س من مخصص 36,000 ر.س — انحراف ‎0.4%‎، وتكلفة الألف مشاهدة نحو 8.0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في أربع مناطق.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 مستهدف</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نُفّذت الفعالية في تسع محطات بتكلفة 30,007 ر.س — ‎45%‎ من إجمالي إنفاق الربع — دون تسجيل وصول أو تفاعل أو أي مؤشر أداء.</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 وقياس لكل فعالية مناسبات قادمة، وربط المواد الموزعة برمز QR لقياس التفاعل.</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زيادة 1,200 ر.س (‎+6.2%‎) على بند الليزرات بعد اعتماده رفعت سعر الوحدة من 603.75 إلى 641.25 ر.س، دون توثيق السبب.</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 لفعالية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فعلي</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 المبلغ دون ميزانية مخصصة معتمدة مسجّلة، فتعذّرت مقارنة المصروف بالمخطط.</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الحملات الأربع ذات الوصول المقيس. فعالية اليوم الوطني غير مدرجة لعدم قياس وصولها.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263,950</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مسجّلة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30,007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4,519,865</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263,950</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66,149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نطاق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أرقام الوصول والتفاعل تمثّل أربع حملات من خمس؛ فعالية اليوم الوطني نُفّذت دون قياس وصول أو تفاعل فلا تدخل في تلك المجاميع.</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مجموع الإنفاق (66,149 ر.س) يشمل الحملات الخمس، وتمثّل فعالية اليوم الوطني ‎45%‎ منه — أكبر بند إنفاق في الربع وأقلّه قياساً.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الأثر على المبيعات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ما الذي أعادته الحملات على المبيعات فعلياً</w:t>
      </w:r>
    </w:p>
    <w:p>
      <w:pPr>
        <w:bidi/>
        <w:spacing w:after="180" w:before="0" w:line="300" w:lineRule="auto"/>
        <w:jc w:val="start"/>
      </w:pPr>
      <w:r>
        <w:rPr>
          <w:rFonts w:ascii="Tahoma" w:cs="Tahoma" w:eastAsia="Tahoma" w:hAnsi="Tahoma"/>
          <w:b w:val="false"/>
          <w:bCs w:val="false"/>
          <w:color w:val="5E6265"/>
          <w:sz w:val="20"/>
          <w:szCs w:val="20"/>
          <w:rtl/>
        </w:rPr>
        <w:t xml:space="preserve">لأول مرة يُقاس الأثر التجاري للحملات. المصدر بيانات معاملات البيع للمحطات الثلاث، بمقارنة متوسط الإيراد اليومي قبل كل حملة بيومها وبالفترة التالية لها.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ثلاث حملات مقيسة في يوليو وأغسطس</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الإيراد الإضافي ÷ الإنفاق</w:t>
            </w:r>
          </w:p>
          <w:p>
            <w:pPr>
              <w:bidi/>
              <w:spacing w:after="0" w:before="0" w:line="300" w:lineRule="auto"/>
              <w:jc w:val="center"/>
            </w:pPr>
            <w:r>
              <w:rPr>
                <w:rFonts w:ascii="Tahoma" w:cs="Tahoma" w:eastAsia="Tahoma" w:hAnsi="Tahoma"/>
                <w:b w:val="false"/>
                <w:bCs w:val="false"/>
                <w:color w:val="8E9295"/>
                <w:sz w:val="15"/>
                <w:szCs w:val="15"/>
                <w:rtl/>
              </w:rPr>
              <w:t xml:space="preserve">220,431 ر.س مقابل 36,142 ر.س تكلفة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‎+50%‎</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ارتفاع الإيراد اليومي</w:t>
            </w:r>
          </w:p>
          <w:p>
            <w:pPr>
              <w:bidi/>
              <w:spacing w:after="0" w:before="0" w:line="300" w:lineRule="auto"/>
              <w:jc w:val="center"/>
            </w:pPr>
            <w:r>
              <w:rPr>
                <w:rFonts w:ascii="Tahoma" w:cs="Tahoma" w:eastAsia="Tahoma" w:hAnsi="Tahoma"/>
                <w:b w:val="false"/>
                <w:bCs w:val="false"/>
                <w:color w:val="8E9295"/>
                <w:sz w:val="15"/>
                <w:szCs w:val="15"/>
                <w:rtl/>
              </w:rPr>
              <w:t xml:space="preserve">بعد الحملات: ‎38%‎ · ‎54%‎ · ‎59%‎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 من 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قيس أثرها التجاري</w:t>
            </w:r>
          </w:p>
          <w:p>
            <w:pPr>
              <w:bidi/>
              <w:spacing w:after="0" w:before="0" w:line="300" w:lineRule="auto"/>
              <w:jc w:val="center"/>
            </w:pPr>
            <w:r>
              <w:rPr>
                <w:rFonts w:ascii="Tahoma" w:cs="Tahoma" w:eastAsia="Tahoma" w:hAnsi="Tahoma"/>
                <w:b w:val="false"/>
                <w:bCs w:val="false"/>
                <w:color w:val="8E9295"/>
                <w:sz w:val="15"/>
                <w:szCs w:val="15"/>
                <w:rtl/>
              </w:rPr>
              <w:t xml:space="preserve">ظبيا وفعالية اليوم الوطني بلا بيانات مبيعات</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100"/>
        <w:gridCol w:w="1150"/>
        <w:gridCol w:w="1050"/>
        <w:gridCol w:w="1200"/>
        <w:gridCol w:w="1000"/>
        <w:gridCol w:w="898"/>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الحملة</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خط الأساس (ر.س/يوم)</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يوم الحملة</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بعد الحملة</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الأثر الباقي</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 إضافي</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التكلفة</w:t>
            </w:r>
          </w:p>
        </w:tc>
        <w:tc>
          <w:tcPr>
            <w:tcW w:type="dxa" w:w="8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المضاعف</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نجران المركب NJ219</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121,951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4.9×</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حائل الأمير سعود HA052</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68,419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7,002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9.8×</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افتتاح الروضة MK040</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30,061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4,140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7.3×</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220,431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36,142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6.1×</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قراءة النتائج</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الأثر لم يكن ليوم واحد: استمر ارتفاع الإيراد اليومي ‎+38%‎ لـ27 يوماً في نجران، و‎+54%‎ لتسعة أيام في حائل، و‎+59%‎ لخمسة أيام في الروضة.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أعلى مردود: حائل الأمير سعود 9.8× (68,419 ر.س مقابل 7,002 ر.س)، تليها الروضة 7.3× ثم نجران 4.9×.</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متوسط الفاتورة لم يتأثر سلباً (نجران: 45.8 يوم الحملة مقابل 45.2 قبلها و47.3 بعدها)، و332 عملية بقيمة 50 ر.س بالضبط تؤكد انضباط تنفيذ العرض.</w:t>
            </w:r>
          </w:p>
        </w:tc>
      </w:tr>
    </w:tbl>
    <w:p>
      <w:pPr>
        <w:spacing w:after="14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حدود القراءة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الرقم إيراد إضافي وليس ربحاً — لم تُخصم كلفة الوقود المُباع ولا قيمة القسائم.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والروضة محطتان جديدتان، فيتضمن نموهما أثر التوسّع الطبيعي إلى جانب الحملة؛ الإسناد أنظف في نجران لأنها قائمة. وخطوط الأساس قصيرة (3 و7 و11 يوماً).</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لا تتوفر بيانات مبيعات لحملة ظبيا JA070 ولا لفعالية اليوم الوطني، فبقي أثرهما التجاري غير مقيس.</w:t>
            </w:r>
          </w:p>
        </w:tc>
      </w:tr>
    </w:tbl>
    <w:p>
      <w:pPr>
        <w:spacing w:after="20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الممتد حتى سبتمبر — أول شهر كامل بعد حملات الربع</w:t>
      </w:r>
    </w:p>
    <w:p>
      <w:pPr>
        <w:bidi/>
        <w:spacing w:after="150" w:before="0" w:line="300" w:lineRule="auto"/>
        <w:jc w:val="start"/>
      </w:pPr>
      <w:r>
        <w:rPr>
          <w:rFonts w:ascii="Tahoma" w:cs="Tahoma" w:eastAsia="Tahoma" w:hAnsi="Tahoma"/>
          <w:b w:val="false"/>
          <w:bCs w:val="false"/>
          <w:color w:val="5E6265"/>
          <w:sz w:val="17"/>
          <w:szCs w:val="17"/>
          <w:rtl/>
        </w:rPr>
        <w:t xml:space="preserve">بيانات سبتمبر — أول 27 يوماً — للمحطات الثلاث نفسها، بمقارنة متوسط الإيراد اليومي بأغسطس. وهي تقيس ما تبقّى من أثر الحملات بعد شهر كامل من انتهائها، لا أثر الحملات نفسها.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68"/>
        <w:gridCol w:w="1300"/>
        <w:gridCol w:w="1150"/>
        <w:gridCol w:w="1150"/>
        <w:gridCol w:w="1000"/>
        <w:gridCol w:w="1050"/>
        <w:gridCol w:w="800"/>
        <w:gridCol w:w="850"/>
        <w:gridCol w:w="1080"/>
      </w:tblGrid>
      <w:tr>
        <w:trPr>
          <w:tblHeader/>
        </w:trPr>
        <w:tc>
          <w:tcPr>
            <w:tcW w:type="dxa" w:w="126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 سبتمبر (ر.س)</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 أغسطس</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 سبتمبر</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 اليومي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على الأيام نفسها</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108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توقّع الشهر</w:t>
            </w:r>
          </w:p>
        </w:tc>
      </w:tr>
      <w:tr>
        <w:tc>
          <w:tcPr>
            <w:tcW w:type="dxa" w:w="126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حائل HA052</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544,913</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15,570</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20,182</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‎+29.6%‎</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‎+35.4%‎</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9,085</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382</w:t>
            </w:r>
          </w:p>
        </w:tc>
        <w:tc>
          <w:tcPr>
            <w:tcW w:type="dxa" w:w="108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605,459</w:t>
            </w:r>
          </w:p>
        </w:tc>
      </w:tr>
      <w:tr>
        <w:tc>
          <w:tcPr>
            <w:tcW w:type="dxa" w:w="126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الروضة MK040</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492,324</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11,004</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18,234</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‎+65.7%‎</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‎+86.2%‎</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8,209</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273</w:t>
            </w:r>
          </w:p>
        </w:tc>
        <w:tc>
          <w:tcPr>
            <w:tcW w:type="dxa" w:w="108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547,027</w:t>
            </w:r>
          </w:p>
        </w:tc>
      </w:tr>
      <w:tr>
        <w:tc>
          <w:tcPr>
            <w:tcW w:type="dxa" w:w="126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نجران NJ219</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375,380</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14,540</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13,903</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‎-4.4%‎</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‎-4.6%‎</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6,477</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299</w:t>
            </w:r>
          </w:p>
        </w:tc>
        <w:tc>
          <w:tcPr>
            <w:tcW w:type="dxa" w:w="108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417,089</w:t>
            </w:r>
          </w:p>
        </w:tc>
      </w:tr>
      <w:tr>
        <w:tc>
          <w:tcPr>
            <w:tcW w:type="dxa" w:w="126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1,412,617</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8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1,569,574</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قراءة الأثر الممتد</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1,412,617 ر.س إيراد من المحطات الثلاث في 27 يوماً (641,821 لتراً · 101,158 ر.س مجمل ربح وقود)، وتوقّع الشهر كاملاً 1,569,574 ر.س.</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نجران NJ219 هي المحطة الوحيدة المتراجعة بـ‎-4.4%‎ عن أغسطس — لكنها ما تزال أعلى بـ‎60%‎ من مستوى ما قبل حملة يوليو (13,903 مقابل 8,670 ر.س/يوم)، أي أن أثر الحملة باقٍ بعد ثلاثة أشهر وإن بدأ يتآكل.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متوسط الفاتورة في نجران ينخفض ثلاثة أشهر متتالية (48.3 ثم 47.5 ثم 46.4 ر.س)، و‎42%‎ من فواتيرها أقل من 30 ر.س — وهو ما يفسّر التراجع أكثر من عدد الزيارات (‎-2.1%‎ فواتير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HA052 الأقوى في المجموعة عند 20,182 ر.س/يوم (‎+29.6%‎)، ونموها كله من عدد الفواتير (‎+33.6%‎)؛ و‎40%‎ من إيرادها بين 6 مساءً ومنتصف الليل.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الروضة MK040 بدأت تستقر حول 17 إلى 19 ألف ر.س/يوم بعد صعود متواصل، وهي صاحبة أعلى متوسط فاتورة في المجموعة (66.9 ر.س) — لكن الجمعة والسبت أضعف أيامها بفارق يقارب الثلث.</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والروضة انضمتا للشبكة في أغسطس، فجزء من نموهما في سبتمبر تعافٍ من ضعف أسابيع الافتتاح لا نمو عضوي ولا أثر 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قبل الحملة (1–3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230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4,802</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45.2</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4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11,923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‎+151%‎</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الأسبوع التالي (5–11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323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7,134</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15,419</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‎+48%‎</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بقية الشهر (12–31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296</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13,973</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47.2</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‎+34%‎</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كامل ما بعد الحملة (5–31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6,648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121,951 ر.س مقابل تكلفة 25,000 ر.س — أي 4.9 أضعاف. القسائم المقدّرة ~309 (332 عملية بقيمة 50 ر.س و19 مجانية) مقابل سقف 300 سيارة.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عمليات يوم الحملة ساعة بساعة — 4 يوليو 2026.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الأداء الشهري — قبل الحملة · شهرها · بعدها</w:t>
      </w:r>
    </w:p>
    <w:p>
      <w:pPr>
        <w:bidi/>
        <w:spacing w:after="110" w:before="0" w:line="300" w:lineRule="auto"/>
        <w:jc w:val="start"/>
      </w:pPr>
      <w:r>
        <w:rPr>
          <w:rFonts w:ascii="Tahoma" w:cs="Tahoma" w:eastAsia="Tahoma" w:hAnsi="Tahoma"/>
          <w:b w:val="false"/>
          <w:bCs w:val="false"/>
          <w:color w:val="8E9295"/>
          <w:sz w:val="16"/>
          <w:szCs w:val="16"/>
          <w:rtl/>
        </w:rPr>
        <w:t xml:space="preserve">الحملة نُفّذت في 4 يوليو، فيونيو هو الشهر السابق لها (بيانات المحطة تبدأ 26 يونيو)، ويوليو شهرها، وأغسطس وسبتمبر ما بعدها. متوسط الإيراد اليومي في سبتمبر أعلى بـ‎60%‎ من مستوى ما قبل الحملة، رغم تراجعه ‎4.4%‎ عن أغسطس.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98"/>
        <w:gridCol w:w="650"/>
        <w:gridCol w:w="1350"/>
        <w:gridCol w:w="1250"/>
        <w:gridCol w:w="1050"/>
        <w:gridCol w:w="850"/>
        <w:gridCol w:w="850"/>
        <w:gridCol w:w="950"/>
      </w:tblGrid>
      <w:tr>
        <w:trPr>
          <w:tblHeader/>
        </w:trPr>
        <w:tc>
          <w:tcPr>
            <w:tcW w:type="dxa" w:w="26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 والمرحلة</w:t>
            </w:r>
          </w:p>
        </w:tc>
        <w:tc>
          <w:tcPr>
            <w:tcW w:type="dxa" w:w="6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الإيراد (ر.س)</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9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يونيو 2026 (جزئي · من 26 يونيو) — قبل الحملة</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43,350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8,670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4,041</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175</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49.4</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 — شهر الحملة (4 يوليو)</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31</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444,824</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14,349</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‎+65.5%‎</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6,640</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297</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48.3</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 — بعد الحملة</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31</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450,751</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14,540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‎+1.3%‎</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6,744</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306</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47.5</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 — أول 27 يوماً — بعد الحملة بشهرين</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375,380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13,903</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‎-4.4%‎</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6,477</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299</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46.4</w:t>
            </w:r>
          </w:p>
        </w:tc>
      </w:tr>
    </w:tbl>
    <w:p>
      <w:pPr>
        <w:spacing w:after="120"/>
      </w:pPr>
    </w:p>
    <w:p>
      <w:pPr>
        <w:bidi/>
        <w:spacing w:after="50" w:before="60" w:line="240" w:lineRule="auto"/>
        <w:jc w:val="center"/>
      </w:pPr>
      <w:r>
        <w:drawing>
          <wp:inline distT="0" distB="0" distL="0" distR="0">
            <wp:extent cx="5905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669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الإيراد اليومي أسبوعياً من قبل الحملة حتى نهاية سبتمبر.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‎14.0%‎ مقابل مخطط ‎10.0%‎ — نحو 138,796 تفاعلاً على وصول 991,400.</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4859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الأداء المتحقق لكل مؤشر كنسبة من المستهدف. المصدر: بطاقة تقرير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‎14.0%‎ مقابل مخطط ‎10.0%‎ — نحو 138,796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الافتتاح والتهيئة (6–14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185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4,813</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10,682</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أسبوع ما قبل الحملة (15–21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248</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5,983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53.4</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22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335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7,606</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50.9</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الحملة (23–31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9,197</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68,419 ر.س مقابل تكلفة 7,002 ر.س — أي 9.8 أضعاف، الأعلى في الربع. إجمالي إيراد أغسطس 389 ألف ر.س (7,147 عملية · 175,575 لتراً). المحطة جديدة، فيتضمن النمو أثر التوسّع الطبيعي إلى جانب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632,353</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‎632%‎</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‎16.8%‎ مقابل مخطط ‎5.0%‎ — نحو 106,267 تفاعلاً، الأعلى في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الإيراد اليومي عبر أغسطس وموقع الحملة منه.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الأداء الشهري — قبل الحملة · شهرها · بعدها</w:t>
      </w:r>
    </w:p>
    <w:p>
      <w:pPr>
        <w:bidi/>
        <w:spacing w:after="110" w:before="0" w:line="300" w:lineRule="auto"/>
        <w:jc w:val="start"/>
      </w:pPr>
      <w:r>
        <w:rPr>
          <w:rFonts w:ascii="Tahoma" w:cs="Tahoma" w:eastAsia="Tahoma" w:hAnsi="Tahoma"/>
          <w:b w:val="false"/>
          <w:bCs w:val="false"/>
          <w:color w:val="8E9295"/>
          <w:sz w:val="16"/>
          <w:szCs w:val="16"/>
          <w:rtl/>
        </w:rPr>
        <w:t xml:space="preserve">المحطة افتُتحت في 6 أغسطس، فلا يوجد لها شهر «قبل الحملة» — المقارنة بين شهر الافتتاح والحملة (أغسطس) وأول شهر كامل بعدهما (سبتمبر). ارتفع متوسط الإيراد اليومي ‎29.6%‎، والنمو كله من عدد الفواتير (‎+33.6%‎) لا من قيمة الفاتورة التي تراجعت من 54.5 إلى 52.9 ر.س.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98"/>
        <w:gridCol w:w="650"/>
        <w:gridCol w:w="1350"/>
        <w:gridCol w:w="1250"/>
        <w:gridCol w:w="1050"/>
        <w:gridCol w:w="850"/>
        <w:gridCol w:w="850"/>
        <w:gridCol w:w="950"/>
      </w:tblGrid>
      <w:tr>
        <w:trPr>
          <w:tblHeader/>
        </w:trPr>
        <w:tc>
          <w:tcPr>
            <w:tcW w:type="dxa" w:w="26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 والمرحلة</w:t>
            </w:r>
          </w:p>
        </w:tc>
        <w:tc>
          <w:tcPr>
            <w:tcW w:type="dxa" w:w="6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الإيراد (ر.س)</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9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 (من الافتتاح 6 أغسطس) — شهر الافتتاح والحملة (22 أغسطس)</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389,261</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15,570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7,018</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286</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54.5</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 — أول 27 يوماً — بعد الحملة</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544,913</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20,182</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‎+29.6%‎</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9,085</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382</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52.9</w:t>
            </w:r>
          </w:p>
        </w:tc>
      </w:tr>
    </w:tbl>
    <w:p>
      <w:pPr>
        <w:spacing w:after="120"/>
      </w:pP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الإيراد اليومي أسبوعياً من الافتتاح حتى نهاية سبتمبر.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532,353 مشاهدة — ‎632%‎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‎16.8%‎ مقابل مخطط ‎5.0%‎ — نحو 106,267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التشغيل التجريبي (15–25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3,871</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62.8</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الافتتاح (الأربعاء 26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62.3</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‎+53%‎</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الافتتاح (27–31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6,158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65.3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30,061 ر.س مقابل تكلفة 4,140 ر.س — أي 7.3 أضعاف. خط الأساس هو التشغيل التجريبي، فيعكس النمو أثر الإعلان إلى جانب التوسّع الطبيعي لمحطة جديدة.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‎7.0%‎ مقابل مخطط ‎1.0%‎ — نحو 18,887 تفاعلاً. الحملة الوحيدة الممتدة على ثلاثة أيام.</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عمليات يوم الافتتاح ساعة بساعة — 26 أغسطس 2026. المصدر: بيانات معاملات المحطة.</w:t>
      </w: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الإيراد اليومي حسب مرحلتي الافتتاح (15 – 31 أغسطس).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الأداء الشهري — قبل الحملة · شهرها · بعدها</w:t>
      </w:r>
    </w:p>
    <w:p>
      <w:pPr>
        <w:bidi/>
        <w:spacing w:after="110" w:before="0" w:line="300" w:lineRule="auto"/>
        <w:jc w:val="start"/>
      </w:pPr>
      <w:r>
        <w:rPr>
          <w:rFonts w:ascii="Tahoma" w:cs="Tahoma" w:eastAsia="Tahoma" w:hAnsi="Tahoma"/>
          <w:b w:val="false"/>
          <w:bCs w:val="false"/>
          <w:color w:val="8E9295"/>
          <w:sz w:val="16"/>
          <w:szCs w:val="16"/>
          <w:rtl/>
        </w:rPr>
        <w:t xml:space="preserve">المحطة بدأت التشغيل التجريبي في 15 أغسطس وافتُتحت في 26 أغسطس، فلا يوجد لها شهر «قبل الحملة» — المقارنة بين شهر الافتتاح (أغسطس الجزئي) وأول شهر كامل بعده (سبتمبر). ارتفع متوسط الإيراد اليومي ‎65.7%‎، وعلى الأيام نفسها من الشهرين (16 إلى 27) الفارق ‎86.2%‎.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98"/>
        <w:gridCol w:w="650"/>
        <w:gridCol w:w="1350"/>
        <w:gridCol w:w="1250"/>
        <w:gridCol w:w="1050"/>
        <w:gridCol w:w="850"/>
        <w:gridCol w:w="850"/>
        <w:gridCol w:w="950"/>
      </w:tblGrid>
      <w:tr>
        <w:trPr>
          <w:tblHeader/>
        </w:trPr>
        <w:tc>
          <w:tcPr>
            <w:tcW w:type="dxa" w:w="26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 والمرحلة</w:t>
            </w:r>
          </w:p>
        </w:tc>
        <w:tc>
          <w:tcPr>
            <w:tcW w:type="dxa" w:w="6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الإيراد (ر.س)</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9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 (من 15 أغسطس) — التشغيل التجريبي وشهر الافتتاح (26 أغسطس)</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16</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176,067</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11,004</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4,941</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168</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65.4</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 — أول 27 يوماً — بعد الافتتاح</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492,324</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18,234</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‎+65.7%‎</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8,209</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273</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66.9</w:t>
            </w:r>
          </w:p>
        </w:tc>
      </w:tr>
    </w:tbl>
    <w:p>
      <w:pPr>
        <w:spacing w:after="120"/>
      </w:pPr>
    </w:p>
    <w:p>
      <w:pPr>
        <w:bidi/>
        <w:spacing w:after="50" w:before="60" w:line="240" w:lineRule="auto"/>
        <w:jc w:val="center"/>
      </w:pPr>
      <w:r>
        <w:drawing>
          <wp:inline distT="0" distB="0" distL="0" distR="0">
            <wp:extent cx="5905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2669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الإيراد اليومي أسبوعياً من التشغيل التجريبي حتى نهاية سبتمبر. المصدر: بيانات معاملات المحطة.</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‎7.0%‎ مقابل مخطط ‎1.0%‎ — نحو 18,887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05 · فعالية اليوم الوطني في المحطات  </w:t>
      </w:r>
      <w:r>
        <w:rPr>
          <w:rFonts w:ascii="DIN Next LT Arabic" w:cs="DIN Next LT Arabic" w:eastAsia="DIN Next LT Arabic" w:hAnsi="DIN Next LT Arabic"/>
          <w:b/>
          <w:bCs/>
          <w:color w:val="D25C0C"/>
          <w:sz w:val="20"/>
          <w:szCs w:val="20"/>
          <w:rtl/>
        </w:rPr>
        <w:t xml:space="preserve">[9 محطات]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2026 — موسم اليوم الوطني</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محطات محدّدة</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 · المشاركة في المناسبات الوطنية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 دون ميزانية مخصصة مسجّلة</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تزيين ميداني بالليزرات · استكرات ترويجية · فواحات   |   الجهة المنفذة: إدارة التسويق   |   التصنيف: فعاليات المناسبات</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المخرجات المنفذة والتكلفة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700"/>
        <w:gridCol w:w="1900"/>
        <w:gridCol w:w="1798"/>
      </w:tblGrid>
      <w:tr>
        <w:trPr>
          <w:tblHeader/>
        </w:trPr>
        <w:tc>
          <w:tcPr>
            <w:tcW w:type="dxa" w:w="2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الكمية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التكلفة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تكلفة الوحدة</w:t>
            </w:r>
          </w:p>
        </w:tc>
        <w:tc>
          <w:tcPr>
            <w:tcW w:type="dxa" w:w="17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حصتها من تكلفة الفعالية</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الليزرات — السعر الأساسي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603.75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زيادة على سعر الليزرات</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‎+1,200‎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‎+37.50‎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الليزرات بعد الزيادة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641.25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‎68%‎</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الاستكرات الموزعة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2,587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0.52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الفواحات الموزعة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6,900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0.69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‎23%‎</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30,007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3,334 ر.س / محطة</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r>
    </w:tbl>
    <w:p>
      <w:pPr>
        <w:spacing w:after="12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التغطية الميدانية (محطات)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مُقارَن</w:t>
            </w:r>
          </w:p>
        </w:tc>
      </w:tr>
    </w:tbl>
    <w:p>
      <w:pPr>
        <w:bidi/>
        <w:spacing w:after="150" w:before="90" w:line="300" w:lineRule="auto"/>
        <w:jc w:val="start"/>
      </w:pPr>
      <w:r>
        <w:rPr>
          <w:rFonts w:ascii="Tahoma" w:cs="Tahoma" w:eastAsia="Tahoma" w:hAnsi="Tahoma"/>
          <w:b w:val="false"/>
          <w:bCs w:val="false"/>
          <w:color w:val="8E9295"/>
          <w:sz w:val="16"/>
          <w:szCs w:val="16"/>
          <w:rtl/>
        </w:rPr>
        <w:t xml:space="preserve">تمثّل هذه الفعالية ‎45%‎ من إجمالي إنفاق الربع الثالث (66,149 ر.س)، وهي أكبر بند إنفاق منفرد فيه.</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819275"/>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توزيع تكلفة الفعالية على بنودها الثلاثة. المصدر: أوامر الشراء والتوزيع.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الفعالية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مؤشرات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مؤشرات أداء قبل التنفيذ، ولم يُسجَّل وصول أو تفاعل أو أثر تجاري رغم أنها أكبر بند إنفاق في الربع</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مؤشرات ومستهدفات لكل فعالية قبل الصرف، وربط المواد الموزعة برمز QR</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طرأت زيادة 1,200 ر.س (‎+6.2%‎) على بند الليزرات بعد اعتماده، فارتفع سعر الوحدة من 603.75 إلى 641.25 ر.س دون توثيق السبب</w:t>
            </w:r>
          </w:p>
        </w:tc>
        <w:tc>
          <w:tcPr>
            <w:tcW w:type="dxa" w:w="24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صُرفت 30,007 ر.س دون ميزانية مخصصة معتمدة مسجّلة في النظام</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تغطية تسع محطات في مناسبة وطنية واحدة — أوسع انتشار ميداني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تنفيذ 32 ليزراً وتوزيع 5,000 استكر و10,000 فواحة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إكمال تغطية أشهر الربع الثلاثة بنشاط تسويقي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غياب مؤشرات أداء معتمدة للفعالية قبل تنفيذها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قياس الوصول أو التفاعل أو الأثر التجاري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الصرف دون ميزانية مخصصة معتمدة مسجّلة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تركّز ‎68%‎ من التكلفة في بند واحد (الليزرات) دون مقارنة عروض موثّقة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زيادة 1,200 ر.س على سعر الليزرات بعد الاعتماد (‎+6.2%‎) رفعت سعر الوحدة من 603.75 إلى 641.25 ر.س</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قناة قياس جاهزة — رمز QR يحوّل 15,000 قطعة إلى نقاط قياس وتسجيل في برنامج الولاء</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حزمة مناسبات قياسية متكررة (اليوم الوطني · يوم التأسيس) بتكلفة وحدة معلومة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التفاوض على سعر الليزر (641.25 ر.س للوحدة بعد الزيادة) عبر عقد موسمي يثبّت السعر ويمنع الزيادات بعد الاعتماد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اعتماد أي فعالية مناسبات مستقبلاً دون مؤشرات ومستهدفات وميزانية معتمدة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إضافة رمز QR على المواد الموزعة في الفعالية القادمة لقياس الأثر</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ثلاثة عروض أسعار على الأقل لبند الليزرات قبل الاعتماد، وتثبيت السعر تعاقدياً لمنع الزيادة بعد الاعتماد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حملات الإيميل التسويقية</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أداء قناة البريد الإلكتروني في الربع الثالث</w:t>
      </w:r>
    </w:p>
    <w:p>
      <w:pPr>
        <w:bidi/>
        <w:spacing w:after="180" w:before="0" w:line="300" w:lineRule="auto"/>
        <w:jc w:val="start"/>
      </w:pPr>
      <w:r>
        <w:rPr>
          <w:rFonts w:ascii="Tahoma" w:cs="Tahoma" w:eastAsia="Tahoma" w:hAnsi="Tahoma"/>
          <w:b w:val="false"/>
          <w:bCs w:val="false"/>
          <w:color w:val="5E6265"/>
          <w:sz w:val="20"/>
          <w:szCs w:val="20"/>
          <w:rtl/>
        </w:rPr>
        <w:t xml:space="preserve">المصدر لوحة متابعة أداء البريد للفترة 1 يوليو – 30 سبتمبر 2026، مقارنةً بالـ92 يوماً السابقة. تعرض اللوحة أربعة مؤشرات فقط، وكل رقم آخر في هذا القسم محتسب منها بالمعادلة المبيّنة.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235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الرسائل المُرسَلة</w:t>
            </w:r>
          </w:p>
          <w:p>
            <w:pPr>
              <w:bidi/>
              <w:spacing w:after="0" w:before="0" w:line="300" w:lineRule="auto"/>
              <w:jc w:val="center"/>
            </w:pPr>
            <w:r>
              <w:rPr>
                <w:rFonts w:ascii="Tahoma" w:cs="Tahoma" w:eastAsia="Tahoma" w:hAnsi="Tahoma"/>
                <w:b w:val="false"/>
                <w:bCs w:val="false"/>
                <w:color w:val="8E9295"/>
                <w:sz w:val="15"/>
                <w:szCs w:val="15"/>
                <w:rtl/>
              </w:rPr>
              <w:t xml:space="preserve">2.6 رسالة يومياً على مدى 92 يوماً · ‎-21.7%‎</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219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الرسائل المُسلَّمة</w:t>
            </w:r>
          </w:p>
          <w:p>
            <w:pPr>
              <w:bidi/>
              <w:spacing w:after="0" w:before="0" w:line="300" w:lineRule="auto"/>
              <w:jc w:val="center"/>
            </w:pPr>
            <w:r>
              <w:rPr>
                <w:rFonts w:ascii="Tahoma" w:cs="Tahoma" w:eastAsia="Tahoma" w:hAnsi="Tahoma"/>
                <w:b w:val="false"/>
                <w:bCs w:val="false"/>
                <w:color w:val="8E9295"/>
                <w:sz w:val="15"/>
                <w:szCs w:val="15"/>
                <w:rtl/>
              </w:rPr>
              <w:t xml:space="preserve">نسبة تسليم ‎93.2%‎ · ‎+265%‎</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‎7.3%‎</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معدل الفتح</w:t>
            </w:r>
          </w:p>
          <w:p>
            <w:pPr>
              <w:bidi/>
              <w:spacing w:after="0" w:before="0" w:line="300" w:lineRule="auto"/>
              <w:jc w:val="center"/>
            </w:pPr>
            <w:r>
              <w:rPr>
                <w:rFonts w:ascii="Tahoma" w:cs="Tahoma" w:eastAsia="Tahoma" w:hAnsi="Tahoma"/>
                <w:b w:val="false"/>
                <w:bCs w:val="false"/>
                <w:color w:val="8E9295"/>
                <w:sz w:val="15"/>
                <w:szCs w:val="15"/>
                <w:rtl/>
              </w:rPr>
              <w:t xml:space="preserve">نحو 16 فتحاً فريداً من 219 رسالة · ‎-81.7%‎</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الفتحات</w:t>
            </w:r>
          </w:p>
          <w:p>
            <w:pPr>
              <w:bidi/>
              <w:spacing w:after="0" w:before="0" w:line="300" w:lineRule="auto"/>
              <w:jc w:val="center"/>
            </w:pPr>
            <w:r>
              <w:rPr>
                <w:rFonts w:ascii="Tahoma" w:cs="Tahoma" w:eastAsia="Tahoma" w:hAnsi="Tahoma"/>
                <w:b w:val="false"/>
                <w:bCs w:val="false"/>
                <w:color w:val="8E9295"/>
                <w:sz w:val="15"/>
                <w:szCs w:val="15"/>
                <w:rtl/>
              </w:rPr>
              <w:t xml:space="preserve">2.4 فتحة لكل قارئ · ‎+9,650%‎</w:t>
            </w:r>
          </w:p>
        </w:tc>
      </w:tr>
    </w:tbl>
    <w:p>
      <w:pPr>
        <w:spacing w:after="20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المؤشرات الأربعة كما وردت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1700"/>
        <w:gridCol w:w="47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القيمة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التغير عن الـ92 يوماً السابقة</w:t>
            </w:r>
          </w:p>
        </w:tc>
        <w:tc>
          <w:tcPr>
            <w:tcW w:type="dxa" w:w="4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القراءة</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الرسائل المُرسَلة</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235</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‎-21.7%‎</w:t>
            </w:r>
          </w:p>
        </w:tc>
        <w:tc>
          <w:tcPr>
            <w:tcW w:type="dxa" w:w="47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نحو 2.6 رسالة يومياً على مدى 92 يوماً — نشاط محدود جداً لقناة كاملة.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الرسائل المُسلَّمة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219</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‎+265%‎</w:t>
            </w:r>
          </w:p>
        </w:tc>
        <w:tc>
          <w:tcPr>
            <w:tcW w:type="dxa" w:w="47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نسبة تسليم ‎93.2%‎ مقابل ‎20.0%‎ في الفترة السابقة — أكبر تحسّن في القناة.</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الفتح</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‎7.3%‎</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‎-81.7%‎</w:t>
            </w:r>
          </w:p>
        </w:tc>
        <w:tc>
          <w:tcPr>
            <w:tcW w:type="dxa" w:w="47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يُحتسب على الرسائل المُسلَّمة، أي نحو 16 فتحاً فريداً من 219 رسالة.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الفتحات</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39</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‎+9,650%‎</w:t>
            </w:r>
          </w:p>
        </w:tc>
        <w:tc>
          <w:tcPr>
            <w:tcW w:type="dxa" w:w="47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نحو 2.4 فتحة لكل من فتح الرسالة — أي إعادة فتح من جمهور صغير.</w:t>
            </w:r>
          </w:p>
        </w:tc>
      </w:tr>
    </w:tbl>
    <w:p>
      <w:pPr>
        <w:spacing w:after="160"/>
      </w:pPr>
    </w:p>
    <w:p>
      <w:pPr>
        <w:bidi/>
        <w:spacing w:after="50" w:before="60" w:line="240" w:lineRule="auto"/>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7335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الرسالة من الإرسال إلى الفتح. المصدر: لوحة متابعة أداء البريد.</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مؤشرات محتسبة من الأربعة أعلاه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48"/>
      </w:tblGrid>
      <w:tr>
        <w:trPr>
          <w:tblHeader/>
        </w:trPr>
        <w:tc>
          <w:tcPr>
            <w:tcW w:type="dxa" w:w="3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2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القيمة</w:t>
            </w:r>
          </w:p>
        </w:tc>
        <w:tc>
          <w:tcPr>
            <w:tcW w:type="dxa" w:w="36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المعادلة</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الرسائل غير المُسلَّمة</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16 رسالة</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235 − 219</w:t>
            </w:r>
          </w:p>
        </w:tc>
      </w:tr>
      <w:tr>
        <w:tc>
          <w:tcPr>
            <w:tcW w:type="dxa" w:w="3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التسليم</w:t>
            </w:r>
          </w:p>
        </w:tc>
        <w:tc>
          <w:tcPr>
            <w:tcW w:type="dxa" w:w="2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‎93.2%‎</w:t>
            </w:r>
          </w:p>
        </w:tc>
        <w:tc>
          <w:tcPr>
            <w:tcW w:type="dxa" w:w="36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219 ÷ 235</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الارتداد</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‎6.8%‎</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16 ÷ 235</w:t>
            </w:r>
          </w:p>
        </w:tc>
      </w:tr>
      <w:tr>
        <w:tc>
          <w:tcPr>
            <w:tcW w:type="dxa" w:w="3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الفتحات الفريدة (تقديري)</w:t>
            </w:r>
          </w:p>
        </w:tc>
        <w:tc>
          <w:tcPr>
            <w:tcW w:type="dxa" w:w="2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نحو 16</w:t>
            </w:r>
          </w:p>
        </w:tc>
        <w:tc>
          <w:tcPr>
            <w:tcW w:type="dxa" w:w="36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7.3% × 219</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الفتحات لكل قارئ</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2.4</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39 ÷ 16</w:t>
            </w:r>
          </w:p>
        </w:tc>
      </w:tr>
      <w:tr>
        <w:tc>
          <w:tcPr>
            <w:tcW w:type="dxa" w:w="3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متوسط الإرسال اليومي</w:t>
            </w:r>
          </w:p>
        </w:tc>
        <w:tc>
          <w:tcPr>
            <w:tcW w:type="dxa" w:w="2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2.6 رسالة</w:t>
            </w:r>
          </w:p>
        </w:tc>
        <w:tc>
          <w:tcPr>
            <w:tcW w:type="dxa" w:w="36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235 ÷ 92 يوماً</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النقرات والتحويلات</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غير مُقاسة</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لا يعرضها التقرير المرفق</w:t>
            </w:r>
          </w:p>
        </w:tc>
      </w:tr>
    </w:tbl>
    <w:p>
      <w:pPr>
        <w:spacing w:after="16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الفترة السابقة — محتسبة عكسياً من نسب المقارنة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48"/>
      </w:tblGrid>
      <w:tr>
        <w:trPr>
          <w:tblHeader/>
        </w:trPr>
        <w:tc>
          <w:tcPr>
            <w:tcW w:type="dxa" w:w="3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2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القيمة</w:t>
            </w:r>
          </w:p>
        </w:tc>
        <w:tc>
          <w:tcPr>
            <w:tcW w:type="dxa" w:w="36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المعادلة</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الرسائل المُرسَلة</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نحو 300</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235 ÷ (1 − 21.7%)</w:t>
            </w:r>
          </w:p>
        </w:tc>
      </w:tr>
      <w:tr>
        <w:tc>
          <w:tcPr>
            <w:tcW w:type="dxa" w:w="3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الرسائل المُسلَّمة</w:t>
            </w:r>
          </w:p>
        </w:tc>
        <w:tc>
          <w:tcPr>
            <w:tcW w:type="dxa" w:w="2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نحو 60</w:t>
            </w:r>
          </w:p>
        </w:tc>
        <w:tc>
          <w:tcPr>
            <w:tcW w:type="dxa" w:w="36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219 ÷ (1 + 265%)</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التسليم</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‎20.0%‎</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60 ÷ 300</w:t>
            </w:r>
          </w:p>
        </w:tc>
      </w:tr>
      <w:tr>
        <w:tc>
          <w:tcPr>
            <w:tcW w:type="dxa" w:w="3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الفتح</w:t>
            </w:r>
          </w:p>
        </w:tc>
        <w:tc>
          <w:tcPr>
            <w:tcW w:type="dxa" w:w="2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نحو ‎39.9%‎</w:t>
            </w:r>
          </w:p>
        </w:tc>
        <w:tc>
          <w:tcPr>
            <w:tcW w:type="dxa" w:w="36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7.3% ÷ (1 − 81.7%)</w:t>
            </w:r>
          </w:p>
        </w:tc>
      </w:tr>
      <w:tr>
        <w:tc>
          <w:tcPr>
            <w:tcW w:type="dxa" w:w="3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الفتحات الفريدة</w:t>
            </w:r>
          </w:p>
        </w:tc>
        <w:tc>
          <w:tcPr>
            <w:tcW w:type="dxa" w:w="2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نحو 24</w:t>
            </w:r>
          </w:p>
        </w:tc>
        <w:tc>
          <w:tcPr>
            <w:tcW w:type="dxa" w:w="36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39.9% × 60</w:t>
            </w:r>
          </w:p>
        </w:tc>
      </w:tr>
      <w:tr>
        <w:tc>
          <w:tcPr>
            <w:tcW w:type="dxa" w:w="3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الفتحات</w:t>
            </w:r>
          </w:p>
        </w:tc>
        <w:tc>
          <w:tcPr>
            <w:tcW w:type="dxa" w:w="2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نحو 0.4</w:t>
            </w:r>
          </w:p>
        </w:tc>
        <w:tc>
          <w:tcPr>
            <w:tcW w:type="dxa" w:w="36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val="false"/>
              <w:spacing w:after="0" w:before="0" w:line="300" w:lineRule="auto"/>
              <w:jc w:val="center"/>
            </w:pPr>
            <w:r>
              <w:rPr>
                <w:rFonts w:ascii="Tahoma" w:cs="Tahoma" w:eastAsia="Tahoma" w:hAnsi="Tahoma"/>
                <w:b w:val="false"/>
                <w:bCs w:val="false"/>
                <w:color w:val="5E6265"/>
                <w:sz w:val="18"/>
                <w:szCs w:val="18"/>
                <w:rtl w:val="false"/>
              </w:rPr>
              <w:t xml:space="preserve">39 ÷ (1 + 9,650%)</w:t>
            </w:r>
          </w:p>
        </w:tc>
      </w:tr>
    </w:tbl>
    <w:p>
      <w:pPr>
        <w:spacing w:after="1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اتساق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نسب المقارنة الأربع لا تجتمع حسابياً: انخفاض معدل الفتح ‎81.7%‎ مع ارتفاع التسليم ‎265%‎ يعني أن إجمالي الفتحات في الفترة السابقة كان نحو 24 فتحة على الأقل، بينما ارتفاع إجمالي الفتحات ‎9,650%‎ يعني أن الرقم السابق كان أقل من واحد.</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لذلك اعتُمدت في هذا القسم الأرقام المطلقة للربع الثالث وحدها (235 · 219 · ‎7.3%‎ · 39) أساساً للقراءة، وعوملت أرقام الفترة السابقة كتقدير يحتاج تحققاً مع مزوّد الخدمة.</w:t>
            </w:r>
          </w:p>
        </w:tc>
      </w:tr>
    </w:tbl>
    <w:p>
      <w:pPr>
        <w:spacing w:after="1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نسبة التسليم قفزت من ‎20.0%‎ إلى ‎93.2%‎ — أي أن 219 رسالة وصلت فعلاً مقابل نحو 60 في الفترة السابقة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عدد الرسائل الواصلة تضاعف أكثر من ثلاث مرات (‎‎+265%‎) رغم انخفاض عدد الرسائل المُرسَلة ‎21.7%‎</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من فتح الرسالة عاد إليها: 39 فتحة من نحو 16 قارئاً، أي 2.4 فتحة لكل قارئ</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فتح ‎7.3%‎ منخفض بوضوح، والمعتاد في قطاعات التجزئة والخدمات نحو ‎20%‎ فأعلى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حجم النشاط شبه معدوم: 235 رسالة في ربع كامل، أي 2.6 رسالة يومياً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لا مستهدف معتمد لهذه القناة — لا للإرسال ولا للفتح ولا للنقر — فتعذّر الحكم على الأداء مقابل خطة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لا تُقاس النقرات ولا التحويلات ولا الإيراد، فالقناة غير مربوطة بأي أثر 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أرقام لوحة المتابعة غير متسقة فيما بينها (تفصيلها في الملحق)، ما يضعف الاعتماد على نسب المقارنة</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قاعدة قابلة للوصول جاهزة: 219 عنواناً يصلها البريد فعلياً — الأساس موجود وينقصه المحتوى والوتيرة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ربط البريد بحملات المحطات: قوائم الوصول في الربع بلغت 4.5 مليون مشاهدة دون أي تحويل منها إلى مشتركين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الـ15,000 الموزَّعة في فعالية اليوم الوطني قناة تسجيل جاهزة برمز QR</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القارئ الحالي متفاعل (2.4 فتحة لكل قارئ) — شريحة صغيرة لكنها تستحق محتوى مخصصاً</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مستهدفات ربعية للقناة: عدد الرسائل، ومعدل الفتح، ومعدل النقر، وعدد المشتركين الجدد</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النقرات والتحويلات وربطها بمبيعات المحطات كما رُبطت الحملات الميدانية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خطة نمو للقائمة عبر رمز QR في المحطات وفي المواد الموزَّعة في الفعاليات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مراجعة أرقام لوحة المتابعة مع مزوّد الخدمة وتثبيت فترة مقارنة موحّدة قبل الربع الرابع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تنظيف القائمة دورياً للحفاظ على نسبة التسليم عند ‎93%‎ فأعلى</w:t>
            </w:r>
          </w:p>
        </w:tc>
      </w:tr>
    </w:tbl>
    <w:p>
      <w:pPr>
        <w:spacing w:after="20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القناة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2749"/>
        <w:gridCol w:w="2499"/>
      </w:tblGrid>
      <w:tr>
        <w:trPr>
          <w:tblHeader/>
        </w:trPr>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 معتمد للقناة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مستهدفات إرسال وفتح ونقر</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محدّد</w:t>
            </w:r>
          </w:p>
        </w:tc>
        <w:tc>
          <w:tcPr>
            <w:tcW w:type="dxa" w:w="27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تُعتمد مستهدفات لقناة البريد ضمن خطة الربع، فقيست النتائج دون مرجع.</w:t>
            </w:r>
          </w:p>
        </w:tc>
        <w:tc>
          <w:tcPr>
            <w:tcW w:type="dxa" w:w="24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ربعية للقناة قبل بداية الربع الرابع.</w:t>
            </w:r>
          </w:p>
        </w:tc>
      </w:tr>
      <w:tr>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النقر والتحويل</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معدل نقر وتحويلات مسجّلة</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لا يعرض التقرير المرفق أي بيانات نقر أو تحويل، فتعذّر قياس الأثر التجاري للقناة.</w:t>
            </w:r>
          </w:p>
        </w:tc>
        <w:tc>
          <w:tcPr>
            <w:tcW w:type="dxa" w:w="24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تفعيل تتبّع النقرات والتحويلات وربطها بمبيعات المحطات.</w:t>
            </w:r>
          </w:p>
        </w:tc>
      </w:tr>
      <w:tr>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اتساق أرقام المقارنة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نسب مقارنة متسقة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متسقة</w:t>
            </w:r>
          </w:p>
        </w:tc>
        <w:tc>
          <w:tcPr>
            <w:tcW w:type="dxa" w:w="27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معدل الفتح منخفض ‎81.7%‎ بينما إجمالي الفتحات مرتفع ‎9,650%‎ على تسليم أعلى بـ‎265%‎ — لا تجتمع هذه النسب حسابياً.</w:t>
            </w:r>
          </w:p>
        </w:tc>
        <w:tc>
          <w:tcPr>
            <w:tcW w:type="dxa" w:w="24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مراجعة الأرقام مع مزوّد الخدمة وتوحيد فترة المقارنة قبل اعتمادها في التقارير.</w:t>
            </w:r>
          </w:p>
        </w:tc>
      </w:tr>
      <w:tr>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حجم النشاط</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وتيرة إرسال منتظمة</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رسالة/يوم</w:t>
            </w:r>
          </w:p>
        </w:tc>
        <w:tc>
          <w:tcPr>
            <w:tcW w:type="dxa" w:w="27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235 رسالة في ربع كامل لا تكفي لبناء عادة قراءة لدى الجمهور ولا لقياس أداء القناة.</w:t>
            </w:r>
          </w:p>
        </w:tc>
        <w:tc>
          <w:tcPr>
            <w:tcW w:type="dxa" w:w="24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تقويم إرسال شهري بوتيرة ثابتة معلنة مسبقاً.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مسبقاً؛ وقيس الأثر لاحقاً لثلاث حملات فقط</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ظبيا JA070 · فعالية اليوم الوطني</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حملتان من خمس بلا أي قياس تجاري رغم أن الفعالية أكبر بند إنفاق في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تنفيذ فعالية اليوم الوطني دون مؤشرات أداء معتمدة ولا قياس وصول أو تفاعل</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أكبر بند إنفاق في الربع (30,007 ر.س · ‎45%‎) وأقلّه قياساً</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الصرف دون ميزانية مخصصة معتمدة مسبقاً</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 JA070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قياس الانضباط المالي على ‎45%‎ من إنفاق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شراء</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تركّز ‎68%‎ من تكلفة الفعالية في بند الليزرات، وزيادة 1,200 ر.س على سعره بعد الاعتماد</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 بمعدل 641.25 ر.س للوحدة (‎+6.2%‎) دون مرجع سعري موثّق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اعتماد حزمة مناسبات قياسية متكررة (اليوم الوطني · يوم التأسيس) بتكلفة وحدة معلومة مسبقاً وسعر مثبَّت تعاقدياً.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تحويل 15,000 قطعة موزعة (استكرات وفواحات) إلى نقاط قياس عبر رمز QR يربطها ببرنامج الولاء.</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التفاوض على سعر الليزر (641.25 ر.س للوحدة بعد الزيادة) عبر عقد موسمي يثبّت السعر بدل الشراء المنفصل لكل فعالية.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10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اعتماد أي فعالية مناسبات دون مؤشرات وميزانية مسبقة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استهلكت ‎45%‎ من إنفاق الربع دون مستهدف معتمد ولا قياس. يلزم اعتماد مؤشرات ومستهدفات وميزانية لكل فعالية قبل الصرف، وإضافة رمز QR على المواد الموزعة لقياس الأثر.</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فعالية يوم التأسيس</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وتسجيل ميزانية معتمدة لفعالية اليوم الوطني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9</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11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للحملات المقيسة فقط: 36,142 ÷ 4,519,865 × 1000 ≈ 8.0 هللة. فعالية اليوم الوطني خارج الحساب لعدم قياس وصولها.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نطاق المجاميع</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مجاميع الوصول والتفاعل تخصّ أربع حملات من خمس. مجموع الإنفاق (66,149 ر.س) يشمل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المحطات المشمولة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محطات في حملات الافتتاح، وتسع محطات في فعالية اليوم الوطني؛ لم يُحدَّد ما إذا كانت التسع تتضمن أياً من الأربع، لذا لم يُجمع العدد في رقم واحد.</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مصادر بيانات المبيعات والرسوم البيانية</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ملف تحليل المحطات والمبيعات — درب: معاملات البيع لمحطات المركب NJ219 (10,406 عملية ليونيو ويوليو)، وحائل HA052، والروضة — الخريجي MK040 (2,772 عملية لأغسطس بعد استبعاد 60 عملية معايرة). ومنه بُنيت رسوم هذه الحملات الثلاث (العمليات ساعة بساعة والإيراد اليومي)؛ ورسم ظبيا JA070 من بطاقة تقرير الحملة لعدم توفر ملف معاملاتها، ورسم اليوم الوطني من أوامر الشراء.</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بيانات سبتمبر</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ملف تحليل مبيعات سبتمبر 2026 للمحطات الثلاث (HA052 · MK040 · NJ219). ملفات سبتمبر تنتهي ظهر 28 سبتمبر، لذا كل أرقام سبتمبر هنا هي أول 27 يوماً كاملاً، ولم يُحتسب اليوم الجزئي 28 (26,310 ر.س للمحطات الثلاث). كل المقارنات على المتوسط اليومي لأن أغسطس جزئي في الروضة (16 يوماً) وحائل (25 يوماً).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استبعاد حركة غير ممكنة في نجران NJ219</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حركة بتاريخ 24 سبتمبر الساعة 13:17 على المضخة 10 بمقدار 13,834 لتراً و29,680 ر.س ومدتها صفر ثانية — وهي قراءة عدّاد خزان سُجّلت كعملية بيع. لو بقيت لرفعت إيراد سبتمبر نحو ‎8%‎ وقلبت تراجع المحطة إلى نمو. كما استُبعدت حركات المعايرة (نجران 34 · الروضة 60 · حائل 82) والحركات الصفرية التي لم يُصرف فيها وقود.</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قراءة نمو حائل والروضة في سبتمبر</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المحطتان انضمتا للشبكة في أغسطس، فجزء من نمو سبتمبر تعافٍ من ضعف أسابيع الافتتاح لا نمو عضوي ولا أثر حملة. المقياس الأصدق هو مستوى آخر أسبوعين: حائل 19.4 إلى 24.5 ألف ر.س/يوم، والروضة 16.8 إلى 18.8، ونجران 13.3 إلى 13.8.</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بيانات البريد الإلكتروني</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لوحة متابعة أداء البريد للفترة 1 يوليو – 30 سبتمبر 2026 مقارنةً بالـ92 يوماً السابقة. تعرض اللوحة أربعة مؤشرات فقط (المُرسَل 235 · المُسلَّم 219 · معدل الفتح ‎7.3%‎ · إجمالي الفتحات 39)، وكل رقم آخر في قسم البريد محتسب منها بالمعادلة المبيّنة داخل القسم. معدل الفتح يُحتسب على الرسائل المُسلَّمة لا المُرسَلة.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اتساق نسب المقارنة في لوحة البريد</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انخفاض معدل الفتح ‎81.7%‎ مع ارتفاع التسليم ‎265%‎ يوجب أن يكون إجمالي الفتحات في الفترة السابقة نحو 24 على الأقل، بينما ارتفاع إجمالي الفتحات ‎9,650%‎ يوجب أن يكون أقل من واحد. لذلك اعتُمدت الأرقام المطلقة للربع الثالث وحدها أساساً للقراءة، وعوملت أرقام الفترة السابقة كتقدير يحتاج تحققاً مع مزوّد الخدمة.</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احتساب الإيراد الإضافي</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 (إيراد يوم الحملة − متوسط خط الأساس اليومي) + (متوسط الإيراد اليومي بعد الحملة − خط الأساس) × عدد أيام ما بعد الحملة. الناتج إيراد إضافي وليس ربحاً.</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صُحّحت في هذه النسخة: القيم التي كانت تظهر في لوحة المؤشرات (مثل 16,805) هي معدل التفاعل مضروباً في 1000 — أي ‎16.8%‎. اعتُمدت المعدلات كما وردت في ملف تحليل المحطات.</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وصول حائل HA052</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كان مسجّلاً 469,000 مشاهدة في لوحة المؤشرات السابقة، وورد 632,353 في ملف تحليل المحطات المعتمد هنا (‎632.4%‎ من المستهدف).</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فعالية اليوم الوطني بلا ميزانية معتمدة ولا مؤشرات قياس ولا تواريخ تنفيذ محددة · المؤشرات التجارية غير مقيسة في الحملات الخمس.</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قياس الأثر التجاري متاح لثلاث حملات فقط؛ ولا يتضمن التقرير أثر فعالية اليوم الوطني ولا حملة ظبيا JA070 لعدم توفر بيانات مبيعات لهما.</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28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8416e4092a296384a1bbd9219db8720b4bb1b9c2.png"/><Relationship Id="rId11" Type="http://schemas.openxmlformats.org/officeDocument/2006/relationships/image" Target="media/434d283ab7fda37afade328a9f5bee65ca3a305a.png"/><Relationship Id="rId12" Type="http://schemas.openxmlformats.org/officeDocument/2006/relationships/image" Target="media/f9d30ebea58f0e52e59cc0f62cbde46a8615d0e5.png"/><Relationship Id="rId13" Type="http://schemas.openxmlformats.org/officeDocument/2006/relationships/image" Target="media/7b9bbf4424c4d016148ab049dccc8bbf2d2a6d1d.png"/><Relationship Id="rId14" Type="http://schemas.openxmlformats.org/officeDocument/2006/relationships/image" Target="media/0e94c6a39d3809255fbcf9d4aef000d791d093e6.png"/><Relationship Id="rId15" Type="http://schemas.openxmlformats.org/officeDocument/2006/relationships/image" Target="media/7e049f8f972cf8957b482d4240e5ac40fccd1cc0.png"/><Relationship Id="rId16" Type="http://schemas.openxmlformats.org/officeDocument/2006/relationships/image" Target="media/8134dcdcbb8de8211372dc9ac72835f1c6787915.png"/><Relationship Id="rId17" Type="http://schemas.openxmlformats.org/officeDocument/2006/relationships/image" Target="media/95d932ef538125ce651d24d131f445ae9e50846a.png"/><Relationship Id="rId18" Type="http://schemas.openxmlformats.org/officeDocument/2006/relationships/image" Target="media/5ea35820f15840704d4223f22a4af89cb1f0efb9.png"/><Relationship Id="rId19" Type="http://schemas.openxmlformats.org/officeDocument/2006/relationships/image" Target="media/52e463c1e241eafb5b82eebeceaa1a4a0f23c1b6.png"/><Relationship Id="rId20" Type="http://schemas.openxmlformats.org/officeDocument/2006/relationships/image" Target="media/b34629c552ef27f77466203e3524056897eff52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2026-09-30T10:49:04.179Z</dcterms:created>
  <dcterms:modified xsi:type="dcterms:W3CDTF">2026-09-30T10:49:04.179Z</dcterms:modified>
</cp:coreProperties>
</file>

<file path=docProps/custom.xml><?xml version="1.0" encoding="utf-8"?>
<Properties xmlns="http://schemas.openxmlformats.org/officeDocument/2006/custom-properties" xmlns:vt="http://schemas.openxmlformats.org/officeDocument/2006/docPropsVTypes"/>
</file>