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4,356,512</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‎1,089%‎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37,805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التفاعلات</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16,000 — ‎236%‎</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64,949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28,807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4,356,512</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‎1,089%‎</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16,000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37,805</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‎236%‎</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رُصد لها مستهدف تفاعل من أصل خمس</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64,949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28,807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(ROAS)</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0x</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احتسابه بغياب الأثر التجاري</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4,356,512 مشاهدة مقابل مستهدف 400,000 — أي ‎1,089%‎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37,805 تفاعلاً مقابل مستهدف 16,000 (‎236%‎)، بمعدلات تفاعل فعلية تراوحت بين ‎1.4%‎ و‎3.6%‎ من الوصول.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للحملات ذات الميزانية المعتمدة — انحراف ‎0.4%‎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كفاءة التكلفة: متوسط تكلفة الألف مشاهدة للحملات المقيسة بلغ نحو 8.3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كأداة افتتاح وتعريف بالمحطات الجديدة في أربع مناطق مختلفة.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تغطية المناسبات الوطنية: فعالية اليوم الوطني نُفّذت في تسع محطات بـ32 ليزراً و5,000 استكر و10,000 فواحة، وأكملت تغطية أشهر الربع الثلاثة.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28,807 ر.س — ‎44%‎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28,807 ر.س فعلي</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28,807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4,356,512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64,949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(64,949 ر.س) يشمل الحملات الخمس، وتمثّل فعالية اليوم الوطني ‎44%‎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 من إجمالي الوصول.</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بنسبة ‎40%‎ (14,000 مقابل 10,000)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469,000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‎469%‎</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16,805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‎3.6%‎ من إجمالي الوصول — الأعلى بين حملات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369,000 مشاهدة — ‎469%‎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بأكثر من ثلاثة أضعاف (16,805 مقابل 5,000)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‎2.6%‎ من إجمالي الوصول. الحملة الوحيدة الممتدة على ثلاثة أيام.</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بسبعة أضعاف (7,000 مقابل 1,000)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28,807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‎67%‎</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28,807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3,201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28,807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‎44%‎ من إجمالي إنفاق الربع الثالث (64,949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28,807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‎67%‎ من التكلفة في بند واحد (الليزرات) دون مقارنة عروض موثّقة</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عبر عقد موسمي بدل الشراء لكل فعالية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وغير مقيسة</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الخمس</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التقييم مقتصر على الوصول والتفاعل دون أثر على المبيعات</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(28,807 ر.س · ‎44%‎)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‎67%‎ من تكلفة الفعالية في بند الليزرات دون مقارنة عروض موثّقة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 بمعدل 603.75 ر.س للوحدة دون مرجع سعري</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(603.75 ر.س للوحدة) عبر عقد موسمي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‎44%‎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4,356,512 × 1000 ≈ 8.3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(64,949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تعرض بطاقات النظام حقل «معدل التفاعل %» بقيم تمثل عدد التفاعلات لا نسبة مئوية (مثال: 14,000 تفاعل على وصول 991,400 = معدل ‎1.4%‎). عولجت في هذا التقرير كعدد تفاعلات، وأُدرج المعدل الفعلي المحسوب ضمن نتائج كل حملة.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لا يتضمن التقرير قياساً لأثر الحملات على المبيعات أو حركة العملاء داخل المحطات لعدم توفر بياناته، ولا قياساً لأثر فعالية اليوم الوطني لعدم رصد مؤشرات لها.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463a181c4b7775642f71db59624e1255dfd3d9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2026-09-28T08:33:10.323Z</dcterms:created>
  <dcterms:modified xsi:type="dcterms:W3CDTF">2026-09-28T08:33:10.323Z</dcterms:modified>
</cp:coreProperties>
</file>

<file path=docProps/custom.xml><?xml version="1.0" encoding="utf-8"?>
<Properties xmlns="http://schemas.openxmlformats.org/officeDocument/2006/custom-properties" xmlns:vt="http://schemas.openxmlformats.org/officeDocument/2006/docPropsVTypes"/>
</file>