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200" w:line="300" w:lineRule="auto"/>
        <w:jc w:val="start"/>
      </w:pPr>
      <w:r>
        <w:rPr>
          <w:rFonts w:ascii="DIN Next LT Arabic" w:cs="DIN Next LT Arabic" w:eastAsia="DIN Next LT Arabic" w:hAnsi="DIN Next LT Arabic"/>
          <w:b/>
          <w:bCs/>
          <w:color w:val="66686A"/>
          <w:sz w:val="17"/>
          <w:szCs w:val="17"/>
          <w:rtl/>
        </w:rPr>
        <w:t xml:space="preserve">تقرير ربعي للحملات التسويقية</w:t>
      </w:r>
    </w:p>
    <w:p>
      <w:pPr>
        <w:bidi/>
        <w:spacing w:after="40" w:before="0" w:line="300" w:lineRule="auto"/>
        <w:jc w:val="start"/>
      </w:pPr>
      <w:r>
        <w:rPr>
          <w:rFonts w:ascii="DIN Next LT Arabic" w:cs="DIN Next LT Arabic" w:eastAsia="DIN Next LT Arabic" w:hAnsi="DIN Next LT Arabic"/>
          <w:b/>
          <w:bCs/>
          <w:color w:val="2B2E30"/>
          <w:sz w:val="52"/>
          <w:szCs w:val="52"/>
          <w:rtl/>
        </w:rPr>
        <w:t xml:space="preserve">تقرير الربع الثالث 2026 م</w:t>
      </w:r>
    </w:p>
    <w:p>
      <w:pPr>
        <w:pBdr>
          <w:bottom w:val="single" w:color="F3741F" w:sz="14" w:space="10"/>
        </w:pBdr>
        <w:bidi/>
        <w:spacing w:after="200" w:before="0" w:line="300" w:lineRule="auto"/>
        <w:jc w:val="start"/>
      </w:pPr>
      <w:r>
        <w:rPr>
          <w:rFonts w:ascii="DIN Next LT Arabic" w:cs="DIN Next LT Arabic" w:eastAsia="DIN Next LT Arabic" w:hAnsi="DIN Next LT Arabic"/>
          <w:b/>
          <w:bCs/>
          <w:color w:val="D25C0C"/>
          <w:sz w:val="34"/>
          <w:szCs w:val="34"/>
          <w:rtl/>
        </w:rPr>
        <w:t xml:space="preserve">يوليو · أغسطس · سبتمبر</w:t>
      </w:r>
    </w:p>
    <w:p>
      <w:pPr>
        <w:bidi/>
        <w:spacing w:after="220" w:before="0" w:line="300" w:lineRule="auto"/>
        <w:jc w:val="start"/>
      </w:pPr>
      <w:r>
        <w:rPr>
          <w:rFonts w:ascii="Tahoma" w:cs="Tahoma" w:eastAsia="Tahoma" w:hAnsi="Tahoma"/>
          <w:b w:val="false"/>
          <w:bCs w:val="false"/>
          <w:color w:val="5E6265"/>
          <w:sz w:val="21"/>
          <w:szCs w:val="21"/>
          <w:rtl/>
        </w:rPr>
        <w:t xml:space="preserve">يغطي هذا التقرير أداء الحملات التسويقية في محطات درب خلال الربع الثالث من عام 2026 م، ويعرض لكل حملة قسماً مستقلاً يوضّح أداءها ومستهدفاتها وما تحقق منها وما لم يتحقق مع بيان المبررات، إضافة إلى أداء قناة البريد الإلكتروني، ومستهدفات فريق العمل الدورية، والتحديات التي واجهت التنفيذ والفرص الممكن الاستفادة منها في الربع القادم.</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900"/>
        <w:gridCol w:w="2148"/>
      </w:tblGrid>
      <w:tr>
        <w:trPr>
          <w:tblHeader/>
        </w:trPr>
        <w:tc>
          <w:tcPr>
            <w:tcW w:type="dxa" w:w="26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فترة التقرير</w:t>
            </w:r>
          </w:p>
        </w:tc>
        <w:tc>
          <w:tcPr>
            <w:tcW w:type="dxa" w:w="15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المحطات المشمولة</w:t>
            </w:r>
          </w:p>
        </w:tc>
        <w:tc>
          <w:tcPr>
            <w:tcW w:type="dxa" w:w="15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عدد الحملات</w:t>
            </w:r>
          </w:p>
        </w:tc>
        <w:tc>
          <w:tcPr>
            <w:tcW w:type="dxa" w:w="19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تاريخ الإصدار</w:t>
            </w:r>
          </w:p>
        </w:tc>
        <w:tc>
          <w:tcPr>
            <w:tcW w:type="dxa" w:w="214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الجهة المعدّة</w:t>
            </w:r>
          </w:p>
        </w:tc>
      </w:tr>
      <w:tr>
        <w:trPr>
          <w:cantSplit/>
        </w:trPr>
        <w:tc>
          <w:tcPr>
            <w:tcW w:type="dxa" w:w="2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1 يوليو – 30 سبتمبر 2026 م</w:t>
            </w:r>
          </w:p>
        </w:tc>
        <w:tc>
          <w:tcPr>
            <w:tcW w:type="dxa" w:w="1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 + 9 محطات</w:t>
            </w:r>
          </w:p>
        </w:tc>
        <w:tc>
          <w:tcPr>
            <w:tcW w:type="dxa" w:w="1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5 حملات</w:t>
            </w:r>
          </w:p>
        </w:tc>
        <w:tc>
          <w:tcPr>
            <w:tcW w:type="dxa" w:w="1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28 سبتمبر 2026 م</w:t>
            </w:r>
          </w:p>
        </w:tc>
        <w:tc>
          <w:tcPr>
            <w:tcW w:type="dxa" w:w="21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إدارة التسويق</w:t>
            </w:r>
          </w:p>
        </w:tc>
      </w:tr>
    </w:tbl>
    <w:p>
      <w:pPr>
        <w:spacing w:after="200"/>
      </w:pP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c>
          <w:tcPr>
            <w:tcW w:type="dxa" w:w="2412"/>
            <w:tcBorders>
              <w:top w:val="single" w:color="DEDFE1" w:sz="4"/>
              <w:left w:val="single" w:color="DEDFE1" w:sz="4"/>
              <w:bottom w:val="single" w:color="DEDFE1" w:sz="4"/>
              <w:right w:val="single" w:color="DEDFE1" w:sz="4"/>
            </w:tcBorders>
            <w:shd w:fill="FFFFFF" w:color="auto" w:val="clear"/>
            <w:tcMar>
              <w:top w:type="dxa" w:w="150"/>
              <w:left w:type="dxa" w:w="120"/>
              <w:bottom w:type="dxa" w:w="150"/>
              <w:right w:type="dxa" w:w="120"/>
            </w:tcMar>
          </w:tcPr>
          <w:p>
            <w:pPr>
              <w:bidi/>
              <w:spacing w:after="40" w:before="0" w:line="300" w:lineRule="auto"/>
              <w:jc w:val="center"/>
            </w:pPr>
            <w:r>
              <w:rPr>
                <w:rFonts w:ascii="DIN Next LT Arabic" w:cs="DIN Next LT Arabic" w:eastAsia="DIN Next LT Arabic" w:hAnsi="DIN Next LT Arabic"/>
                <w:b/>
                <w:bCs/>
                <w:color w:val="D25C0C"/>
                <w:sz w:val="34"/>
                <w:szCs w:val="34"/>
                <w:rtl/>
              </w:rPr>
              <w:t xml:space="preserve">4,519,865</w:t>
            </w:r>
          </w:p>
          <w:p>
            <w:pPr>
              <w:bidi/>
              <w:spacing w:after="40" w:before="0" w:line="300" w:lineRule="auto"/>
              <w:jc w:val="center"/>
            </w:pPr>
            <w:r>
              <w:rPr>
                <w:rFonts w:ascii="DIN Next LT Arabic" w:cs="DIN Next LT Arabic" w:eastAsia="DIN Next LT Arabic" w:hAnsi="DIN Next LT Arabic"/>
                <w:b/>
                <w:bCs/>
                <w:color w:val="2B2E30"/>
                <w:sz w:val="18"/>
                <w:szCs w:val="18"/>
                <w:rtl/>
              </w:rPr>
              <w:t xml:space="preserve">إجمالي الوصول</w:t>
            </w:r>
          </w:p>
          <w:p>
            <w:pPr>
              <w:bidi/>
              <w:spacing w:after="0" w:before="0" w:line="300" w:lineRule="auto"/>
              <w:jc w:val="center"/>
            </w:pPr>
            <w:r>
              <w:rPr>
                <w:rFonts w:ascii="Tahoma" w:cs="Tahoma" w:eastAsia="Tahoma" w:hAnsi="Tahoma"/>
                <w:b w:val="false"/>
                <w:bCs w:val="false"/>
                <w:color w:val="8E9295"/>
                <w:sz w:val="15"/>
                <w:szCs w:val="15"/>
                <w:rtl/>
              </w:rPr>
              <w:t xml:space="preserve">مقابل مستهدف 400,000 — ‎1,130%‎</w:t>
            </w:r>
          </w:p>
        </w:tc>
        <w:tc>
          <w:tcPr>
            <w:tcW w:type="dxa" w:w="2412"/>
            <w:tcBorders>
              <w:top w:val="single" w:color="DEDFE1" w:sz="4"/>
              <w:left w:val="single" w:color="DEDFE1" w:sz="4"/>
              <w:bottom w:val="single" w:color="DEDFE1" w:sz="4"/>
              <w:right w:val="single" w:color="DEDFE1" w:sz="4"/>
            </w:tcBorders>
            <w:shd w:fill="FFFFFF" w:color="auto" w:val="clear"/>
            <w:tcMar>
              <w:top w:type="dxa" w:w="150"/>
              <w:left w:type="dxa" w:w="120"/>
              <w:bottom w:type="dxa" w:w="150"/>
              <w:right w:type="dxa" w:w="120"/>
            </w:tcMar>
          </w:tcPr>
          <w:p>
            <w:pPr>
              <w:bidi/>
              <w:spacing w:after="40" w:before="0" w:line="300" w:lineRule="auto"/>
              <w:jc w:val="center"/>
            </w:pPr>
            <w:r>
              <w:rPr>
                <w:rFonts w:ascii="DIN Next LT Arabic" w:cs="DIN Next LT Arabic" w:eastAsia="DIN Next LT Arabic" w:hAnsi="DIN Next LT Arabic"/>
                <w:b/>
                <w:bCs/>
                <w:color w:val="D25C0C"/>
                <w:sz w:val="34"/>
                <w:szCs w:val="34"/>
                <w:rtl/>
              </w:rPr>
              <w:t xml:space="preserve">220,431</w:t>
            </w:r>
          </w:p>
          <w:p>
            <w:pPr>
              <w:bidi/>
              <w:spacing w:after="40" w:before="0" w:line="300" w:lineRule="auto"/>
              <w:jc w:val="center"/>
            </w:pPr>
            <w:r>
              <w:rPr>
                <w:rFonts w:ascii="DIN Next LT Arabic" w:cs="DIN Next LT Arabic" w:eastAsia="DIN Next LT Arabic" w:hAnsi="DIN Next LT Arabic"/>
                <w:b/>
                <w:bCs/>
                <w:color w:val="2B2E30"/>
                <w:sz w:val="18"/>
                <w:szCs w:val="18"/>
                <w:rtl/>
              </w:rPr>
              <w:t xml:space="preserve">إيراد إضافي مقدَّر (ر.س)</w:t>
            </w:r>
          </w:p>
          <w:p>
            <w:pPr>
              <w:bidi/>
              <w:spacing w:after="0" w:before="0" w:line="300" w:lineRule="auto"/>
              <w:jc w:val="center"/>
            </w:pPr>
            <w:r>
              <w:rPr>
                <w:rFonts w:ascii="Tahoma" w:cs="Tahoma" w:eastAsia="Tahoma" w:hAnsi="Tahoma"/>
                <w:b w:val="false"/>
                <w:bCs w:val="false"/>
                <w:color w:val="8E9295"/>
                <w:sz w:val="15"/>
                <w:szCs w:val="15"/>
                <w:rtl/>
              </w:rPr>
              <w:t xml:space="preserve">من 3 حملات مقيسة — 6.1× تكلفتها</w:t>
            </w:r>
          </w:p>
        </w:tc>
        <w:tc>
          <w:tcPr>
            <w:tcW w:type="dxa" w:w="2412"/>
            <w:tcBorders>
              <w:top w:val="single" w:color="DEDFE1" w:sz="4"/>
              <w:left w:val="single" w:color="DEDFE1" w:sz="4"/>
              <w:bottom w:val="single" w:color="DEDFE1" w:sz="4"/>
              <w:right w:val="single" w:color="DEDFE1" w:sz="4"/>
            </w:tcBorders>
            <w:shd w:fill="FFFFFF" w:color="auto" w:val="clear"/>
            <w:tcMar>
              <w:top w:type="dxa" w:w="150"/>
              <w:left w:type="dxa" w:w="120"/>
              <w:bottom w:type="dxa" w:w="150"/>
              <w:right w:type="dxa" w:w="120"/>
            </w:tcMar>
          </w:tcPr>
          <w:p>
            <w:pPr>
              <w:bidi/>
              <w:spacing w:after="40" w:before="0" w:line="300" w:lineRule="auto"/>
              <w:jc w:val="center"/>
            </w:pPr>
            <w:r>
              <w:rPr>
                <w:rFonts w:ascii="DIN Next LT Arabic" w:cs="DIN Next LT Arabic" w:eastAsia="DIN Next LT Arabic" w:hAnsi="DIN Next LT Arabic"/>
                <w:b/>
                <w:bCs/>
                <w:color w:val="D25C0C"/>
                <w:sz w:val="34"/>
                <w:szCs w:val="34"/>
                <w:rtl/>
              </w:rPr>
              <w:t xml:space="preserve">66,149</w:t>
            </w:r>
          </w:p>
          <w:p>
            <w:pPr>
              <w:bidi/>
              <w:spacing w:after="40" w:before="0" w:line="300" w:lineRule="auto"/>
              <w:jc w:val="center"/>
            </w:pPr>
            <w:r>
              <w:rPr>
                <w:rFonts w:ascii="DIN Next LT Arabic" w:cs="DIN Next LT Arabic" w:eastAsia="DIN Next LT Arabic" w:hAnsi="DIN Next LT Arabic"/>
                <w:b/>
                <w:bCs/>
                <w:color w:val="2B2E30"/>
                <w:sz w:val="18"/>
                <w:szCs w:val="18"/>
                <w:rtl/>
              </w:rPr>
              <w:t xml:space="preserve">إجمالي الإنفاق (ر.س)</w:t>
            </w:r>
          </w:p>
          <w:p>
            <w:pPr>
              <w:bidi/>
              <w:spacing w:after="0" w:before="0" w:line="300" w:lineRule="auto"/>
              <w:jc w:val="center"/>
            </w:pPr>
            <w:r>
              <w:rPr>
                <w:rFonts w:ascii="Tahoma" w:cs="Tahoma" w:eastAsia="Tahoma" w:hAnsi="Tahoma"/>
                <w:b w:val="false"/>
                <w:bCs w:val="false"/>
                <w:color w:val="8E9295"/>
                <w:sz w:val="15"/>
                <w:szCs w:val="15"/>
                <w:rtl/>
              </w:rPr>
              <w:t xml:space="preserve">منها 36,142 ر.س على الحملات ذات الميزانية المعتمدة</w:t>
            </w:r>
          </w:p>
        </w:tc>
        <w:tc>
          <w:tcPr>
            <w:tcW w:type="dxa" w:w="2412"/>
            <w:tcBorders>
              <w:top w:val="single" w:color="DEDFE1" w:sz="4"/>
              <w:left w:val="single" w:color="DEDFE1" w:sz="4"/>
              <w:bottom w:val="single" w:color="DEDFE1" w:sz="4"/>
              <w:right w:val="single" w:color="DEDFE1" w:sz="4"/>
            </w:tcBorders>
            <w:shd w:fill="FFFFFF" w:color="auto" w:val="clear"/>
            <w:tcMar>
              <w:top w:type="dxa" w:w="150"/>
              <w:left w:type="dxa" w:w="120"/>
              <w:bottom w:type="dxa" w:w="150"/>
              <w:right w:type="dxa" w:w="120"/>
            </w:tcMar>
          </w:tcPr>
          <w:p>
            <w:pPr>
              <w:bidi/>
              <w:spacing w:after="40" w:before="0" w:line="300" w:lineRule="auto"/>
              <w:jc w:val="center"/>
            </w:pPr>
            <w:r>
              <w:rPr>
                <w:rFonts w:ascii="DIN Next LT Arabic" w:cs="DIN Next LT Arabic" w:eastAsia="DIN Next LT Arabic" w:hAnsi="DIN Next LT Arabic"/>
                <w:b/>
                <w:bCs/>
                <w:color w:val="D25C0C"/>
                <w:sz w:val="34"/>
                <w:szCs w:val="34"/>
                <w:rtl/>
              </w:rPr>
              <w:t xml:space="preserve">5</w:t>
            </w:r>
          </w:p>
          <w:p>
            <w:pPr>
              <w:bidi/>
              <w:spacing w:after="40" w:before="0" w:line="300" w:lineRule="auto"/>
              <w:jc w:val="center"/>
            </w:pPr>
            <w:r>
              <w:rPr>
                <w:rFonts w:ascii="DIN Next LT Arabic" w:cs="DIN Next LT Arabic" w:eastAsia="DIN Next LT Arabic" w:hAnsi="DIN Next LT Arabic"/>
                <w:b/>
                <w:bCs/>
                <w:color w:val="2B2E30"/>
                <w:sz w:val="18"/>
                <w:szCs w:val="18"/>
                <w:rtl/>
              </w:rPr>
              <w:t xml:space="preserve">حملات منفّذة</w:t>
            </w:r>
          </w:p>
          <w:p>
            <w:pPr>
              <w:bidi/>
              <w:spacing w:after="0" w:before="0" w:line="300" w:lineRule="auto"/>
              <w:jc w:val="center"/>
            </w:pPr>
            <w:r>
              <w:rPr>
                <w:rFonts w:ascii="Tahoma" w:cs="Tahoma" w:eastAsia="Tahoma" w:hAnsi="Tahoma"/>
                <w:b w:val="false"/>
                <w:bCs w:val="false"/>
                <w:color w:val="8E9295"/>
                <w:sz w:val="15"/>
                <w:szCs w:val="15"/>
                <w:rtl/>
              </w:rPr>
              <w:t xml:space="preserve">يوليو 1 · أغسطس 3 · سبتمبر 1</w:t>
            </w:r>
          </w:p>
        </w:tc>
      </w:tr>
    </w:tbl>
    <w:p>
      <w:pPr>
        <w:keepNext/>
        <w:pageBreakBefore/>
        <w:bidi/>
        <w:spacing w:after="40" w:before="0" w:line="300" w:lineRule="auto"/>
        <w:jc w:val="start"/>
      </w:pPr>
      <w:r>
        <w:rPr>
          <w:rFonts w:ascii="DIN Next LT Arabic" w:cs="DIN Next LT Arabic" w:eastAsia="DIN Next LT Arabic" w:hAnsi="DIN Next LT Arabic"/>
          <w:b/>
          <w:bCs/>
          <w:color w:val="D25C0C"/>
          <w:sz w:val="16"/>
          <w:szCs w:val="16"/>
          <w:rtl/>
        </w:rPr>
        <w:t xml:space="preserve">01 · الملخص التنفيذي</w:t>
      </w:r>
    </w:p>
    <w:p>
      <w:pPr>
        <w:keepNext/>
        <w:pBdr>
          <w:bottom w:val="single" w:color="F3741F" w:sz="10" w:space="6"/>
        </w:pBdr>
        <w:bidi/>
        <w:spacing w:after="120" w:before="0" w:line="300" w:lineRule="auto"/>
        <w:jc w:val="start"/>
      </w:pPr>
      <w:r>
        <w:rPr>
          <w:rFonts w:ascii="DIN Next LT Arabic" w:cs="DIN Next LT Arabic" w:eastAsia="DIN Next LT Arabic" w:hAnsi="DIN Next LT Arabic"/>
          <w:b/>
          <w:bCs/>
          <w:color w:val="2B2E30"/>
          <w:sz w:val="30"/>
          <w:szCs w:val="30"/>
          <w:rtl/>
        </w:rPr>
        <w:t xml:space="preserve">المستهدفات · ما تحقق منها وما لم يتحقق</w:t>
      </w:r>
    </w:p>
    <w:p>
      <w:pPr>
        <w:bidi/>
        <w:spacing w:after="180" w:before="0" w:line="300" w:lineRule="auto"/>
        <w:jc w:val="start"/>
      </w:pPr>
      <w:r>
        <w:rPr>
          <w:rFonts w:ascii="Tahoma" w:cs="Tahoma" w:eastAsia="Tahoma" w:hAnsi="Tahoma"/>
          <w:b w:val="false"/>
          <w:bCs w:val="false"/>
          <w:color w:val="5E6265"/>
          <w:sz w:val="20"/>
          <w:szCs w:val="20"/>
          <w:rtl/>
        </w:rPr>
        <w:t xml:space="preserve">نُفّذت خلال الربع الثالث خمس حملات: أربع حملات «البنزين المجاني للسيارات الأولى» المرتبطة بافتتاح المحطات في يوليو وأغسطس، وفعالية اليوم الوطني في تسع محطات خلال سبتمبر. تجاوز الأداء الإعلامي للحملات الأربع مستهدفاته بفارق كبير — الوصول بلغ عشرة أضعاف المستهدف — وظل إنفاقها ضمن المخصص بفارق ‎0.4%‎. في المقابل نُفّذت فعالية اليوم الوطني بتكلفة 30,007 ر.س دون مستهدف معتمد ودون قياس وصول أو تفاعل، ولم يُقَس أي أثر تجاري لأي من الحملات الخمس.</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50"/>
        <w:gridCol w:w="1250"/>
        <w:gridCol w:w="1250"/>
        <w:gridCol w:w="1100"/>
        <w:gridCol w:w="1350"/>
        <w:gridCol w:w="2448"/>
      </w:tblGrid>
      <w:tr>
        <w:trPr>
          <w:tblHeader/>
        </w:trPr>
        <w:tc>
          <w:tcPr>
            <w:tcW w:type="dxa" w:w="22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المؤشر</w:t>
            </w:r>
          </w:p>
        </w:tc>
        <w:tc>
          <w:tcPr>
            <w:tcW w:type="dxa" w:w="12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المستهدف</w:t>
            </w:r>
          </w:p>
        </w:tc>
        <w:tc>
          <w:tcPr>
            <w:tcW w:type="dxa" w:w="12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المتحقق</w:t>
            </w:r>
          </w:p>
        </w:tc>
        <w:tc>
          <w:tcPr>
            <w:tcW w:type="dxa" w:w="11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نسبة الإنجاز</w:t>
            </w:r>
          </w:p>
        </w:tc>
        <w:tc>
          <w:tcPr>
            <w:tcW w:type="dxa" w:w="13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الحالة</w:t>
            </w:r>
          </w:p>
        </w:tc>
        <w:tc>
          <w:tcPr>
            <w:tcW w:type="dxa" w:w="244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ملاحظة</w:t>
            </w:r>
          </w:p>
        </w:tc>
      </w:tr>
      <w:tr>
        <w:trPr>
          <w:cantSplit/>
        </w:trPr>
        <w:tc>
          <w:tcPr>
            <w:tcW w:type="dxa" w:w="2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الوصول / المشاهدات</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400,000</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4,519,865</w:t>
            </w:r>
          </w:p>
        </w:tc>
        <w:tc>
          <w:tcPr>
            <w:tcW w:type="dxa" w:w="1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‎1,130%‎</w:t>
            </w:r>
          </w:p>
        </w:tc>
        <w:tc>
          <w:tcPr>
            <w:tcW w:type="dxa" w:w="1350"/>
            <w:tcBorders>
              <w:top w:val="single" w:color="DEDFE1" w:sz="4"/>
              <w:left w:val="single" w:color="DEDFE1" w:sz="4"/>
              <w:bottom w:val="single" w:color="DEDFE1" w:sz="4"/>
              <w:right w:val="single" w:color="DEDFE1" w:sz="4"/>
            </w:tcBorders>
            <w:shd w:fill="E7F3EC"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1B7A4B"/>
                <w:sz w:val="18"/>
                <w:szCs w:val="18"/>
                <w:rtl/>
              </w:rPr>
              <w:t xml:space="preserve">✔ تحقق</w:t>
            </w:r>
          </w:p>
        </w:tc>
        <w:tc>
          <w:tcPr>
            <w:tcW w:type="dxa" w:w="24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لأربع حملات من خمس — فعالية اليوم الوطني غير مقيسة</w:t>
            </w:r>
          </w:p>
        </w:tc>
      </w:tr>
      <w:tr>
        <w:trPr>
          <w:cantSplit/>
        </w:trPr>
        <w:tc>
          <w:tcPr>
            <w:tcW w:type="dxa" w:w="2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معدل التفاعل</w:t>
            </w:r>
          </w:p>
        </w:tc>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معدلات لكل حملة</w:t>
            </w:r>
          </w:p>
        </w:tc>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~263,950 تفاعل</w:t>
            </w:r>
          </w:p>
        </w:tc>
        <w:tc>
          <w:tcPr>
            <w:tcW w:type="dxa" w:w="1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w:t>
            </w:r>
          </w:p>
        </w:tc>
        <w:tc>
          <w:tcPr>
            <w:tcW w:type="dxa" w:w="1350"/>
            <w:tcBorders>
              <w:top w:val="single" w:color="DEDFE1" w:sz="4"/>
              <w:left w:val="single" w:color="DEDFE1" w:sz="4"/>
              <w:bottom w:val="single" w:color="DEDFE1" w:sz="4"/>
              <w:right w:val="single" w:color="DEDFE1" w:sz="4"/>
            </w:tcBorders>
            <w:shd w:fill="E7F3EC"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1B7A4B"/>
                <w:sz w:val="18"/>
                <w:szCs w:val="18"/>
                <w:rtl/>
              </w:rPr>
              <w:t xml:space="preserve">✔ تحقق</w:t>
            </w:r>
          </w:p>
        </w:tc>
        <w:tc>
          <w:tcPr>
            <w:tcW w:type="dxa" w:w="24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‎14.0%‎ و‎16.8%‎ و‎7.0%‎ مقابل ‎10%‎ و‎5%‎ و‎1%‎</w:t>
            </w:r>
          </w:p>
        </w:tc>
      </w:tr>
      <w:tr>
        <w:trPr>
          <w:cantSplit/>
        </w:trPr>
        <w:tc>
          <w:tcPr>
            <w:tcW w:type="dxa" w:w="2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الالتزام بالميزانية المخصصة</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36,000 ر.س</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36,142 ر.س</w:t>
            </w:r>
          </w:p>
        </w:tc>
        <w:tc>
          <w:tcPr>
            <w:tcW w:type="dxa" w:w="1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‎100.4%‎</w:t>
            </w:r>
          </w:p>
        </w:tc>
        <w:tc>
          <w:tcPr>
            <w:tcW w:type="dxa" w:w="1350"/>
            <w:tcBorders>
              <w:top w:val="single" w:color="DEDFE1" w:sz="4"/>
              <w:left w:val="single" w:color="DEDFE1" w:sz="4"/>
              <w:bottom w:val="single" w:color="DEDFE1" w:sz="4"/>
              <w:right w:val="single" w:color="DEDFE1" w:sz="4"/>
            </w:tcBorders>
            <w:shd w:fill="FDEADC"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D25C0C"/>
                <w:sz w:val="18"/>
                <w:szCs w:val="18"/>
                <w:rtl/>
              </w:rPr>
              <w:t xml:space="preserve">◐ تحقق جزئياً</w:t>
            </w:r>
          </w:p>
        </w:tc>
        <w:tc>
          <w:tcPr>
            <w:tcW w:type="dxa" w:w="24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للحملات الأربع ذات الميزانية المعتمدة فقط</w:t>
            </w:r>
          </w:p>
        </w:tc>
      </w:tr>
      <w:tr>
        <w:trPr>
          <w:cantSplit/>
        </w:trPr>
        <w:tc>
          <w:tcPr>
            <w:tcW w:type="dxa" w:w="2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إجمالي الإنفاق على حملات الربع</w:t>
            </w:r>
          </w:p>
        </w:tc>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لم يُعتمد مستهدف شامل</w:t>
            </w:r>
          </w:p>
        </w:tc>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66,149 ر.س</w:t>
            </w:r>
          </w:p>
        </w:tc>
        <w:tc>
          <w:tcPr>
            <w:tcW w:type="dxa" w:w="1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w:t>
            </w:r>
          </w:p>
        </w:tc>
        <w:tc>
          <w:tcPr>
            <w:tcW w:type="dxa" w:w="13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8E9295"/>
                <w:sz w:val="18"/>
                <w:szCs w:val="18"/>
                <w:rtl/>
              </w:rPr>
              <w:t xml:space="preserve">غير مُقارَن</w:t>
            </w:r>
          </w:p>
        </w:tc>
        <w:tc>
          <w:tcPr>
            <w:tcW w:type="dxa" w:w="24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منها 30,007 ر.س لفعالية اليوم الوطني دون ميزانية معتمدة</w:t>
            </w:r>
          </w:p>
        </w:tc>
      </w:tr>
      <w:tr>
        <w:trPr>
          <w:cantSplit/>
        </w:trPr>
        <w:tc>
          <w:tcPr>
            <w:tcW w:type="dxa" w:w="2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تغطية أشهر الربع بالحملات</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3 أشهر</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3 أشهر</w:t>
            </w:r>
          </w:p>
        </w:tc>
        <w:tc>
          <w:tcPr>
            <w:tcW w:type="dxa" w:w="1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‎100%‎</w:t>
            </w:r>
          </w:p>
        </w:tc>
        <w:tc>
          <w:tcPr>
            <w:tcW w:type="dxa" w:w="1350"/>
            <w:tcBorders>
              <w:top w:val="single" w:color="DEDFE1" w:sz="4"/>
              <w:left w:val="single" w:color="DEDFE1" w:sz="4"/>
              <w:bottom w:val="single" w:color="DEDFE1" w:sz="4"/>
              <w:right w:val="single" w:color="DEDFE1" w:sz="4"/>
            </w:tcBorders>
            <w:shd w:fill="E7F3EC"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1B7A4B"/>
                <w:sz w:val="18"/>
                <w:szCs w:val="18"/>
                <w:rtl/>
              </w:rPr>
              <w:t xml:space="preserve">✔ تحقق</w:t>
            </w:r>
          </w:p>
        </w:tc>
        <w:tc>
          <w:tcPr>
            <w:tcW w:type="dxa" w:w="24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يوليو 1 · أغسطس 3 · سبتمبر 1</w:t>
            </w:r>
          </w:p>
        </w:tc>
      </w:tr>
      <w:tr>
        <w:trPr>
          <w:cantSplit/>
        </w:trPr>
        <w:tc>
          <w:tcPr>
            <w:tcW w:type="dxa" w:w="2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مهام الفريق الدورية</w:t>
            </w:r>
          </w:p>
        </w:tc>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9 مهام</w:t>
            </w:r>
          </w:p>
        </w:tc>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 مكتملة</w:t>
            </w:r>
          </w:p>
        </w:tc>
        <w:tc>
          <w:tcPr>
            <w:tcW w:type="dxa" w:w="1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‎44%‎</w:t>
            </w:r>
          </w:p>
        </w:tc>
        <w:tc>
          <w:tcPr>
            <w:tcW w:type="dxa" w:w="1350"/>
            <w:tcBorders>
              <w:top w:val="single" w:color="DEDFE1" w:sz="4"/>
              <w:left w:val="single" w:color="DEDFE1" w:sz="4"/>
              <w:bottom w:val="single" w:color="DEDFE1" w:sz="4"/>
              <w:right w:val="single" w:color="DEDFE1" w:sz="4"/>
            </w:tcBorders>
            <w:shd w:fill="FDEADC"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D25C0C"/>
                <w:sz w:val="18"/>
                <w:szCs w:val="18"/>
                <w:rtl/>
              </w:rPr>
              <w:t xml:space="preserve">◐ تحقق جزئياً</w:t>
            </w:r>
          </w:p>
        </w:tc>
        <w:tc>
          <w:tcPr>
            <w:tcW w:type="dxa" w:w="24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متوسط الإنجاز · التفصيل في القسم 06</w:t>
            </w:r>
          </w:p>
        </w:tc>
      </w:tr>
      <w:tr>
        <w:trPr>
          <w:cantSplit/>
        </w:trPr>
        <w:tc>
          <w:tcPr>
            <w:tcW w:type="dxa" w:w="2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الإيراد الإضافي المقدَّر</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لم يُحدَّد</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220,431 ر.س</w:t>
            </w:r>
          </w:p>
        </w:tc>
        <w:tc>
          <w:tcPr>
            <w:tcW w:type="dxa" w:w="1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w:t>
            </w:r>
          </w:p>
        </w:tc>
        <w:tc>
          <w:tcPr>
            <w:tcW w:type="dxa" w:w="1350"/>
            <w:tcBorders>
              <w:top w:val="single" w:color="DEDFE1" w:sz="4"/>
              <w:left w:val="single" w:color="DEDFE1" w:sz="4"/>
              <w:bottom w:val="single" w:color="DEDFE1" w:sz="4"/>
              <w:right w:val="single" w:color="DEDFE1" w:sz="4"/>
            </w:tcBorders>
            <w:shd w:fill="E7F3EC"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1B7A4B"/>
                <w:sz w:val="18"/>
                <w:szCs w:val="18"/>
                <w:rtl/>
              </w:rPr>
              <w:t xml:space="preserve">✔ مُقاس</w:t>
            </w:r>
          </w:p>
        </w:tc>
        <w:tc>
          <w:tcPr>
            <w:tcW w:type="dxa" w:w="24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لثلاث حملات — التفصيل في القسم 04</w:t>
            </w:r>
          </w:p>
        </w:tc>
      </w:tr>
      <w:tr>
        <w:trPr>
          <w:cantSplit/>
        </w:trPr>
        <w:tc>
          <w:tcPr>
            <w:tcW w:type="dxa" w:w="2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عائد الإنفاق (إيراد ÷ تكلفة)</w:t>
            </w:r>
          </w:p>
        </w:tc>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لم يُحدَّد</w:t>
            </w:r>
          </w:p>
        </w:tc>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6.1×</w:t>
            </w:r>
          </w:p>
        </w:tc>
        <w:tc>
          <w:tcPr>
            <w:tcW w:type="dxa" w:w="1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w:t>
            </w:r>
          </w:p>
        </w:tc>
        <w:tc>
          <w:tcPr>
            <w:tcW w:type="dxa" w:w="1350"/>
            <w:tcBorders>
              <w:top w:val="single" w:color="DEDFE1" w:sz="4"/>
              <w:left w:val="single" w:color="DEDFE1" w:sz="4"/>
              <w:bottom w:val="single" w:color="DEDFE1" w:sz="4"/>
              <w:right w:val="single" w:color="DEDFE1" w:sz="4"/>
            </w:tcBorders>
            <w:shd w:fill="FDEADC"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D25C0C"/>
                <w:sz w:val="18"/>
                <w:szCs w:val="18"/>
                <w:rtl/>
              </w:rPr>
              <w:t xml:space="preserve">◐ مُقاس جزئياً</w:t>
            </w:r>
          </w:p>
        </w:tc>
        <w:tc>
          <w:tcPr>
            <w:tcW w:type="dxa" w:w="24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إيراد إضافي لا ربح · 3 حملات من 5</w:t>
            </w:r>
          </w:p>
        </w:tc>
      </w:tr>
      <w:tr>
        <w:trPr>
          <w:cantSplit/>
        </w:trPr>
        <w:tc>
          <w:tcPr>
            <w:tcW w:type="dxa" w:w="2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الفرص التجارية</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لم يُحدَّد</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0</w:t>
            </w:r>
          </w:p>
        </w:tc>
        <w:tc>
          <w:tcPr>
            <w:tcW w:type="dxa" w:w="1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w:t>
            </w:r>
          </w:p>
        </w:tc>
        <w:tc>
          <w:tcPr>
            <w:tcW w:type="dxa" w:w="13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8E9295"/>
                <w:sz w:val="18"/>
                <w:szCs w:val="18"/>
                <w:rtl/>
              </w:rPr>
              <w:t xml:space="preserve">غير مُقاس</w:t>
            </w:r>
          </w:p>
        </w:tc>
        <w:tc>
          <w:tcPr>
            <w:tcW w:type="dxa" w:w="24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لم يُفعَّل القياس في أي حملة</w:t>
            </w:r>
          </w:p>
        </w:tc>
      </w:tr>
      <w:tr>
        <w:trPr>
          <w:cantSplit/>
        </w:trPr>
        <w:tc>
          <w:tcPr>
            <w:tcW w:type="dxa" w:w="2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العملاء المحوّلون</w:t>
            </w:r>
          </w:p>
        </w:tc>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لم يُحدَّد</w:t>
            </w:r>
          </w:p>
        </w:tc>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0</w:t>
            </w:r>
          </w:p>
        </w:tc>
        <w:tc>
          <w:tcPr>
            <w:tcW w:type="dxa" w:w="1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w:t>
            </w:r>
          </w:p>
        </w:tc>
        <w:tc>
          <w:tcPr>
            <w:tcW w:type="dxa" w:w="13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8E9295"/>
                <w:sz w:val="18"/>
                <w:szCs w:val="18"/>
                <w:rtl/>
              </w:rPr>
              <w:t xml:space="preserve">غير مُقاس</w:t>
            </w:r>
          </w:p>
        </w:tc>
        <w:tc>
          <w:tcPr>
            <w:tcW w:type="dxa" w:w="24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لم يُفعَّل القياس في أي حملة</w:t>
            </w:r>
          </w:p>
        </w:tc>
      </w:tr>
    </w:tbl>
    <w:p>
      <w:pPr>
        <w:spacing w:after="200"/>
      </w:pP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single" w:color="1B7A4B" w:sz="18"/>
            </w:tcBorders>
            <w:shd w:fill="E7F3EC" w:color="auto" w:val="clear"/>
            <w:tcMar>
              <w:top w:type="dxa" w:w="170"/>
              <w:left w:type="dxa" w:w="180"/>
              <w:bottom w:type="dxa" w:w="170"/>
              <w:right w:type="dxa" w:w="180"/>
            </w:tcMar>
          </w:tcPr>
          <w:p>
            <w:pPr>
              <w:bidi/>
              <w:spacing w:after="90" w:before="0" w:line="300" w:lineRule="auto"/>
              <w:jc w:val="start"/>
            </w:pPr>
            <w:r>
              <w:rPr>
                <w:rFonts w:ascii="DIN Next LT Arabic" w:cs="DIN Next LT Arabic" w:eastAsia="DIN Next LT Arabic" w:hAnsi="DIN Next LT Arabic"/>
                <w:b/>
                <w:bCs/>
                <w:color w:val="1B7A4B"/>
                <w:sz w:val="21"/>
                <w:szCs w:val="21"/>
                <w:rtl/>
              </w:rPr>
              <w:t xml:space="preserve">خلاصة ما تحقق</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الوصول: 4,519,865 مشاهدة مقابل مستهدف 400,000 — أي ‎1,130%‎ من المستهدف، وبتجاوز في كل حملة على حدة.</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التفاعل: نحو 263,950 تفاعلاً. المستهدف مرصود كمعدل لكل حملة (‎10%‎ · ‎5%‎ · ‎1%‎) وتحقق ‎14.0%‎ و‎16.8%‎ و‎7.0%‎ — أي 1.4 و3.4 و7.0 أضعافه.</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الأثر باقٍ حتى سبتمبر: 1,412,617 ر.س من المحطات الثلاث في أول 27 يوماً — حائل ‎+29.6%‎ والروضة ‎+65.7%‎ عن أغسطس، ونجران ‎-4.4%‎ لكنها أعلى بـ‎60%‎ من مستواها قبل حملة يوليو.</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قناة البريد الإلكتروني: 235 رسالة في الربع وصل منها 219 (نسبة تسليم ‎93.2%‎ مقابل ‎20.0%‎ في الفترة السابقة)، لكن معدل الفتح ‎7.3%‎ فقط — نحو 16 قارئاً. القناة بلا مستهدف معتمد وبلا قياس للنقر أو التحويل.</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الانضباط المالي: 36,142 ر.س من مخصص 36,000 ر.س — انحراف ‎0.4%‎، وتكلفة الألف مشاهدة نحو 8.0 هللة.</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نموذج «البنزين المجاني للسيارات الأولى» أثبت فاعليته في أربع مناطق.</w:t>
            </w:r>
          </w:p>
        </w:tc>
      </w:tr>
    </w:tbl>
    <w:p>
      <w:pPr>
        <w:keepNext/>
        <w:pageBreakBefore/>
        <w:bidi/>
        <w:spacing w:after="40" w:before="0" w:line="300" w:lineRule="auto"/>
        <w:jc w:val="start"/>
      </w:pPr>
      <w:r>
        <w:rPr>
          <w:rFonts w:ascii="DIN Next LT Arabic" w:cs="DIN Next LT Arabic" w:eastAsia="DIN Next LT Arabic" w:hAnsi="DIN Next LT Arabic"/>
          <w:b/>
          <w:bCs/>
          <w:color w:val="D25C0C"/>
          <w:sz w:val="16"/>
          <w:szCs w:val="16"/>
          <w:rtl/>
        </w:rPr>
        <w:t xml:space="preserve">02 · ما لم يتحقق</w:t>
      </w:r>
    </w:p>
    <w:p>
      <w:pPr>
        <w:keepNext/>
        <w:pBdr>
          <w:bottom w:val="single" w:color="F3741F" w:sz="10" w:space="6"/>
        </w:pBdr>
        <w:bidi/>
        <w:spacing w:after="120" w:before="0" w:line="300" w:lineRule="auto"/>
        <w:jc w:val="start"/>
      </w:pPr>
      <w:r>
        <w:rPr>
          <w:rFonts w:ascii="DIN Next LT Arabic" w:cs="DIN Next LT Arabic" w:eastAsia="DIN Next LT Arabic" w:hAnsi="DIN Next LT Arabic"/>
          <w:b/>
          <w:bCs/>
          <w:color w:val="2B2E30"/>
          <w:sz w:val="30"/>
          <w:szCs w:val="30"/>
          <w:rtl/>
        </w:rPr>
        <w:t xml:space="preserve">البنود التي لم تتحقق · المبررات والإجراء التصحيحي</w:t>
      </w:r>
    </w:p>
    <w:p>
      <w:pPr>
        <w:bidi/>
        <w:spacing w:after="180" w:before="0" w:line="300" w:lineRule="auto"/>
        <w:jc w:val="start"/>
      </w:pPr>
      <w:r>
        <w:rPr>
          <w:rFonts w:ascii="Tahoma" w:cs="Tahoma" w:eastAsia="Tahoma" w:hAnsi="Tahoma"/>
          <w:b w:val="false"/>
          <w:bCs w:val="false"/>
          <w:color w:val="5E6265"/>
          <w:sz w:val="20"/>
          <w:szCs w:val="20"/>
          <w:rtl/>
        </w:rPr>
        <w:t xml:space="preserve">حيث لم يَرِد مبرر موثّق في تقرير الحملة أو لوحة المتابعة، يُذكر ذلك صراحةً بدلاً من افتراضه.</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بنود القياس والميزانية</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50"/>
        <w:gridCol w:w="1200"/>
        <w:gridCol w:w="1200"/>
        <w:gridCol w:w="2799"/>
        <w:gridCol w:w="2599"/>
      </w:tblGrid>
      <w:tr>
        <w:trPr>
          <w:tblHeader/>
        </w:trPr>
        <w:tc>
          <w:tcPr>
            <w:tcW w:type="dxa" w:w="18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البند</w:t>
            </w:r>
          </w:p>
        </w:tc>
        <w:tc>
          <w:tcPr>
            <w:tcW w:type="dxa" w:w="12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المستهدف</w:t>
            </w:r>
          </w:p>
        </w:tc>
        <w:tc>
          <w:tcPr>
            <w:tcW w:type="dxa" w:w="12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المتحقق</w:t>
            </w:r>
          </w:p>
        </w:tc>
        <w:tc>
          <w:tcPr>
            <w:tcW w:type="dxa" w:w="2799"/>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المبرر</w:t>
            </w:r>
          </w:p>
        </w:tc>
        <w:tc>
          <w:tcPr>
            <w:tcW w:type="dxa" w:w="2599"/>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الإجراء التصحيحي</w:t>
            </w:r>
          </w:p>
        </w:tc>
      </w:tr>
      <w:tr>
        <w:trPr>
          <w:cantSplit/>
        </w:trPr>
        <w:tc>
          <w:tcPr>
            <w:tcW w:type="dxa" w:w="18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قياس أثر فعالية اليوم الوطني</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لم يُحدَّد مستهدف</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غير مُقاس</w:t>
            </w:r>
          </w:p>
        </w:tc>
        <w:tc>
          <w:tcPr>
            <w:tcW w:type="dxa" w:w="279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نُفّذت الفعالية في تسع محطات بتكلفة 30,007 ر.س — ‎45%‎ من إجمالي إنفاق الربع — دون تسجيل وصول أو تفاعل أو أي مؤشر أداء.</w:t>
            </w:r>
          </w:p>
        </w:tc>
        <w:tc>
          <w:tcPr>
            <w:tcW w:type="dxa" w:w="259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اعتماد مستهدف وقياس لكل فعالية مناسبات قادمة، وربط المواد الموزعة برمز QR لقياس التفاعل.</w:t>
            </w:r>
          </w:p>
        </w:tc>
      </w:tr>
      <w:tr>
        <w:trPr>
          <w:cantSplit/>
        </w:trPr>
        <w:tc>
          <w:tcPr>
            <w:tcW w:type="dxa" w:w="18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ثبات سعر الليزرات بعد الاعتماد</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19,320 ر.س</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20,520 ر.س</w:t>
            </w:r>
          </w:p>
        </w:tc>
        <w:tc>
          <w:tcPr>
            <w:tcW w:type="dxa" w:w="2799"/>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زيادة 1,200 ر.س (‎+6.2%‎) على بند الليزرات بعد اعتماده رفعت سعر الوحدة من 603.75 إلى 641.25 ر.س، دون توثيق السبب.</w:t>
            </w:r>
          </w:p>
        </w:tc>
        <w:tc>
          <w:tcPr>
            <w:tcW w:type="dxa" w:w="2599"/>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تثبيت السعر في أمر الشراء أو العقد الموسمي، وتوثيق أي زيادة واعتمادها قبل التنفيذ.</w:t>
            </w:r>
          </w:p>
        </w:tc>
      </w:tr>
      <w:tr>
        <w:trPr>
          <w:cantSplit/>
        </w:trPr>
        <w:tc>
          <w:tcPr>
            <w:tcW w:type="dxa" w:w="18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اعتماد ميزانية مسبقة لفعالية اليوم الوطني</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ميزانية معتمدة</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30,007 ر.س فعلي</w:t>
            </w:r>
          </w:p>
        </w:tc>
        <w:tc>
          <w:tcPr>
            <w:tcW w:type="dxa" w:w="279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صُرف المبلغ دون ميزانية مخصصة معتمدة مسجّلة، فتعذّرت مقارنة المصروف بالمخطط.</w:t>
            </w:r>
          </w:p>
        </w:tc>
        <w:tc>
          <w:tcPr>
            <w:tcW w:type="dxa" w:w="259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إدراج فعاليات المناسبات ضمن الخطة والميزانية الربعية المعتمدة مسبقاً.</w:t>
            </w:r>
          </w:p>
        </w:tc>
      </w:tr>
      <w:tr>
        <w:trPr>
          <w:cantSplit/>
        </w:trPr>
        <w:tc>
          <w:tcPr>
            <w:tcW w:type="dxa" w:w="18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الالتزام بميزانية حملة نجران NJ219</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21,000 ر.س</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25,000 ر.س</w:t>
            </w:r>
          </w:p>
        </w:tc>
        <w:tc>
          <w:tcPr>
            <w:tcW w:type="dxa" w:w="2799"/>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تجاوز 4,000 ر.س باستهلاك ‎119%‎ — لم يُسجَّل مبرر للتجاوز في تقرير الحملة.</w:t>
            </w:r>
          </w:p>
        </w:tc>
        <w:tc>
          <w:tcPr>
            <w:tcW w:type="dxa" w:w="2599"/>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توثيق مبرر التجاوز واعتماده، وضبط تقدير ميزانية الحملات الميدانية اليومية.</w:t>
            </w:r>
          </w:p>
        </w:tc>
      </w:tr>
    </w:tbl>
    <w:p>
      <w:pPr>
        <w:spacing w:after="160"/>
      </w:pP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بنود التسجيل والتنفيذ والتنسيق</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50"/>
        <w:gridCol w:w="1200"/>
        <w:gridCol w:w="1200"/>
        <w:gridCol w:w="2799"/>
        <w:gridCol w:w="2599"/>
      </w:tblGrid>
      <w:tr>
        <w:trPr>
          <w:tblHeader/>
        </w:trPr>
        <w:tc>
          <w:tcPr>
            <w:tcW w:type="dxa" w:w="18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البند</w:t>
            </w:r>
          </w:p>
        </w:tc>
        <w:tc>
          <w:tcPr>
            <w:tcW w:type="dxa" w:w="12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المستهدف</w:t>
            </w:r>
          </w:p>
        </w:tc>
        <w:tc>
          <w:tcPr>
            <w:tcW w:type="dxa" w:w="12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المتحقق</w:t>
            </w:r>
          </w:p>
        </w:tc>
        <w:tc>
          <w:tcPr>
            <w:tcW w:type="dxa" w:w="2799"/>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المبرر</w:t>
            </w:r>
          </w:p>
        </w:tc>
        <w:tc>
          <w:tcPr>
            <w:tcW w:type="dxa" w:w="2599"/>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الإجراء التصحيحي</w:t>
            </w:r>
          </w:p>
        </w:tc>
      </w:tr>
      <w:tr>
        <w:trPr>
          <w:cantSplit/>
        </w:trPr>
        <w:tc>
          <w:tcPr>
            <w:tcW w:type="dxa" w:w="18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تسجيل معاملات يوم حملة درب صبيا JA070</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تسجيل كامل ليوم الحملة</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لا تسجيل</w:t>
            </w:r>
          </w:p>
        </w:tc>
        <w:tc>
          <w:tcPr>
            <w:tcW w:type="dxa" w:w="279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التسجيل متوقف من ظهر 5 حتى 8 أغسطس ضمناً، ويوم الحملة (السبت 8 أغسطس) ضمن الانقطاع، فتعذّر قياس أثرها التجاري.</w:t>
            </w:r>
          </w:p>
        </w:tc>
        <w:tc>
          <w:tcPr>
            <w:tcW w:type="dxa" w:w="259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طلب كشف 6 – 8 أغسطس من مزوّد النظام، والتحقق من عمل التسجيل قبل انطلاق أي حملة.</w:t>
            </w:r>
          </w:p>
        </w:tc>
      </w:tr>
      <w:tr>
        <w:trPr>
          <w:cantSplit/>
        </w:trPr>
        <w:tc>
          <w:tcPr>
            <w:tcW w:type="dxa" w:w="18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تسجيل ميزانية حملة درب صبيا JA070</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ميزانية معتمدة</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غير مسجّلة</w:t>
            </w:r>
          </w:p>
        </w:tc>
        <w:tc>
          <w:tcPr>
            <w:tcW w:type="dxa" w:w="2799"/>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لم تُدخل الميزانية المخصصة ولا الإنفاق الفعلي للحملة في النظام.</w:t>
            </w:r>
          </w:p>
        </w:tc>
        <w:tc>
          <w:tcPr>
            <w:tcW w:type="dxa" w:w="2599"/>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استكمال الإدخال لاحتساب عائد الإنفاق، ومراجعة تحمّل الكلفة مع شريك الامتياز.</w:t>
            </w:r>
          </w:p>
        </w:tc>
      </w:tr>
      <w:tr>
        <w:trPr>
          <w:cantSplit/>
        </w:trPr>
        <w:tc>
          <w:tcPr>
            <w:tcW w:type="dxa" w:w="18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قياس الأثر التجاري للحملات</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لم تُحدَّد مستهدفات</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غير مُقاس</w:t>
            </w:r>
          </w:p>
        </w:tc>
        <w:tc>
          <w:tcPr>
            <w:tcW w:type="dxa" w:w="279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الفرص التجارية والعملاء المحوّلون وعائد الإنفاق وتكلفة الفرصة ونسبة التحويل غير مُستهدفة وغير مقيسة في الحملات الأربع.</w:t>
            </w:r>
          </w:p>
        </w:tc>
        <w:tc>
          <w:tcPr>
            <w:tcW w:type="dxa" w:w="259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اعتماد مستهدفات تجارية لكل حملة قادمة، وربط القياس ببرنامج الولاء ونقاط البيع.</w:t>
            </w:r>
          </w:p>
        </w:tc>
      </w:tr>
      <w:tr>
        <w:trPr>
          <w:cantSplit/>
        </w:trPr>
        <w:tc>
          <w:tcPr>
            <w:tcW w:type="dxa" w:w="18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أربع مهام دورية دون ‎40%‎ من مستهدفها</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المستهدف المعتمد</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‎8%‎ – ‎33%‎</w:t>
            </w:r>
          </w:p>
        </w:tc>
        <w:tc>
          <w:tcPr>
            <w:tcW w:type="dxa" w:w="2799"/>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دعم افتتاحات المحطات — امتياز تجاري (‎8%‎)، تغطية الافتتاحات — تشغيل (‎13%‎)، عرض البنزين — افتتاحات التشغيل (‎20%‎)، اجتماعات التشغيل (‎33%‎). لم تُسجَّل مبررات التأخر في لوحة المتابعة.</w:t>
            </w:r>
          </w:p>
        </w:tc>
        <w:tc>
          <w:tcPr>
            <w:tcW w:type="dxa" w:w="2599"/>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تسجيل مبرر لكل مهمة متأخرة، وربط مهام الافتتاحات بجدول الافتتاحات المعتمد.</w:t>
            </w:r>
          </w:p>
        </w:tc>
      </w:tr>
      <w:tr>
        <w:trPr>
          <w:cantSplit/>
        </w:trPr>
        <w:tc>
          <w:tcPr>
            <w:tcW w:type="dxa" w:w="18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التصاريح والترتيبات الأمنية — حائل HA052</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تصريح + تعاقد أمني</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لم يُستوفَ</w:t>
            </w:r>
          </w:p>
        </w:tc>
        <w:tc>
          <w:tcPr>
            <w:tcW w:type="dxa" w:w="279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لم يُصدر تصريح الفعالية مسبقاً ولم يُتعاقد مع شركة حراسات أمنية قبل التنفيذ.</w:t>
            </w:r>
          </w:p>
        </w:tc>
        <w:tc>
          <w:tcPr>
            <w:tcW w:type="dxa" w:w="259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قائمة تحقق إلزامية لا تُعتمد الحملة قبل استيفائها.</w:t>
            </w:r>
          </w:p>
        </w:tc>
      </w:tr>
      <w:tr>
        <w:trPr>
          <w:cantSplit/>
        </w:trPr>
        <w:tc>
          <w:tcPr>
            <w:tcW w:type="dxa" w:w="18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التنسيق المسبق قبل التنفيذ</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تنسيق مكتمل</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لم يُستوفَ في 3 حملات</w:t>
            </w:r>
          </w:p>
        </w:tc>
        <w:tc>
          <w:tcPr>
            <w:tcW w:type="dxa" w:w="2799"/>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تكررت الملاحظة في ثلاث حملات: نجران NJ219، وحائل HA052، والروضة MK040.</w:t>
            </w:r>
          </w:p>
        </w:tc>
        <w:tc>
          <w:tcPr>
            <w:tcW w:type="dxa" w:w="2599"/>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إقفال التنسيق قبل أسبوعين من موعد التنفيذ كشرط لانطلاق الحملة.</w:t>
            </w:r>
          </w:p>
        </w:tc>
      </w:tr>
    </w:tbl>
    <w:p>
      <w:pPr>
        <w:keepNext/>
        <w:pageBreakBefore/>
        <w:bidi/>
        <w:spacing w:after="40" w:before="0" w:line="300" w:lineRule="auto"/>
        <w:jc w:val="start"/>
      </w:pPr>
      <w:r>
        <w:rPr>
          <w:rFonts w:ascii="DIN Next LT Arabic" w:cs="DIN Next LT Arabic" w:eastAsia="DIN Next LT Arabic" w:hAnsi="DIN Next LT Arabic"/>
          <w:b/>
          <w:bCs/>
          <w:color w:val="D25C0C"/>
          <w:sz w:val="16"/>
          <w:szCs w:val="16"/>
          <w:rtl/>
        </w:rPr>
        <w:t xml:space="preserve">03 · أداء الربع</w:t>
      </w:r>
    </w:p>
    <w:p>
      <w:pPr>
        <w:keepNext/>
        <w:pBdr>
          <w:bottom w:val="single" w:color="F3741F" w:sz="10" w:space="6"/>
        </w:pBdr>
        <w:bidi/>
        <w:spacing w:after="120" w:before="0" w:line="300" w:lineRule="auto"/>
        <w:jc w:val="start"/>
      </w:pPr>
      <w:r>
        <w:rPr>
          <w:rFonts w:ascii="DIN Next LT Arabic" w:cs="DIN Next LT Arabic" w:eastAsia="DIN Next LT Arabic" w:hAnsi="DIN Next LT Arabic"/>
          <w:b/>
          <w:bCs/>
          <w:color w:val="2B2E30"/>
          <w:sz w:val="30"/>
          <w:szCs w:val="30"/>
          <w:rtl/>
        </w:rPr>
        <w:t xml:space="preserve">الوصول المتحقق لكل حملة وتوزيع الأداء على الأشهر</w:t>
      </w:r>
    </w:p>
    <w:p>
      <w:pPr>
        <w:spacing w:after="120"/>
      </w:pPr>
    </w:p>
    <w:p>
      <w:pPr>
        <w:bidi/>
        <w:spacing w:after="60" w:before="0"/>
        <w:jc w:val="center"/>
      </w:pPr>
      <w:r>
        <w:drawing>
          <wp:inline distT="0" distB="0" distL="0" distR="0">
            <wp:extent cx="5905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324100"/>
                    </a:xfrm>
                    <a:prstGeom prst="rect">
                      <a:avLst/>
                    </a:prstGeom>
                  </pic:spPr>
                </pic:pic>
              </a:graphicData>
            </a:graphic>
          </wp:inline>
        </w:drawing>
      </w:r>
    </w:p>
    <w:p>
      <w:pPr>
        <w:bidi/>
        <w:spacing w:after="220" w:before="0" w:line="300" w:lineRule="auto"/>
        <w:jc w:val="center"/>
      </w:pPr>
      <w:r>
        <w:rPr>
          <w:rFonts w:ascii="Tahoma" w:cs="Tahoma" w:eastAsia="Tahoma" w:hAnsi="Tahoma"/>
          <w:b w:val="false"/>
          <w:bCs w:val="false"/>
          <w:color w:val="8E9295"/>
          <w:sz w:val="16"/>
          <w:szCs w:val="16"/>
          <w:rtl/>
        </w:rPr>
        <w:t xml:space="preserve">الحملات الأربع ذات الوصول المقيس. فعالية اليوم الوطني غير مدرجة لعدم قياس وصولها.</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توزيع الأداء على أشهر الربع</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1600"/>
        <w:gridCol w:w="1300"/>
        <w:gridCol w:w="1500"/>
        <w:gridCol w:w="1500"/>
        <w:gridCol w:w="1098"/>
      </w:tblGrid>
      <w:tr>
        <w:trPr>
          <w:tblHeader/>
        </w:trPr>
        <w:tc>
          <w:tcPr>
            <w:tcW w:type="dxa" w:w="15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الشهر</w:t>
            </w:r>
          </w:p>
        </w:tc>
        <w:tc>
          <w:tcPr>
            <w:tcW w:type="dxa" w:w="11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عدد الحملات</w:t>
            </w:r>
          </w:p>
        </w:tc>
        <w:tc>
          <w:tcPr>
            <w:tcW w:type="dxa" w:w="16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الوصول</w:t>
            </w:r>
          </w:p>
        </w:tc>
        <w:tc>
          <w:tcPr>
            <w:tcW w:type="dxa" w:w="13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التفاعلات</w:t>
            </w:r>
          </w:p>
        </w:tc>
        <w:tc>
          <w:tcPr>
            <w:tcW w:type="dxa" w:w="15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الميزانية المخصصة</w:t>
            </w:r>
          </w:p>
        </w:tc>
        <w:tc>
          <w:tcPr>
            <w:tcW w:type="dxa" w:w="15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الإنفاق الفعلي</w:t>
            </w:r>
          </w:p>
        </w:tc>
        <w:tc>
          <w:tcPr>
            <w:tcW w:type="dxa" w:w="109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الحالة</w:t>
            </w:r>
          </w:p>
        </w:tc>
      </w:tr>
      <w:tr>
        <w:trPr>
          <w:cantSplit/>
        </w:trPr>
        <w:tc>
          <w:tcPr>
            <w:tcW w:type="dxa" w:w="1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يوليو 2026</w:t>
            </w:r>
          </w:p>
        </w:tc>
        <w:tc>
          <w:tcPr>
            <w:tcW w:type="dxa" w:w="11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w:t>
            </w:r>
          </w:p>
        </w:tc>
        <w:tc>
          <w:tcPr>
            <w:tcW w:type="dxa" w:w="1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2,626,300</w:t>
            </w:r>
          </w:p>
        </w:tc>
        <w:tc>
          <w:tcPr>
            <w:tcW w:type="dxa" w:w="13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غير مُقاس</w:t>
            </w:r>
          </w:p>
        </w:tc>
        <w:tc>
          <w:tcPr>
            <w:tcW w:type="dxa" w:w="1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21,000 ر.س</w:t>
            </w:r>
          </w:p>
        </w:tc>
        <w:tc>
          <w:tcPr>
            <w:tcW w:type="dxa" w:w="1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25,000 ر.س</w:t>
            </w:r>
          </w:p>
        </w:tc>
        <w:tc>
          <w:tcPr>
            <w:tcW w:type="dxa" w:w="1098"/>
            <w:tcBorders>
              <w:top w:val="single" w:color="DEDFE1" w:sz="4"/>
              <w:left w:val="single" w:color="DEDFE1" w:sz="4"/>
              <w:bottom w:val="single" w:color="DEDFE1" w:sz="4"/>
              <w:right w:val="single" w:color="DEDFE1" w:sz="4"/>
            </w:tcBorders>
            <w:shd w:fill="E7F3EC"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منفّذ</w:t>
            </w:r>
          </w:p>
        </w:tc>
      </w:tr>
      <w:tr>
        <w:trPr>
          <w:cantSplit/>
        </w:trPr>
        <w:tc>
          <w:tcPr>
            <w:tcW w:type="dxa" w:w="1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أغسطس 2026</w:t>
            </w:r>
          </w:p>
        </w:tc>
        <w:tc>
          <w:tcPr>
            <w:tcW w:type="dxa" w:w="11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3</w:t>
            </w:r>
          </w:p>
        </w:tc>
        <w:tc>
          <w:tcPr>
            <w:tcW w:type="dxa" w:w="16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1,730,212</w:t>
            </w:r>
          </w:p>
        </w:tc>
        <w:tc>
          <w:tcPr>
            <w:tcW w:type="dxa" w:w="13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263,950</w:t>
            </w:r>
          </w:p>
        </w:tc>
        <w:tc>
          <w:tcPr>
            <w:tcW w:type="dxa" w:w="1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15,000 ر.س</w:t>
            </w:r>
          </w:p>
        </w:tc>
        <w:tc>
          <w:tcPr>
            <w:tcW w:type="dxa" w:w="1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11,142 ر.س</w:t>
            </w:r>
          </w:p>
        </w:tc>
        <w:tc>
          <w:tcPr>
            <w:tcW w:type="dxa" w:w="1098"/>
            <w:tcBorders>
              <w:top w:val="single" w:color="DEDFE1" w:sz="4"/>
              <w:left w:val="single" w:color="DEDFE1" w:sz="4"/>
              <w:bottom w:val="single" w:color="DEDFE1" w:sz="4"/>
              <w:right w:val="single" w:color="DEDFE1" w:sz="4"/>
            </w:tcBorders>
            <w:shd w:fill="E7F3EC"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منفّذ</w:t>
            </w:r>
          </w:p>
        </w:tc>
      </w:tr>
      <w:tr>
        <w:trPr>
          <w:cantSplit/>
        </w:trPr>
        <w:tc>
          <w:tcPr>
            <w:tcW w:type="dxa" w:w="1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سبتمبر 2026</w:t>
            </w:r>
          </w:p>
        </w:tc>
        <w:tc>
          <w:tcPr>
            <w:tcW w:type="dxa" w:w="11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w:t>
            </w:r>
          </w:p>
        </w:tc>
        <w:tc>
          <w:tcPr>
            <w:tcW w:type="dxa" w:w="1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غير مُقاس</w:t>
            </w:r>
          </w:p>
        </w:tc>
        <w:tc>
          <w:tcPr>
            <w:tcW w:type="dxa" w:w="13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غير مُقاس</w:t>
            </w:r>
          </w:p>
        </w:tc>
        <w:tc>
          <w:tcPr>
            <w:tcW w:type="dxa" w:w="1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غير مسجّلة</w:t>
            </w:r>
          </w:p>
        </w:tc>
        <w:tc>
          <w:tcPr>
            <w:tcW w:type="dxa" w:w="1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30,007 ر.س</w:t>
            </w:r>
          </w:p>
        </w:tc>
        <w:tc>
          <w:tcPr>
            <w:tcW w:type="dxa" w:w="1098"/>
            <w:tcBorders>
              <w:top w:val="single" w:color="DEDFE1" w:sz="4"/>
              <w:left w:val="single" w:color="DEDFE1" w:sz="4"/>
              <w:bottom w:val="single" w:color="DEDFE1" w:sz="4"/>
              <w:right w:val="single" w:color="DEDFE1" w:sz="4"/>
            </w:tcBorders>
            <w:shd w:fill="E7F3EC"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منفّذ</w:t>
            </w:r>
          </w:p>
        </w:tc>
      </w:tr>
      <w:tr>
        <w:trPr>
          <w:cantSplit/>
        </w:trPr>
        <w:tc>
          <w:tcPr>
            <w:tcW w:type="dxa" w:w="1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الإجمالي</w:t>
            </w:r>
          </w:p>
        </w:tc>
        <w:tc>
          <w:tcPr>
            <w:tcW w:type="dxa" w:w="11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5</w:t>
            </w:r>
          </w:p>
        </w:tc>
        <w:tc>
          <w:tcPr>
            <w:tcW w:type="dxa" w:w="16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4,519,865</w:t>
            </w:r>
          </w:p>
        </w:tc>
        <w:tc>
          <w:tcPr>
            <w:tcW w:type="dxa" w:w="13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263,950</w:t>
            </w:r>
          </w:p>
        </w:tc>
        <w:tc>
          <w:tcPr>
            <w:tcW w:type="dxa" w:w="1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36,000 ر.س</w:t>
            </w:r>
          </w:p>
        </w:tc>
        <w:tc>
          <w:tcPr>
            <w:tcW w:type="dxa" w:w="1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66,149 ر.س</w:t>
            </w:r>
          </w:p>
        </w:tc>
        <w:tc>
          <w:tcPr>
            <w:tcW w:type="dxa" w:w="109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w:t>
            </w:r>
          </w:p>
        </w:tc>
      </w:tr>
    </w:tbl>
    <w:p>
      <w:pPr>
        <w:spacing w:after="200"/>
      </w:pP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single" w:color="C6486B" w:sz="18"/>
            </w:tcBorders>
            <w:shd w:fill="FBE9EE" w:color="auto" w:val="clear"/>
            <w:tcMar>
              <w:top w:type="dxa" w:w="170"/>
              <w:left w:type="dxa" w:w="180"/>
              <w:bottom w:type="dxa" w:w="170"/>
              <w:right w:type="dxa" w:w="180"/>
            </w:tcMar>
          </w:tcPr>
          <w:p>
            <w:pPr>
              <w:bidi/>
              <w:spacing w:after="90" w:before="0" w:line="300" w:lineRule="auto"/>
              <w:jc w:val="start"/>
            </w:pPr>
            <w:r>
              <w:rPr>
                <w:rFonts w:ascii="DIN Next LT Arabic" w:cs="DIN Next LT Arabic" w:eastAsia="DIN Next LT Arabic" w:hAnsi="DIN Next LT Arabic"/>
                <w:b/>
                <w:bCs/>
                <w:color w:val="C6486B"/>
                <w:sz w:val="21"/>
                <w:szCs w:val="21"/>
                <w:rtl/>
              </w:rPr>
              <w:t xml:space="preserve">تنبيه على نطاق الأرقام</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أرقام الوصول والتفاعل تمثّل أربع حملات من خمس؛ فعالية اليوم الوطني نُفّذت دون قياس وصول أو تفاعل فلا تدخل في تلك المجاميع.</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مجموع الإنفاق (66,149 ر.س) يشمل الحملات الخمس، وتمثّل فعالية اليوم الوطني ‎45%‎ منه — أكبر بند إنفاق في الربع وأقلّه قياساً.</w:t>
            </w:r>
          </w:p>
        </w:tc>
      </w:tr>
    </w:tbl>
    <w:p>
      <w:pPr>
        <w:keepNext/>
        <w:pageBreakBefore/>
        <w:bidi/>
        <w:spacing w:after="40" w:before="0" w:line="300" w:lineRule="auto"/>
        <w:jc w:val="start"/>
      </w:pPr>
      <w:r>
        <w:rPr>
          <w:rFonts w:ascii="DIN Next LT Arabic" w:cs="DIN Next LT Arabic" w:eastAsia="DIN Next LT Arabic" w:hAnsi="DIN Next LT Arabic"/>
          <w:b/>
          <w:bCs/>
          <w:color w:val="D25C0C"/>
          <w:sz w:val="16"/>
          <w:szCs w:val="16"/>
          <w:rtl/>
        </w:rPr>
        <w:t xml:space="preserve">04 · الأثر على المبيعات</w:t>
      </w:r>
    </w:p>
    <w:p>
      <w:pPr>
        <w:keepNext/>
        <w:pBdr>
          <w:bottom w:val="single" w:color="F3741F" w:sz="10" w:space="6"/>
        </w:pBdr>
        <w:bidi/>
        <w:spacing w:after="120" w:before="0" w:line="300" w:lineRule="auto"/>
        <w:jc w:val="start"/>
      </w:pPr>
      <w:r>
        <w:rPr>
          <w:rFonts w:ascii="DIN Next LT Arabic" w:cs="DIN Next LT Arabic" w:eastAsia="DIN Next LT Arabic" w:hAnsi="DIN Next LT Arabic"/>
          <w:b/>
          <w:bCs/>
          <w:color w:val="2B2E30"/>
          <w:sz w:val="30"/>
          <w:szCs w:val="30"/>
          <w:rtl/>
        </w:rPr>
        <w:t xml:space="preserve">ما الذي أعادته الحملات على المبيعات فعلياً</w:t>
      </w:r>
    </w:p>
    <w:p>
      <w:pPr>
        <w:bidi/>
        <w:spacing w:after="180" w:before="0" w:line="300" w:lineRule="auto"/>
        <w:jc w:val="start"/>
      </w:pPr>
      <w:r>
        <w:rPr>
          <w:rFonts w:ascii="Tahoma" w:cs="Tahoma" w:eastAsia="Tahoma" w:hAnsi="Tahoma"/>
          <w:b w:val="false"/>
          <w:bCs w:val="false"/>
          <w:color w:val="5E6265"/>
          <w:sz w:val="20"/>
          <w:szCs w:val="20"/>
          <w:rtl/>
        </w:rPr>
        <w:t xml:space="preserve">لأول مرة يُقاس الأثر التجاري للحملات. المصدر بيانات معاملات البيع للمحطات الثلاث، بمقارنة متوسط الإيراد اليومي قبل كل حملة بيومها وبالفترة التالية لها.</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c>
          <w:tcPr>
            <w:tcW w:type="dxa" w:w="2412"/>
            <w:tcBorders>
              <w:top w:val="single" w:color="DEDFE1" w:sz="4"/>
              <w:left w:val="single" w:color="DEDFE1" w:sz="4"/>
              <w:bottom w:val="single" w:color="DEDFE1" w:sz="4"/>
              <w:right w:val="single" w:color="DEDFE1" w:sz="4"/>
            </w:tcBorders>
            <w:shd w:fill="FFFFFF" w:color="auto" w:val="clear"/>
            <w:tcMar>
              <w:top w:type="dxa" w:w="150"/>
              <w:left w:type="dxa" w:w="120"/>
              <w:bottom w:type="dxa" w:w="150"/>
              <w:right w:type="dxa" w:w="120"/>
            </w:tcMar>
          </w:tcPr>
          <w:p>
            <w:pPr>
              <w:bidi/>
              <w:spacing w:after="40" w:before="0" w:line="300" w:lineRule="auto"/>
              <w:jc w:val="center"/>
            </w:pPr>
            <w:r>
              <w:rPr>
                <w:rFonts w:ascii="DIN Next LT Arabic" w:cs="DIN Next LT Arabic" w:eastAsia="DIN Next LT Arabic" w:hAnsi="DIN Next LT Arabic"/>
                <w:b/>
                <w:bCs/>
                <w:color w:val="D25C0C"/>
                <w:sz w:val="34"/>
                <w:szCs w:val="34"/>
                <w:rtl/>
              </w:rPr>
              <w:t xml:space="preserve">220,431</w:t>
            </w:r>
          </w:p>
          <w:p>
            <w:pPr>
              <w:bidi/>
              <w:spacing w:after="40" w:before="0" w:line="300" w:lineRule="auto"/>
              <w:jc w:val="center"/>
            </w:pPr>
            <w:r>
              <w:rPr>
                <w:rFonts w:ascii="DIN Next LT Arabic" w:cs="DIN Next LT Arabic" w:eastAsia="DIN Next LT Arabic" w:hAnsi="DIN Next LT Arabic"/>
                <w:b/>
                <w:bCs/>
                <w:color w:val="2B2E30"/>
                <w:sz w:val="18"/>
                <w:szCs w:val="18"/>
                <w:rtl/>
              </w:rPr>
              <w:t xml:space="preserve">إيراد إضافي مقدَّر (ر.س)</w:t>
            </w:r>
          </w:p>
          <w:p>
            <w:pPr>
              <w:bidi/>
              <w:spacing w:after="0" w:before="0" w:line="300" w:lineRule="auto"/>
              <w:jc w:val="center"/>
            </w:pPr>
            <w:r>
              <w:rPr>
                <w:rFonts w:ascii="Tahoma" w:cs="Tahoma" w:eastAsia="Tahoma" w:hAnsi="Tahoma"/>
                <w:b w:val="false"/>
                <w:bCs w:val="false"/>
                <w:color w:val="8E9295"/>
                <w:sz w:val="15"/>
                <w:szCs w:val="15"/>
                <w:rtl/>
              </w:rPr>
              <w:t xml:space="preserve">من ثلاث حملات مقيسة في يوليو وأغسطس</w:t>
            </w:r>
          </w:p>
        </w:tc>
        <w:tc>
          <w:tcPr>
            <w:tcW w:type="dxa" w:w="2412"/>
            <w:tcBorders>
              <w:top w:val="single" w:color="DEDFE1" w:sz="4"/>
              <w:left w:val="single" w:color="DEDFE1" w:sz="4"/>
              <w:bottom w:val="single" w:color="DEDFE1" w:sz="4"/>
              <w:right w:val="single" w:color="DEDFE1" w:sz="4"/>
            </w:tcBorders>
            <w:shd w:fill="FFFFFF" w:color="auto" w:val="clear"/>
            <w:tcMar>
              <w:top w:type="dxa" w:w="150"/>
              <w:left w:type="dxa" w:w="120"/>
              <w:bottom w:type="dxa" w:w="150"/>
              <w:right w:type="dxa" w:w="120"/>
            </w:tcMar>
          </w:tcPr>
          <w:p>
            <w:pPr>
              <w:bidi/>
              <w:spacing w:after="40" w:before="0" w:line="300" w:lineRule="auto"/>
              <w:jc w:val="center"/>
            </w:pPr>
            <w:r>
              <w:rPr>
                <w:rFonts w:ascii="DIN Next LT Arabic" w:cs="DIN Next LT Arabic" w:eastAsia="DIN Next LT Arabic" w:hAnsi="DIN Next LT Arabic"/>
                <w:b/>
                <w:bCs/>
                <w:color w:val="D25C0C"/>
                <w:sz w:val="34"/>
                <w:szCs w:val="34"/>
                <w:rtl/>
              </w:rPr>
              <w:t xml:space="preserve">6.1×</w:t>
            </w:r>
          </w:p>
          <w:p>
            <w:pPr>
              <w:bidi/>
              <w:spacing w:after="40" w:before="0" w:line="300" w:lineRule="auto"/>
              <w:jc w:val="center"/>
            </w:pPr>
            <w:r>
              <w:rPr>
                <w:rFonts w:ascii="DIN Next LT Arabic" w:cs="DIN Next LT Arabic" w:eastAsia="DIN Next LT Arabic" w:hAnsi="DIN Next LT Arabic"/>
                <w:b/>
                <w:bCs/>
                <w:color w:val="2B2E30"/>
                <w:sz w:val="18"/>
                <w:szCs w:val="18"/>
                <w:rtl/>
              </w:rPr>
              <w:t xml:space="preserve">الإيراد الإضافي ÷ الإنفاق</w:t>
            </w:r>
          </w:p>
          <w:p>
            <w:pPr>
              <w:bidi/>
              <w:spacing w:after="0" w:before="0" w:line="300" w:lineRule="auto"/>
              <w:jc w:val="center"/>
            </w:pPr>
            <w:r>
              <w:rPr>
                <w:rFonts w:ascii="Tahoma" w:cs="Tahoma" w:eastAsia="Tahoma" w:hAnsi="Tahoma"/>
                <w:b w:val="false"/>
                <w:bCs w:val="false"/>
                <w:color w:val="8E9295"/>
                <w:sz w:val="15"/>
                <w:szCs w:val="15"/>
                <w:rtl/>
              </w:rPr>
              <w:t xml:space="preserve">220,431 ر.س مقابل 36,142 ر.س تكلفة</w:t>
            </w:r>
          </w:p>
        </w:tc>
        <w:tc>
          <w:tcPr>
            <w:tcW w:type="dxa" w:w="2412"/>
            <w:tcBorders>
              <w:top w:val="single" w:color="DEDFE1" w:sz="4"/>
              <w:left w:val="single" w:color="DEDFE1" w:sz="4"/>
              <w:bottom w:val="single" w:color="DEDFE1" w:sz="4"/>
              <w:right w:val="single" w:color="DEDFE1" w:sz="4"/>
            </w:tcBorders>
            <w:shd w:fill="FFFFFF" w:color="auto" w:val="clear"/>
            <w:tcMar>
              <w:top w:type="dxa" w:w="150"/>
              <w:left w:type="dxa" w:w="120"/>
              <w:bottom w:type="dxa" w:w="150"/>
              <w:right w:type="dxa" w:w="120"/>
            </w:tcMar>
          </w:tcPr>
          <w:p>
            <w:pPr>
              <w:bidi/>
              <w:spacing w:after="40" w:before="0" w:line="300" w:lineRule="auto"/>
              <w:jc w:val="center"/>
            </w:pPr>
            <w:r>
              <w:rPr>
                <w:rFonts w:ascii="DIN Next LT Arabic" w:cs="DIN Next LT Arabic" w:eastAsia="DIN Next LT Arabic" w:hAnsi="DIN Next LT Arabic"/>
                <w:b/>
                <w:bCs/>
                <w:color w:val="D25C0C"/>
                <w:sz w:val="34"/>
                <w:szCs w:val="34"/>
                <w:rtl/>
              </w:rPr>
              <w:t xml:space="preserve">‎+50%‎</w:t>
            </w:r>
          </w:p>
          <w:p>
            <w:pPr>
              <w:bidi/>
              <w:spacing w:after="40" w:before="0" w:line="300" w:lineRule="auto"/>
              <w:jc w:val="center"/>
            </w:pPr>
            <w:r>
              <w:rPr>
                <w:rFonts w:ascii="DIN Next LT Arabic" w:cs="DIN Next LT Arabic" w:eastAsia="DIN Next LT Arabic" w:hAnsi="DIN Next LT Arabic"/>
                <w:b/>
                <w:bCs/>
                <w:color w:val="2B2E30"/>
                <w:sz w:val="18"/>
                <w:szCs w:val="18"/>
                <w:rtl/>
              </w:rPr>
              <w:t xml:space="preserve">متوسط ارتفاع الإيراد اليومي</w:t>
            </w:r>
          </w:p>
          <w:p>
            <w:pPr>
              <w:bidi/>
              <w:spacing w:after="0" w:before="0" w:line="300" w:lineRule="auto"/>
              <w:jc w:val="center"/>
            </w:pPr>
            <w:r>
              <w:rPr>
                <w:rFonts w:ascii="Tahoma" w:cs="Tahoma" w:eastAsia="Tahoma" w:hAnsi="Tahoma"/>
                <w:b w:val="false"/>
                <w:bCs w:val="false"/>
                <w:color w:val="8E9295"/>
                <w:sz w:val="15"/>
                <w:szCs w:val="15"/>
                <w:rtl/>
              </w:rPr>
              <w:t xml:space="preserve">بعد الحملات: ‎38%‎ · ‎54%‎ · ‎59%‎</w:t>
            </w:r>
          </w:p>
        </w:tc>
        <w:tc>
          <w:tcPr>
            <w:tcW w:type="dxa" w:w="2412"/>
            <w:tcBorders>
              <w:top w:val="single" w:color="DEDFE1" w:sz="4"/>
              <w:left w:val="single" w:color="DEDFE1" w:sz="4"/>
              <w:bottom w:val="single" w:color="DEDFE1" w:sz="4"/>
              <w:right w:val="single" w:color="DEDFE1" w:sz="4"/>
            </w:tcBorders>
            <w:shd w:fill="FFFFFF" w:color="auto" w:val="clear"/>
            <w:tcMar>
              <w:top w:type="dxa" w:w="150"/>
              <w:left w:type="dxa" w:w="120"/>
              <w:bottom w:type="dxa" w:w="150"/>
              <w:right w:type="dxa" w:w="120"/>
            </w:tcMar>
          </w:tcPr>
          <w:p>
            <w:pPr>
              <w:bidi/>
              <w:spacing w:after="40" w:before="0" w:line="300" w:lineRule="auto"/>
              <w:jc w:val="center"/>
            </w:pPr>
            <w:r>
              <w:rPr>
                <w:rFonts w:ascii="DIN Next LT Arabic" w:cs="DIN Next LT Arabic" w:eastAsia="DIN Next LT Arabic" w:hAnsi="DIN Next LT Arabic"/>
                <w:b/>
                <w:bCs/>
                <w:color w:val="D25C0C"/>
                <w:sz w:val="34"/>
                <w:szCs w:val="34"/>
                <w:rtl/>
              </w:rPr>
              <w:t xml:space="preserve">3 من 5</w:t>
            </w:r>
          </w:p>
          <w:p>
            <w:pPr>
              <w:bidi/>
              <w:spacing w:after="40" w:before="0" w:line="300" w:lineRule="auto"/>
              <w:jc w:val="center"/>
            </w:pPr>
            <w:r>
              <w:rPr>
                <w:rFonts w:ascii="DIN Next LT Arabic" w:cs="DIN Next LT Arabic" w:eastAsia="DIN Next LT Arabic" w:hAnsi="DIN Next LT Arabic"/>
                <w:b/>
                <w:bCs/>
                <w:color w:val="2B2E30"/>
                <w:sz w:val="18"/>
                <w:szCs w:val="18"/>
                <w:rtl/>
              </w:rPr>
              <w:t xml:space="preserve">حملات قيس أثرها التجاري</w:t>
            </w:r>
          </w:p>
          <w:p>
            <w:pPr>
              <w:bidi/>
              <w:spacing w:after="0" w:before="0" w:line="300" w:lineRule="auto"/>
              <w:jc w:val="center"/>
            </w:pPr>
            <w:r>
              <w:rPr>
                <w:rFonts w:ascii="Tahoma" w:cs="Tahoma" w:eastAsia="Tahoma" w:hAnsi="Tahoma"/>
                <w:b w:val="false"/>
                <w:bCs w:val="false"/>
                <w:color w:val="8E9295"/>
                <w:sz w:val="15"/>
                <w:szCs w:val="15"/>
                <w:rtl/>
              </w:rPr>
              <w:t xml:space="preserve">درب صبيا توفّرت بياناتها لكن يوم الحملة غير مسجّل</w:t>
            </w:r>
          </w:p>
        </w:tc>
      </w:tr>
    </w:tbl>
    <w:p>
      <w:pPr>
        <w:spacing w:after="200"/>
      </w:pP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1100"/>
        <w:gridCol w:w="1150"/>
        <w:gridCol w:w="1050"/>
        <w:gridCol w:w="1200"/>
        <w:gridCol w:w="1000"/>
        <w:gridCol w:w="898"/>
      </w:tblGrid>
      <w:tr>
        <w:trPr>
          <w:tblHeader/>
        </w:trPr>
        <w:tc>
          <w:tcPr>
            <w:tcW w:type="dxa" w:w="19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الحملة</w:t>
            </w:r>
          </w:p>
        </w:tc>
        <w:tc>
          <w:tcPr>
            <w:tcW w:type="dxa" w:w="13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خط الأساس (ر.س/يوم)</w:t>
            </w:r>
          </w:p>
        </w:tc>
        <w:tc>
          <w:tcPr>
            <w:tcW w:type="dxa" w:w="11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يوم الحملة</w:t>
            </w:r>
          </w:p>
        </w:tc>
        <w:tc>
          <w:tcPr>
            <w:tcW w:type="dxa" w:w="11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بعد الحملة</w:t>
            </w:r>
          </w:p>
        </w:tc>
        <w:tc>
          <w:tcPr>
            <w:tcW w:type="dxa" w:w="10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الأثر الباقي</w:t>
            </w:r>
          </w:p>
        </w:tc>
        <w:tc>
          <w:tcPr>
            <w:tcW w:type="dxa" w:w="12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إيراد إضافي</w:t>
            </w:r>
          </w:p>
        </w:tc>
        <w:tc>
          <w:tcPr>
            <w:tcW w:type="dxa" w:w="10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التكلفة</w:t>
            </w:r>
          </w:p>
        </w:tc>
        <w:tc>
          <w:tcPr>
            <w:tcW w:type="dxa" w:w="89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المضاعف</w:t>
            </w:r>
          </w:p>
        </w:tc>
      </w:tr>
      <w:tr>
        <w:trPr>
          <w:cantSplit/>
        </w:trPr>
        <w:tc>
          <w:tcPr>
            <w:tcW w:type="dxa" w:w="1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نجران المركب NJ219</w:t>
            </w:r>
          </w:p>
        </w:tc>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10,415</w:t>
            </w:r>
          </w:p>
        </w:tc>
        <w:tc>
          <w:tcPr>
            <w:tcW w:type="dxa" w:w="1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26,175</w:t>
            </w:r>
          </w:p>
        </w:tc>
        <w:tc>
          <w:tcPr>
            <w:tcW w:type="dxa" w:w="11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14,348</w:t>
            </w:r>
          </w:p>
        </w:tc>
        <w:tc>
          <w:tcPr>
            <w:tcW w:type="dxa" w:w="10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‎+38%‎</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121,951</w:t>
            </w:r>
          </w:p>
        </w:tc>
        <w:tc>
          <w:tcPr>
            <w:tcW w:type="dxa" w:w="10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25,000</w:t>
            </w:r>
          </w:p>
        </w:tc>
        <w:tc>
          <w:tcPr>
            <w:tcW w:type="dxa" w:w="89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4.9×</w:t>
            </w:r>
          </w:p>
        </w:tc>
      </w:tr>
      <w:tr>
        <w:trPr>
          <w:cantSplit/>
        </w:trPr>
        <w:tc>
          <w:tcPr>
            <w:tcW w:type="dxa" w:w="19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حائل الأمير سعود HA052</w:t>
            </w:r>
          </w:p>
        </w:tc>
        <w:tc>
          <w:tcPr>
            <w:tcW w:type="dxa" w:w="13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13,231</w:t>
            </w:r>
          </w:p>
        </w:tc>
        <w:tc>
          <w:tcPr>
            <w:tcW w:type="dxa" w:w="1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17,048</w:t>
            </w:r>
          </w:p>
        </w:tc>
        <w:tc>
          <w:tcPr>
            <w:tcW w:type="dxa" w:w="11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20,409</w:t>
            </w:r>
          </w:p>
        </w:tc>
        <w:tc>
          <w:tcPr>
            <w:tcW w:type="dxa" w:w="10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‎+54%‎</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68,419</w:t>
            </w:r>
          </w:p>
        </w:tc>
        <w:tc>
          <w:tcPr>
            <w:tcW w:type="dxa" w:w="10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7,002</w:t>
            </w:r>
          </w:p>
        </w:tc>
        <w:tc>
          <w:tcPr>
            <w:tcW w:type="dxa" w:w="89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9.8×</w:t>
            </w:r>
          </w:p>
        </w:tc>
      </w:tr>
      <w:tr>
        <w:trPr>
          <w:cantSplit/>
        </w:trPr>
        <w:tc>
          <w:tcPr>
            <w:tcW w:type="dxa" w:w="1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افتتاح الروضة MK040</w:t>
            </w:r>
          </w:p>
        </w:tc>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8,625</w:t>
            </w:r>
          </w:p>
        </w:tc>
        <w:tc>
          <w:tcPr>
            <w:tcW w:type="dxa" w:w="1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13,211</w:t>
            </w:r>
          </w:p>
        </w:tc>
        <w:tc>
          <w:tcPr>
            <w:tcW w:type="dxa" w:w="11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13,720</w:t>
            </w:r>
          </w:p>
        </w:tc>
        <w:tc>
          <w:tcPr>
            <w:tcW w:type="dxa" w:w="10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‎+59%‎</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30,061</w:t>
            </w:r>
          </w:p>
        </w:tc>
        <w:tc>
          <w:tcPr>
            <w:tcW w:type="dxa" w:w="10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4,140</w:t>
            </w:r>
          </w:p>
        </w:tc>
        <w:tc>
          <w:tcPr>
            <w:tcW w:type="dxa" w:w="89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7.3×</w:t>
            </w:r>
          </w:p>
        </w:tc>
      </w:tr>
      <w:tr>
        <w:trPr>
          <w:cantSplit/>
        </w:trPr>
        <w:tc>
          <w:tcPr>
            <w:tcW w:type="dxa" w:w="19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الإجمالي</w:t>
            </w:r>
          </w:p>
        </w:tc>
        <w:tc>
          <w:tcPr>
            <w:tcW w:type="dxa" w:w="13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w:t>
            </w:r>
          </w:p>
        </w:tc>
        <w:tc>
          <w:tcPr>
            <w:tcW w:type="dxa" w:w="1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w:t>
            </w:r>
          </w:p>
        </w:tc>
        <w:tc>
          <w:tcPr>
            <w:tcW w:type="dxa" w:w="11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w:t>
            </w:r>
          </w:p>
        </w:tc>
        <w:tc>
          <w:tcPr>
            <w:tcW w:type="dxa" w:w="10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220,431</w:t>
            </w:r>
          </w:p>
        </w:tc>
        <w:tc>
          <w:tcPr>
            <w:tcW w:type="dxa" w:w="10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36,142</w:t>
            </w:r>
          </w:p>
        </w:tc>
        <w:tc>
          <w:tcPr>
            <w:tcW w:type="dxa" w:w="89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6.1×</w:t>
            </w:r>
          </w:p>
        </w:tc>
      </w:tr>
    </w:tbl>
    <w:p>
      <w:pPr>
        <w:spacing w:after="200"/>
      </w:pP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single" w:color="1B7A4B" w:sz="18"/>
            </w:tcBorders>
            <w:shd w:fill="E7F3EC" w:color="auto" w:val="clear"/>
            <w:tcMar>
              <w:top w:type="dxa" w:w="170"/>
              <w:left w:type="dxa" w:w="180"/>
              <w:bottom w:type="dxa" w:w="170"/>
              <w:right w:type="dxa" w:w="180"/>
            </w:tcMar>
          </w:tcPr>
          <w:p>
            <w:pPr>
              <w:bidi/>
              <w:spacing w:after="90" w:before="0" w:line="300" w:lineRule="auto"/>
              <w:jc w:val="start"/>
            </w:pPr>
            <w:r>
              <w:rPr>
                <w:rFonts w:ascii="DIN Next LT Arabic" w:cs="DIN Next LT Arabic" w:eastAsia="DIN Next LT Arabic" w:hAnsi="DIN Next LT Arabic"/>
                <w:b/>
                <w:bCs/>
                <w:color w:val="1B7A4B"/>
                <w:sz w:val="21"/>
                <w:szCs w:val="21"/>
                <w:rtl/>
              </w:rPr>
              <w:t xml:space="preserve">قراءة النتائج</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الأثر لم يكن ليوم واحد: استمر ارتفاع الإيراد اليومي ‎+38%‎ لـ27 يوماً في نجران، و‎+54%‎ لتسعة أيام في حائل، و‎+59%‎ لخمسة أيام في الروضة.</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أعلى مردود: حائل الأمير سعود 9.8× (68,419 ر.س مقابل 7,002 ر.س)، تليها الروضة 7.3× ثم نجران 4.9×.</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متوسط الفاتورة لم يتأثر سلباً (نجران: 45.8 يوم الحملة مقابل 45.2 قبلها و47.3 بعدها)، و332 عملية بقيمة 50 ر.س بالضبط تؤكد انضباط تنفيذ العرض.</w:t>
            </w:r>
          </w:p>
        </w:tc>
      </w:tr>
    </w:tbl>
    <w:p>
      <w:pPr>
        <w:spacing w:after="140"/>
      </w:pP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single" w:color="C6486B" w:sz="18"/>
            </w:tcBorders>
            <w:shd w:fill="FBE9EE" w:color="auto" w:val="clear"/>
            <w:tcMar>
              <w:top w:type="dxa" w:w="170"/>
              <w:left w:type="dxa" w:w="180"/>
              <w:bottom w:type="dxa" w:w="170"/>
              <w:right w:type="dxa" w:w="180"/>
            </w:tcMar>
          </w:tcPr>
          <w:p>
            <w:pPr>
              <w:bidi/>
              <w:spacing w:after="90" w:before="0" w:line="300" w:lineRule="auto"/>
              <w:jc w:val="start"/>
            </w:pPr>
            <w:r>
              <w:rPr>
                <w:rFonts w:ascii="DIN Next LT Arabic" w:cs="DIN Next LT Arabic" w:eastAsia="DIN Next LT Arabic" w:hAnsi="DIN Next LT Arabic"/>
                <w:b/>
                <w:bCs/>
                <w:color w:val="C6486B"/>
                <w:sz w:val="21"/>
                <w:szCs w:val="21"/>
                <w:rtl/>
              </w:rPr>
              <w:t xml:space="preserve">حدود القراءة</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الرقم إيراد إضافي وليس ربحاً — لم تُخصم كلفة الوقود المُباع ولا قيمة القسائم.</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حائل والروضة محطتان جديدتان، فيتضمن نموهما أثر التوسّع الطبيعي إلى جانب الحملة؛ الإسناد أنظف في نجران لأنها قائمة. وخطوط الأساس قصيرة (3 و7 و11 يوماً).</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بيانات مبيعات درب صبيا JA070 متوفرة الآن، لكن يوم الحملة نفسه غير مسجّل والأسبوع التالي لها لم يرتفع عن خط الأساس، فلم يُحتسب لها إيراد إضافي. ولا تتوفر بيانات لفعالية اليوم الوطني.</w:t>
            </w:r>
          </w:p>
        </w:tc>
      </w:tr>
    </w:tbl>
    <w:p>
      <w:pPr>
        <w:spacing w:after="200"/>
      </w:pP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الأثر الممتد حتى سبتمبر — أول شهر كامل بعد حملات الربع</w:t>
      </w:r>
    </w:p>
    <w:p>
      <w:pPr>
        <w:bidi/>
        <w:spacing w:after="150" w:before="0" w:line="300" w:lineRule="auto"/>
        <w:jc w:val="start"/>
      </w:pPr>
      <w:r>
        <w:rPr>
          <w:rFonts w:ascii="Tahoma" w:cs="Tahoma" w:eastAsia="Tahoma" w:hAnsi="Tahoma"/>
          <w:b w:val="false"/>
          <w:bCs w:val="false"/>
          <w:color w:val="5E6265"/>
          <w:sz w:val="17"/>
          <w:szCs w:val="17"/>
          <w:rtl/>
        </w:rPr>
        <w:t xml:space="preserve">بيانات سبتمبر — أول 27 يوماً — للمحطات الثلاث نفسها، بمقارنة متوسط الإيراد اليومي بأغسطس. وهي تقيس ما تبقّى من أثر الحملات بعد شهر كامل من انتهائها، لا أثر الحملات نفسها.</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68"/>
        <w:gridCol w:w="1300"/>
        <w:gridCol w:w="1150"/>
        <w:gridCol w:w="1150"/>
        <w:gridCol w:w="1000"/>
        <w:gridCol w:w="1050"/>
        <w:gridCol w:w="800"/>
        <w:gridCol w:w="850"/>
        <w:gridCol w:w="1080"/>
      </w:tblGrid>
      <w:tr>
        <w:trPr>
          <w:tblHeader/>
        </w:trPr>
        <w:tc>
          <w:tcPr>
            <w:tcW w:type="dxa" w:w="126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المحطة</w:t>
            </w:r>
          </w:p>
        </w:tc>
        <w:tc>
          <w:tcPr>
            <w:tcW w:type="dxa" w:w="13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إيراد سبتمبر (ر.س)</w:t>
            </w:r>
          </w:p>
        </w:tc>
        <w:tc>
          <w:tcPr>
            <w:tcW w:type="dxa" w:w="11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متوسط يومي أغسطس</w:t>
            </w:r>
          </w:p>
        </w:tc>
        <w:tc>
          <w:tcPr>
            <w:tcW w:type="dxa" w:w="11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متوسط يومي سبتمبر</w:t>
            </w:r>
          </w:p>
        </w:tc>
        <w:tc>
          <w:tcPr>
            <w:tcW w:type="dxa" w:w="10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التغير اليومي</w:t>
            </w:r>
          </w:p>
        </w:tc>
        <w:tc>
          <w:tcPr>
            <w:tcW w:type="dxa" w:w="10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على الأيام نفسها</w:t>
            </w:r>
          </w:p>
        </w:tc>
        <w:tc>
          <w:tcPr>
            <w:tcW w:type="dxa" w:w="8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لتر/يوم</w:t>
            </w:r>
          </w:p>
        </w:tc>
        <w:tc>
          <w:tcPr>
            <w:tcW w:type="dxa" w:w="8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فاتورة/يوم</w:t>
            </w:r>
          </w:p>
        </w:tc>
        <w:tc>
          <w:tcPr>
            <w:tcW w:type="dxa" w:w="108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توقّع الشهر</w:t>
            </w:r>
          </w:p>
        </w:tc>
      </w:tr>
      <w:tr>
        <w:trPr>
          <w:cantSplit/>
        </w:trPr>
        <w:tc>
          <w:tcPr>
            <w:tcW w:type="dxa" w:w="126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حائل HA052</w:t>
            </w:r>
          </w:p>
        </w:tc>
        <w:tc>
          <w:tcPr>
            <w:tcW w:type="dxa" w:w="13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544,913</w:t>
            </w:r>
          </w:p>
        </w:tc>
        <w:tc>
          <w:tcPr>
            <w:tcW w:type="dxa" w:w="11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15,570</w:t>
            </w:r>
          </w:p>
        </w:tc>
        <w:tc>
          <w:tcPr>
            <w:tcW w:type="dxa" w:w="11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20,182</w:t>
            </w:r>
          </w:p>
        </w:tc>
        <w:tc>
          <w:tcPr>
            <w:tcW w:type="dxa" w:w="10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‎+29.6%‎</w:t>
            </w:r>
          </w:p>
        </w:tc>
        <w:tc>
          <w:tcPr>
            <w:tcW w:type="dxa" w:w="10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‎+35.4%‎</w:t>
            </w:r>
          </w:p>
        </w:tc>
        <w:tc>
          <w:tcPr>
            <w:tcW w:type="dxa" w:w="8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9,085</w:t>
            </w:r>
          </w:p>
        </w:tc>
        <w:tc>
          <w:tcPr>
            <w:tcW w:type="dxa" w:w="8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382</w:t>
            </w:r>
          </w:p>
        </w:tc>
        <w:tc>
          <w:tcPr>
            <w:tcW w:type="dxa" w:w="108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605,459</w:t>
            </w:r>
          </w:p>
        </w:tc>
      </w:tr>
      <w:tr>
        <w:trPr>
          <w:cantSplit/>
        </w:trPr>
        <w:tc>
          <w:tcPr>
            <w:tcW w:type="dxa" w:w="126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الروضة MK040</w:t>
            </w:r>
          </w:p>
        </w:tc>
        <w:tc>
          <w:tcPr>
            <w:tcW w:type="dxa" w:w="13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492,324</w:t>
            </w:r>
          </w:p>
        </w:tc>
        <w:tc>
          <w:tcPr>
            <w:tcW w:type="dxa" w:w="11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11,004</w:t>
            </w:r>
          </w:p>
        </w:tc>
        <w:tc>
          <w:tcPr>
            <w:tcW w:type="dxa" w:w="11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18,234</w:t>
            </w:r>
          </w:p>
        </w:tc>
        <w:tc>
          <w:tcPr>
            <w:tcW w:type="dxa" w:w="10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‎+65.7%‎</w:t>
            </w:r>
          </w:p>
        </w:tc>
        <w:tc>
          <w:tcPr>
            <w:tcW w:type="dxa" w:w="10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‎+86.2%‎</w:t>
            </w:r>
          </w:p>
        </w:tc>
        <w:tc>
          <w:tcPr>
            <w:tcW w:type="dxa" w:w="8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8,209</w:t>
            </w:r>
          </w:p>
        </w:tc>
        <w:tc>
          <w:tcPr>
            <w:tcW w:type="dxa" w:w="8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273</w:t>
            </w:r>
          </w:p>
        </w:tc>
        <w:tc>
          <w:tcPr>
            <w:tcW w:type="dxa" w:w="108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547,027</w:t>
            </w:r>
          </w:p>
        </w:tc>
      </w:tr>
      <w:tr>
        <w:trPr>
          <w:cantSplit/>
        </w:trPr>
        <w:tc>
          <w:tcPr>
            <w:tcW w:type="dxa" w:w="126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نجران NJ219</w:t>
            </w:r>
          </w:p>
        </w:tc>
        <w:tc>
          <w:tcPr>
            <w:tcW w:type="dxa" w:w="13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375,380</w:t>
            </w:r>
          </w:p>
        </w:tc>
        <w:tc>
          <w:tcPr>
            <w:tcW w:type="dxa" w:w="11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14,540</w:t>
            </w:r>
          </w:p>
        </w:tc>
        <w:tc>
          <w:tcPr>
            <w:tcW w:type="dxa" w:w="11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13,903</w:t>
            </w:r>
          </w:p>
        </w:tc>
        <w:tc>
          <w:tcPr>
            <w:tcW w:type="dxa" w:w="10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C6486B"/>
                <w:sz w:val="18"/>
                <w:szCs w:val="18"/>
                <w:rtl/>
              </w:rPr>
              <w:t xml:space="preserve">‎-4.4%‎</w:t>
            </w:r>
          </w:p>
        </w:tc>
        <w:tc>
          <w:tcPr>
            <w:tcW w:type="dxa" w:w="10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C6486B"/>
                <w:sz w:val="18"/>
                <w:szCs w:val="18"/>
                <w:rtl/>
              </w:rPr>
              <w:t xml:space="preserve">‎-4.6%‎</w:t>
            </w:r>
          </w:p>
        </w:tc>
        <w:tc>
          <w:tcPr>
            <w:tcW w:type="dxa" w:w="8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6,477</w:t>
            </w:r>
          </w:p>
        </w:tc>
        <w:tc>
          <w:tcPr>
            <w:tcW w:type="dxa" w:w="8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299</w:t>
            </w:r>
          </w:p>
        </w:tc>
        <w:tc>
          <w:tcPr>
            <w:tcW w:type="dxa" w:w="108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417,089</w:t>
            </w:r>
          </w:p>
        </w:tc>
      </w:tr>
      <w:tr>
        <w:trPr>
          <w:cantSplit/>
        </w:trPr>
        <w:tc>
          <w:tcPr>
            <w:tcW w:type="dxa" w:w="126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الإجمالي</w:t>
            </w:r>
          </w:p>
        </w:tc>
        <w:tc>
          <w:tcPr>
            <w:tcW w:type="dxa" w:w="13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1,412,617</w:t>
            </w:r>
          </w:p>
        </w:tc>
        <w:tc>
          <w:tcPr>
            <w:tcW w:type="dxa" w:w="11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w:t>
            </w:r>
          </w:p>
        </w:tc>
        <w:tc>
          <w:tcPr>
            <w:tcW w:type="dxa" w:w="11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w:t>
            </w:r>
          </w:p>
        </w:tc>
        <w:tc>
          <w:tcPr>
            <w:tcW w:type="dxa" w:w="10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w:t>
            </w:r>
          </w:p>
        </w:tc>
        <w:tc>
          <w:tcPr>
            <w:tcW w:type="dxa" w:w="10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w:t>
            </w:r>
          </w:p>
        </w:tc>
        <w:tc>
          <w:tcPr>
            <w:tcW w:type="dxa" w:w="8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w:t>
            </w:r>
          </w:p>
        </w:tc>
        <w:tc>
          <w:tcPr>
            <w:tcW w:type="dxa" w:w="8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w:t>
            </w:r>
          </w:p>
        </w:tc>
        <w:tc>
          <w:tcPr>
            <w:tcW w:type="dxa" w:w="108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1,569,574</w:t>
            </w:r>
          </w:p>
        </w:tc>
      </w:tr>
    </w:tbl>
    <w:p>
      <w:pPr>
        <w:spacing w:after="200"/>
      </w:pP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single" w:color="1B7A4B" w:sz="18"/>
            </w:tcBorders>
            <w:shd w:fill="E7F3EC" w:color="auto" w:val="clear"/>
            <w:tcMar>
              <w:top w:type="dxa" w:w="170"/>
              <w:left w:type="dxa" w:w="180"/>
              <w:bottom w:type="dxa" w:w="170"/>
              <w:right w:type="dxa" w:w="180"/>
            </w:tcMar>
          </w:tcPr>
          <w:p>
            <w:pPr>
              <w:bidi/>
              <w:spacing w:after="90" w:before="0" w:line="300" w:lineRule="auto"/>
              <w:jc w:val="start"/>
            </w:pPr>
            <w:r>
              <w:rPr>
                <w:rFonts w:ascii="DIN Next LT Arabic" w:cs="DIN Next LT Arabic" w:eastAsia="DIN Next LT Arabic" w:hAnsi="DIN Next LT Arabic"/>
                <w:b/>
                <w:bCs/>
                <w:color w:val="1B7A4B"/>
                <w:sz w:val="21"/>
                <w:szCs w:val="21"/>
                <w:rtl/>
              </w:rPr>
              <w:t xml:space="preserve">قراءة الأثر الممتد</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1,412,617 ر.س إيراد من المحطات الثلاث في 27 يوماً (641,821 لتراً · 101,158 ر.س مجمل ربح وقود)، وتوقّع الشهر كاملاً 1,569,574 ر.س.</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نجران NJ219 هي المحطة الوحيدة المتراجعة بـ‎-4.4%‎ عن أغسطس — لكنها ما تزال أعلى بـ‎60%‎ من مستوى ما قبل حملة يوليو (13,903 مقابل 8,670 ر.س/يوم)، أي أن أثر الحملة باقٍ بعد ثلاثة أشهر وإن بدأ يتآكل.</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متوسط الفاتورة في نجران ينخفض ثلاثة أشهر متتالية (48.3 ثم 47.5 ثم 46.4 ر.س)، و‎42%‎ من فواتيرها أقل من 30 ر.س — وهو ما يفسّر التراجع أكثر من عدد الزيارات (‎-2.1%‎ فواتير فقط).</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حائل HA052 الأقوى في المجموعة عند 20,182 ر.س/يوم (‎+29.6%‎)، ونموها كله من عدد الفواتير (‎+33.6%‎)؛ و‎40%‎ من إيرادها بين 6 مساءً ومنتصف الليل.</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الروضة MK040 بدأت تستقر حول 17 إلى 19 ألف ر.س/يوم بعد صعود متواصل، وهي صاحبة أعلى متوسط فاتورة في المجموعة (66.9 ر.س) — لكن الجمعة والسبت أضعف أيامها بفارق يقارب الثلث.</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حائل والروضة انضمتا للشبكة في أغسطس، فجزء من نموهما في سبتمبر تعافٍ من ضعف أسابيع الافتتاح لا نمو عضوي ولا أثر حملة.</w:t>
            </w:r>
          </w:p>
        </w:tc>
      </w:tr>
    </w:tbl>
    <w:p>
      <w:pPr>
        <w:keepNext/>
        <w:pageBreakBefore/>
        <w:bidi/>
        <w:spacing w:after="40" w:before="0" w:line="300" w:lineRule="auto"/>
        <w:jc w:val="start"/>
      </w:pPr>
      <w:r>
        <w:rPr>
          <w:rFonts w:ascii="DIN Next LT Arabic" w:cs="DIN Next LT Arabic" w:eastAsia="DIN Next LT Arabic" w:hAnsi="DIN Next LT Arabic"/>
          <w:b/>
          <w:bCs/>
          <w:color w:val="D25C0C"/>
          <w:sz w:val="16"/>
          <w:szCs w:val="16"/>
          <w:rtl/>
        </w:rPr>
        <w:t xml:space="preserve">05 · أقسام الحملات</w:t>
      </w:r>
    </w:p>
    <w:p>
      <w:pPr>
        <w:keepNext/>
        <w:pBdr>
          <w:bottom w:val="single" w:color="F3741F" w:sz="10" w:space="6"/>
        </w:pBdr>
        <w:bidi/>
        <w:spacing w:after="120" w:before="0" w:line="300" w:lineRule="auto"/>
        <w:jc w:val="start"/>
      </w:pPr>
      <w:r>
        <w:rPr>
          <w:rFonts w:ascii="DIN Next LT Arabic" w:cs="DIN Next LT Arabic" w:eastAsia="DIN Next LT Arabic" w:hAnsi="DIN Next LT Arabic"/>
          <w:b/>
          <w:bCs/>
          <w:color w:val="2B2E30"/>
          <w:sz w:val="30"/>
          <w:szCs w:val="30"/>
          <w:rtl/>
        </w:rPr>
        <w:t xml:space="preserve">قسم مستقل لكل حملة</w:t>
      </w:r>
    </w:p>
    <w:p>
      <w:pPr>
        <w:bidi/>
        <w:spacing w:after="120" w:before="0" w:line="300" w:lineRule="auto"/>
        <w:jc w:val="start"/>
      </w:pPr>
      <w:r>
        <w:rPr>
          <w:rFonts w:ascii="Tahoma" w:cs="Tahoma" w:eastAsia="Tahoma" w:hAnsi="Tahoma"/>
          <w:b w:val="false"/>
          <w:bCs w:val="false"/>
          <w:color w:val="5E6265"/>
          <w:sz w:val="20"/>
          <w:szCs w:val="20"/>
          <w:rtl/>
        </w:rPr>
        <w:t xml:space="preserve">لكل حملة قسم يوضّح بياناتها التعريفية، ومستهدفاتها وما تحقق منها، وميزانيتها، ثم أبرز النتائج والتحديات والفرص والتوصيات الخاصة بها.</w:t>
      </w:r>
    </w:p>
    <w:p>
      <w:pPr>
        <w:keepNext/>
        <w:pBdr>
          <w:bottom w:val="single" w:color="F3741F" w:sz="10" w:space="6"/>
        </w:pBdr>
        <w:bidi/>
        <w:spacing w:after="110" w:before="180" w:line="300" w:lineRule="auto"/>
        <w:jc w:val="start"/>
      </w:pPr>
      <w:r>
        <w:rPr>
          <w:rFonts w:ascii="DIN Next LT Arabic" w:cs="DIN Next LT Arabic" w:eastAsia="DIN Next LT Arabic" w:hAnsi="DIN Next LT Arabic"/>
          <w:b/>
          <w:bCs/>
          <w:color w:val="2B2E30"/>
          <w:sz w:val="26"/>
          <w:szCs w:val="26"/>
          <w:rtl/>
        </w:rPr>
        <w:t xml:space="preserve">01 · البنزين المجاني لأول 300 سيارة — نجران  </w:t>
      </w:r>
      <w:r>
        <w:rPr>
          <w:rFonts w:ascii="DIN Next LT Arabic" w:cs="DIN Next LT Arabic" w:eastAsia="DIN Next LT Arabic" w:hAnsi="DIN Next LT Arabic"/>
          <w:b/>
          <w:bCs/>
          <w:color w:val="D25C0C"/>
          <w:sz w:val="20"/>
          <w:szCs w:val="20"/>
          <w:rtl/>
        </w:rPr>
        <w:t xml:space="preserve">[NJ219]</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2300"/>
        <w:gridCol w:w="1900"/>
        <w:gridCol w:w="1998"/>
      </w:tblGrid>
      <w:tr>
        <w:trPr>
          <w:tblHeader/>
        </w:trPr>
        <w:tc>
          <w:tcPr>
            <w:tcW w:type="dxa" w:w="13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الشهر</w:t>
            </w:r>
          </w:p>
        </w:tc>
        <w:tc>
          <w:tcPr>
            <w:tcW w:type="dxa" w:w="21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فترة التنفيذ</w:t>
            </w:r>
          </w:p>
        </w:tc>
        <w:tc>
          <w:tcPr>
            <w:tcW w:type="dxa" w:w="23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المحطة المشمولة</w:t>
            </w:r>
          </w:p>
        </w:tc>
        <w:tc>
          <w:tcPr>
            <w:tcW w:type="dxa" w:w="19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الهدف التسويقي</w:t>
            </w:r>
          </w:p>
        </w:tc>
        <w:tc>
          <w:tcPr>
            <w:tcW w:type="dxa" w:w="199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الميزانية</w:t>
            </w:r>
          </w:p>
        </w:tc>
      </w:tr>
      <w:tr>
        <w:trPr>
          <w:cantSplit/>
        </w:trPr>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يوليو 2026</w:t>
            </w:r>
          </w:p>
        </w:tc>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4 يوليو 2026 (يوم واحد)</w:t>
            </w:r>
          </w:p>
        </w:tc>
        <w:tc>
          <w:tcPr>
            <w:tcW w:type="dxa" w:w="23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محطة نجران NJ219</w:t>
            </w:r>
          </w:p>
        </w:tc>
        <w:tc>
          <w:tcPr>
            <w:tcW w:type="dxa" w:w="1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وعي بالعلامة التجارية</w:t>
            </w:r>
          </w:p>
        </w:tc>
        <w:tc>
          <w:tcPr>
            <w:tcW w:type="dxa" w:w="199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مخطط 21,000 ر.س · فعلي 25,000 ر.س</w:t>
            </w:r>
          </w:p>
        </w:tc>
      </w:tr>
    </w:tbl>
    <w:p>
      <w:pPr>
        <w:spacing w:after="120"/>
      </w:pPr>
    </w:p>
    <w:p>
      <w:pPr>
        <w:bidi/>
        <w:spacing w:after="170" w:before="0" w:line="300" w:lineRule="auto"/>
        <w:jc w:val="start"/>
      </w:pPr>
      <w:r>
        <w:rPr>
          <w:rFonts w:ascii="Tahoma" w:cs="Tahoma" w:eastAsia="Tahoma" w:hAnsi="Tahoma"/>
          <w:b w:val="false"/>
          <w:bCs w:val="false"/>
          <w:color w:val="8E9295"/>
          <w:sz w:val="16"/>
          <w:szCs w:val="16"/>
          <w:rtl/>
        </w:rPr>
        <w:t xml:space="preserve">القنوات: ميداني · إنستقرام · تيك توك · X · مؤثرين   |   الجهة المنفذة: مودة أمبون   |   التصنيف: الحملات التسويقية</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الأثر على المبيعات — من بيانات المعاملات</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1200"/>
        <w:gridCol w:w="1200"/>
        <w:gridCol w:w="1500"/>
        <w:gridCol w:w="1000"/>
        <w:gridCol w:w="1448"/>
      </w:tblGrid>
      <w:tr>
        <w:trPr>
          <w:tblHeader/>
        </w:trPr>
        <w:tc>
          <w:tcPr>
            <w:tcW w:type="dxa" w:w="25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الفترة</w:t>
            </w:r>
          </w:p>
        </w:tc>
        <w:tc>
          <w:tcPr>
            <w:tcW w:type="dxa" w:w="8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الأيام</w:t>
            </w:r>
          </w:p>
        </w:tc>
        <w:tc>
          <w:tcPr>
            <w:tcW w:type="dxa" w:w="12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عمليات/يوم</w:t>
            </w:r>
          </w:p>
        </w:tc>
        <w:tc>
          <w:tcPr>
            <w:tcW w:type="dxa" w:w="12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لترات/يوم</w:t>
            </w:r>
          </w:p>
        </w:tc>
        <w:tc>
          <w:tcPr>
            <w:tcW w:type="dxa" w:w="15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إيراد/يوم (ر.س)</w:t>
            </w:r>
          </w:p>
        </w:tc>
        <w:tc>
          <w:tcPr>
            <w:tcW w:type="dxa" w:w="10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الفاتورة</w:t>
            </w:r>
          </w:p>
        </w:tc>
        <w:tc>
          <w:tcPr>
            <w:tcW w:type="dxa" w:w="144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تغير الإيراد</w:t>
            </w:r>
          </w:p>
        </w:tc>
      </w:tr>
      <w:tr>
        <w:trPr>
          <w:cantSplit/>
        </w:trPr>
        <w:tc>
          <w:tcPr>
            <w:tcW w:type="dxa" w:w="2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قبل الحملة (1–3 يوليو)</w:t>
            </w:r>
          </w:p>
        </w:tc>
        <w:tc>
          <w:tcPr>
            <w:tcW w:type="dxa" w:w="8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3</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230</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4,802</w:t>
            </w:r>
          </w:p>
        </w:tc>
        <w:tc>
          <w:tcPr>
            <w:tcW w:type="dxa" w:w="1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10,415</w:t>
            </w:r>
          </w:p>
        </w:tc>
        <w:tc>
          <w:tcPr>
            <w:tcW w:type="dxa" w:w="10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45.2</w:t>
            </w:r>
          </w:p>
        </w:tc>
        <w:tc>
          <w:tcPr>
            <w:tcW w:type="dxa" w:w="14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الأساس</w:t>
            </w:r>
          </w:p>
        </w:tc>
      </w:tr>
      <w:tr>
        <w:trPr>
          <w:cantSplit/>
        </w:trPr>
        <w:tc>
          <w:tcPr>
            <w:tcW w:type="dxa" w:w="2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يوم الحملة (السبت 4 يوليو)</w:t>
            </w:r>
          </w:p>
        </w:tc>
        <w:tc>
          <w:tcPr>
            <w:tcW w:type="dxa" w:w="8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571</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11,923</w:t>
            </w:r>
          </w:p>
        </w:tc>
        <w:tc>
          <w:tcPr>
            <w:tcW w:type="dxa" w:w="1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26,175</w:t>
            </w:r>
          </w:p>
        </w:tc>
        <w:tc>
          <w:tcPr>
            <w:tcW w:type="dxa" w:w="10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45.8</w:t>
            </w:r>
          </w:p>
        </w:tc>
        <w:tc>
          <w:tcPr>
            <w:tcW w:type="dxa" w:w="14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‎+151%‎</w:t>
            </w:r>
          </w:p>
        </w:tc>
      </w:tr>
      <w:tr>
        <w:trPr>
          <w:cantSplit/>
        </w:trPr>
        <w:tc>
          <w:tcPr>
            <w:tcW w:type="dxa" w:w="2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الأسبوع التالي (5–11 يوليو)</w:t>
            </w:r>
          </w:p>
        </w:tc>
        <w:tc>
          <w:tcPr>
            <w:tcW w:type="dxa" w:w="8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7</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323</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7,134</w:t>
            </w:r>
          </w:p>
        </w:tc>
        <w:tc>
          <w:tcPr>
            <w:tcW w:type="dxa" w:w="1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15,419</w:t>
            </w:r>
          </w:p>
        </w:tc>
        <w:tc>
          <w:tcPr>
            <w:tcW w:type="dxa" w:w="10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47.7</w:t>
            </w:r>
          </w:p>
        </w:tc>
        <w:tc>
          <w:tcPr>
            <w:tcW w:type="dxa" w:w="14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‎+48%‎</w:t>
            </w:r>
          </w:p>
        </w:tc>
      </w:tr>
      <w:tr>
        <w:trPr>
          <w:cantSplit/>
        </w:trPr>
        <w:tc>
          <w:tcPr>
            <w:tcW w:type="dxa" w:w="2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بقية الشهر (12–31 يوليو)</w:t>
            </w:r>
          </w:p>
        </w:tc>
        <w:tc>
          <w:tcPr>
            <w:tcW w:type="dxa" w:w="8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20</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296</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6,478</w:t>
            </w:r>
          </w:p>
        </w:tc>
        <w:tc>
          <w:tcPr>
            <w:tcW w:type="dxa" w:w="1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13,973</w:t>
            </w:r>
          </w:p>
        </w:tc>
        <w:tc>
          <w:tcPr>
            <w:tcW w:type="dxa" w:w="10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47.2</w:t>
            </w:r>
          </w:p>
        </w:tc>
        <w:tc>
          <w:tcPr>
            <w:tcW w:type="dxa" w:w="14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‎+34%‎</w:t>
            </w:r>
          </w:p>
        </w:tc>
      </w:tr>
      <w:tr>
        <w:trPr>
          <w:cantSplit/>
        </w:trPr>
        <w:tc>
          <w:tcPr>
            <w:tcW w:type="dxa" w:w="2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كامل ما بعد الحملة (5–31 يوليو)</w:t>
            </w:r>
          </w:p>
        </w:tc>
        <w:tc>
          <w:tcPr>
            <w:tcW w:type="dxa" w:w="8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27</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303</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6,648</w:t>
            </w:r>
          </w:p>
        </w:tc>
        <w:tc>
          <w:tcPr>
            <w:tcW w:type="dxa" w:w="1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14,348</w:t>
            </w:r>
          </w:p>
        </w:tc>
        <w:tc>
          <w:tcPr>
            <w:tcW w:type="dxa" w:w="10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47.3</w:t>
            </w:r>
          </w:p>
        </w:tc>
        <w:tc>
          <w:tcPr>
            <w:tcW w:type="dxa" w:w="14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‎+38%‎</w:t>
            </w:r>
          </w:p>
        </w:tc>
      </w:tr>
    </w:tbl>
    <w:p>
      <w:pPr>
        <w:bidi/>
        <w:spacing w:after="150" w:before="90" w:line="300" w:lineRule="auto"/>
        <w:jc w:val="start"/>
      </w:pPr>
      <w:r>
        <w:rPr>
          <w:rFonts w:ascii="Tahoma" w:cs="Tahoma" w:eastAsia="Tahoma" w:hAnsi="Tahoma"/>
          <w:b w:val="false"/>
          <w:bCs w:val="false"/>
          <w:color w:val="8E9295"/>
          <w:sz w:val="16"/>
          <w:szCs w:val="16"/>
          <w:rtl/>
        </w:rPr>
        <w:t xml:space="preserve">إيراد إضافي مقدَّر 121,951 ر.س مقابل تكلفة 25,000 ر.س — أي 4.9 أضعاف. القسائم المقدّرة ~309 (332 عملية بقيمة 50 ر.س و19 مجانية) مقابل سقف 300 سيارة.</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المستهدفات وما تحقق منها</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1450"/>
        <w:gridCol w:w="1450"/>
        <w:gridCol w:w="1600"/>
        <w:gridCol w:w="1748"/>
      </w:tblGrid>
      <w:tr>
        <w:trPr>
          <w:tblHeader/>
        </w:trPr>
        <w:tc>
          <w:tcPr>
            <w:tcW w:type="dxa" w:w="34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المؤشر</w:t>
            </w:r>
          </w:p>
        </w:tc>
        <w:tc>
          <w:tcPr>
            <w:tcW w:type="dxa" w:w="14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المستهدف</w:t>
            </w:r>
          </w:p>
        </w:tc>
        <w:tc>
          <w:tcPr>
            <w:tcW w:type="dxa" w:w="14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المتحقق</w:t>
            </w:r>
          </w:p>
        </w:tc>
        <w:tc>
          <w:tcPr>
            <w:tcW w:type="dxa" w:w="16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نسبة الإنجاز</w:t>
            </w:r>
          </w:p>
        </w:tc>
        <w:tc>
          <w:tcPr>
            <w:tcW w:type="dxa" w:w="174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الحالة</w:t>
            </w:r>
          </w:p>
        </w:tc>
      </w:tr>
      <w:tr>
        <w:trPr>
          <w:cantSplit/>
        </w:trPr>
        <w:tc>
          <w:tcPr>
            <w:tcW w:type="dxa" w:w="34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الوصول / المشاهدات (مشاهدة)</w:t>
            </w:r>
          </w:p>
        </w:tc>
        <w:tc>
          <w:tcPr>
            <w:tcW w:type="dxa" w:w="1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100,000</w:t>
            </w:r>
          </w:p>
        </w:tc>
        <w:tc>
          <w:tcPr>
            <w:tcW w:type="dxa" w:w="1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2,626,300</w:t>
            </w:r>
          </w:p>
        </w:tc>
        <w:tc>
          <w:tcPr>
            <w:tcW w:type="dxa" w:w="1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‎2,626%‎</w:t>
            </w:r>
          </w:p>
        </w:tc>
        <w:tc>
          <w:tcPr>
            <w:tcW w:type="dxa" w:w="1748"/>
            <w:tcBorders>
              <w:top w:val="single" w:color="DEDFE1" w:sz="4"/>
              <w:left w:val="single" w:color="DEDFE1" w:sz="4"/>
              <w:bottom w:val="single" w:color="DEDFE1" w:sz="4"/>
              <w:right w:val="single" w:color="DEDFE1" w:sz="4"/>
            </w:tcBorders>
            <w:shd w:fill="E7F3EC"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1B7A4B"/>
                <w:sz w:val="18"/>
                <w:szCs w:val="18"/>
                <w:rtl/>
              </w:rPr>
              <w:t xml:space="preserve">✔ تحقق</w:t>
            </w:r>
          </w:p>
        </w:tc>
      </w:tr>
      <w:tr>
        <w:trPr>
          <w:cantSplit/>
        </w:trPr>
        <w:tc>
          <w:tcPr>
            <w:tcW w:type="dxa" w:w="34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الالتزام بالميزانية المخصصة (ر.س)</w:t>
            </w:r>
          </w:p>
        </w:tc>
        <w:tc>
          <w:tcPr>
            <w:tcW w:type="dxa" w:w="14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21,000</w:t>
            </w:r>
          </w:p>
        </w:tc>
        <w:tc>
          <w:tcPr>
            <w:tcW w:type="dxa" w:w="14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25,000</w:t>
            </w:r>
          </w:p>
        </w:tc>
        <w:tc>
          <w:tcPr>
            <w:tcW w:type="dxa" w:w="16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‎119%‎ استهلاك</w:t>
            </w:r>
          </w:p>
        </w:tc>
        <w:tc>
          <w:tcPr>
            <w:tcW w:type="dxa" w:w="1748"/>
            <w:tcBorders>
              <w:top w:val="single" w:color="DEDFE1" w:sz="4"/>
              <w:left w:val="single" w:color="DEDFE1" w:sz="4"/>
              <w:bottom w:val="single" w:color="DEDFE1" w:sz="4"/>
              <w:right w:val="single" w:color="DEDFE1" w:sz="4"/>
            </w:tcBorders>
            <w:shd w:fill="FBE9EE"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C6486B"/>
                <w:sz w:val="18"/>
                <w:szCs w:val="18"/>
                <w:rtl/>
              </w:rPr>
              <w:t xml:space="preserve">✕ تجاوز</w:t>
            </w:r>
          </w:p>
        </w:tc>
      </w:tr>
    </w:tbl>
    <w:p>
      <w:pPr>
        <w:bidi/>
        <w:spacing w:after="150" w:before="90" w:line="300" w:lineRule="auto"/>
        <w:jc w:val="start"/>
      </w:pPr>
      <w:r>
        <w:rPr>
          <w:rFonts w:ascii="Tahoma" w:cs="Tahoma" w:eastAsia="Tahoma" w:hAnsi="Tahoma"/>
          <w:b w:val="false"/>
          <w:bCs w:val="false"/>
          <w:color w:val="8E9295"/>
          <w:sz w:val="16"/>
          <w:szCs w:val="16"/>
          <w:rtl/>
        </w:rPr>
        <w:t xml:space="preserve">لم يُرصد مستهدف تفاعل لهذه الحملة ولم يُسجَّل تفاعل فعلي.</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الرسم البياني للحملة</w:t>
      </w:r>
    </w:p>
    <w:p>
      <w:pPr>
        <w:bidi/>
        <w:spacing w:after="50" w:before="60" w:line="240" w:lineRule="auto"/>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190750"/>
                    </a:xfrm>
                    <a:prstGeom prst="rect">
                      <a:avLst/>
                    </a:prstGeom>
                  </pic:spPr>
                </pic:pic>
              </a:graphicData>
            </a:graphic>
          </wp:inline>
        </w:drawing>
      </w:r>
    </w:p>
    <w:p>
      <w:pPr>
        <w:bidi/>
        <w:spacing w:after="170" w:before="0" w:line="300" w:lineRule="auto"/>
        <w:jc w:val="center"/>
      </w:pPr>
      <w:r>
        <w:rPr>
          <w:rFonts w:ascii="Tahoma" w:cs="Tahoma" w:eastAsia="Tahoma" w:hAnsi="Tahoma"/>
          <w:b w:val="false"/>
          <w:bCs w:val="false"/>
          <w:color w:val="8E9295"/>
          <w:sz w:val="16"/>
          <w:szCs w:val="16"/>
          <w:rtl/>
        </w:rPr>
        <w:t xml:space="preserve">عمليات يوم الحملة ساعة بساعة — 4 يوليو 2026. المصدر: بيانات معاملات المحطة.</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الأداء الشهري — قبل الحملة · شهرها · بعدها</w:t>
      </w:r>
    </w:p>
    <w:p>
      <w:pPr>
        <w:bidi/>
        <w:spacing w:after="110" w:before="0" w:line="300" w:lineRule="auto"/>
        <w:jc w:val="start"/>
      </w:pPr>
      <w:r>
        <w:rPr>
          <w:rFonts w:ascii="Tahoma" w:cs="Tahoma" w:eastAsia="Tahoma" w:hAnsi="Tahoma"/>
          <w:b w:val="false"/>
          <w:bCs w:val="false"/>
          <w:color w:val="8E9295"/>
          <w:sz w:val="16"/>
          <w:szCs w:val="16"/>
          <w:rtl/>
        </w:rPr>
        <w:t xml:space="preserve">الحملة نُفّذت في 4 يوليو، فيونيو هو الشهر السابق لها (بيانات المحطة تبدأ 26 يونيو)، ويوليو شهرها، وأغسطس وسبتمبر ما بعدها. متوسط الإيراد اليومي في سبتمبر أعلى بـ‎60%‎ من مستوى ما قبل الحملة، رغم تراجعه ‎4.4%‎ عن أغسطس.</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98"/>
        <w:gridCol w:w="650"/>
        <w:gridCol w:w="1350"/>
        <w:gridCol w:w="1250"/>
        <w:gridCol w:w="1050"/>
        <w:gridCol w:w="850"/>
        <w:gridCol w:w="850"/>
        <w:gridCol w:w="950"/>
      </w:tblGrid>
      <w:tr>
        <w:trPr>
          <w:tblHeader/>
        </w:trPr>
        <w:tc>
          <w:tcPr>
            <w:tcW w:type="dxa" w:w="269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الشهر والمرحلة</w:t>
            </w:r>
          </w:p>
        </w:tc>
        <w:tc>
          <w:tcPr>
            <w:tcW w:type="dxa" w:w="6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الأيام</w:t>
            </w:r>
          </w:p>
        </w:tc>
        <w:tc>
          <w:tcPr>
            <w:tcW w:type="dxa" w:w="13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الإيراد (ر.س)</w:t>
            </w:r>
          </w:p>
        </w:tc>
        <w:tc>
          <w:tcPr>
            <w:tcW w:type="dxa" w:w="12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متوسط يومي</w:t>
            </w:r>
          </w:p>
        </w:tc>
        <w:tc>
          <w:tcPr>
            <w:tcW w:type="dxa" w:w="10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التغير</w:t>
            </w:r>
          </w:p>
        </w:tc>
        <w:tc>
          <w:tcPr>
            <w:tcW w:type="dxa" w:w="8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لتر/يوم</w:t>
            </w:r>
          </w:p>
        </w:tc>
        <w:tc>
          <w:tcPr>
            <w:tcW w:type="dxa" w:w="8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فاتورة/يوم</w:t>
            </w:r>
          </w:p>
        </w:tc>
        <w:tc>
          <w:tcPr>
            <w:tcW w:type="dxa" w:w="9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الفاتورة</w:t>
            </w:r>
          </w:p>
        </w:tc>
      </w:tr>
      <w:tr>
        <w:trPr>
          <w:cantSplit/>
        </w:trPr>
        <w:tc>
          <w:tcPr>
            <w:tcW w:type="dxa" w:w="269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يونيو 2026 (جزئي · من 26 يونيو) — قبل الحملة</w:t>
            </w:r>
          </w:p>
        </w:tc>
        <w:tc>
          <w:tcPr>
            <w:tcW w:type="dxa" w:w="6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5</w:t>
            </w:r>
          </w:p>
        </w:tc>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43,350</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8,670</w:t>
            </w:r>
          </w:p>
        </w:tc>
        <w:tc>
          <w:tcPr>
            <w:tcW w:type="dxa" w:w="10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w:t>
            </w:r>
          </w:p>
        </w:tc>
        <w:tc>
          <w:tcPr>
            <w:tcW w:type="dxa" w:w="8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4,041</w:t>
            </w:r>
          </w:p>
        </w:tc>
        <w:tc>
          <w:tcPr>
            <w:tcW w:type="dxa" w:w="8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175</w:t>
            </w:r>
          </w:p>
        </w:tc>
        <w:tc>
          <w:tcPr>
            <w:tcW w:type="dxa" w:w="9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49.4</w:t>
            </w:r>
          </w:p>
        </w:tc>
      </w:tr>
      <w:tr>
        <w:trPr>
          <w:cantSplit/>
        </w:trPr>
        <w:tc>
          <w:tcPr>
            <w:tcW w:type="dxa" w:w="269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يوليو 2026 — شهر الحملة (4 يوليو)</w:t>
            </w:r>
          </w:p>
        </w:tc>
        <w:tc>
          <w:tcPr>
            <w:tcW w:type="dxa" w:w="6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31</w:t>
            </w:r>
          </w:p>
        </w:tc>
        <w:tc>
          <w:tcPr>
            <w:tcW w:type="dxa" w:w="13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444,824</w:t>
            </w:r>
          </w:p>
        </w:tc>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14,349</w:t>
            </w:r>
          </w:p>
        </w:tc>
        <w:tc>
          <w:tcPr>
            <w:tcW w:type="dxa" w:w="10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‎+65.5%‎</w:t>
            </w:r>
          </w:p>
        </w:tc>
        <w:tc>
          <w:tcPr>
            <w:tcW w:type="dxa" w:w="8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6,640</w:t>
            </w:r>
          </w:p>
        </w:tc>
        <w:tc>
          <w:tcPr>
            <w:tcW w:type="dxa" w:w="8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297</w:t>
            </w:r>
          </w:p>
        </w:tc>
        <w:tc>
          <w:tcPr>
            <w:tcW w:type="dxa" w:w="9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48.3</w:t>
            </w:r>
          </w:p>
        </w:tc>
      </w:tr>
      <w:tr>
        <w:trPr>
          <w:cantSplit/>
        </w:trPr>
        <w:tc>
          <w:tcPr>
            <w:tcW w:type="dxa" w:w="269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أغسطس 2026 — بعد الحملة</w:t>
            </w:r>
          </w:p>
        </w:tc>
        <w:tc>
          <w:tcPr>
            <w:tcW w:type="dxa" w:w="6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31</w:t>
            </w:r>
          </w:p>
        </w:tc>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450,751</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14,540</w:t>
            </w:r>
          </w:p>
        </w:tc>
        <w:tc>
          <w:tcPr>
            <w:tcW w:type="dxa" w:w="10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‎+1.3%‎</w:t>
            </w:r>
          </w:p>
        </w:tc>
        <w:tc>
          <w:tcPr>
            <w:tcW w:type="dxa" w:w="8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6,744</w:t>
            </w:r>
          </w:p>
        </w:tc>
        <w:tc>
          <w:tcPr>
            <w:tcW w:type="dxa" w:w="8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306</w:t>
            </w:r>
          </w:p>
        </w:tc>
        <w:tc>
          <w:tcPr>
            <w:tcW w:type="dxa" w:w="9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47.5</w:t>
            </w:r>
          </w:p>
        </w:tc>
      </w:tr>
      <w:tr>
        <w:trPr>
          <w:cantSplit/>
        </w:trPr>
        <w:tc>
          <w:tcPr>
            <w:tcW w:type="dxa" w:w="269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سبتمبر 2026 — أول 27 يوماً — بعد الحملة بشهرين</w:t>
            </w:r>
          </w:p>
        </w:tc>
        <w:tc>
          <w:tcPr>
            <w:tcW w:type="dxa" w:w="6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27</w:t>
            </w:r>
          </w:p>
        </w:tc>
        <w:tc>
          <w:tcPr>
            <w:tcW w:type="dxa" w:w="13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375,380</w:t>
            </w:r>
          </w:p>
        </w:tc>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13,903</w:t>
            </w:r>
          </w:p>
        </w:tc>
        <w:tc>
          <w:tcPr>
            <w:tcW w:type="dxa" w:w="10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C6486B"/>
                <w:sz w:val="18"/>
                <w:szCs w:val="18"/>
                <w:rtl/>
              </w:rPr>
              <w:t xml:space="preserve">‎-4.4%‎</w:t>
            </w:r>
          </w:p>
        </w:tc>
        <w:tc>
          <w:tcPr>
            <w:tcW w:type="dxa" w:w="8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6,477</w:t>
            </w:r>
          </w:p>
        </w:tc>
        <w:tc>
          <w:tcPr>
            <w:tcW w:type="dxa" w:w="8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299</w:t>
            </w:r>
          </w:p>
        </w:tc>
        <w:tc>
          <w:tcPr>
            <w:tcW w:type="dxa" w:w="9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46.4</w:t>
            </w:r>
          </w:p>
        </w:tc>
      </w:tr>
    </w:tbl>
    <w:p>
      <w:pPr>
        <w:spacing w:after="120"/>
      </w:pPr>
    </w:p>
    <w:p>
      <w:pPr>
        <w:bidi/>
        <w:spacing w:after="50" w:before="60" w:line="240" w:lineRule="auto"/>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266950"/>
                    </a:xfrm>
                    <a:prstGeom prst="rect">
                      <a:avLst/>
                    </a:prstGeom>
                  </pic:spPr>
                </pic:pic>
              </a:graphicData>
            </a:graphic>
          </wp:inline>
        </w:drawing>
      </w:r>
    </w:p>
    <w:p>
      <w:pPr>
        <w:bidi/>
        <w:spacing w:after="170" w:before="0" w:line="300" w:lineRule="auto"/>
        <w:jc w:val="center"/>
      </w:pPr>
      <w:r>
        <w:rPr>
          <w:rFonts w:ascii="Tahoma" w:cs="Tahoma" w:eastAsia="Tahoma" w:hAnsi="Tahoma"/>
          <w:b w:val="false"/>
          <w:bCs w:val="false"/>
          <w:color w:val="8E9295"/>
          <w:sz w:val="16"/>
          <w:szCs w:val="16"/>
          <w:rtl/>
        </w:rPr>
        <w:t xml:space="preserve">مسار الإيراد اليومي أسبوعياً من قبل الحملة حتى نهاية سبتمبر. المصدر: بيانات معاملات المحطة.</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ما لم يتحقق في هذه الحملة · المبرر والإجراء التصحيحي</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1350"/>
        <w:gridCol w:w="2599"/>
        <w:gridCol w:w="2449"/>
      </w:tblGrid>
      <w:tr>
        <w:trPr>
          <w:tblHeader/>
        </w:trPr>
        <w:tc>
          <w:tcPr>
            <w:tcW w:type="dxa" w:w="19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البند</w:t>
            </w:r>
          </w:p>
        </w:tc>
        <w:tc>
          <w:tcPr>
            <w:tcW w:type="dxa" w:w="13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المستهدف</w:t>
            </w:r>
          </w:p>
        </w:tc>
        <w:tc>
          <w:tcPr>
            <w:tcW w:type="dxa" w:w="13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المتحقق</w:t>
            </w:r>
          </w:p>
        </w:tc>
        <w:tc>
          <w:tcPr>
            <w:tcW w:type="dxa" w:w="2599"/>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المبرر</w:t>
            </w:r>
          </w:p>
        </w:tc>
        <w:tc>
          <w:tcPr>
            <w:tcW w:type="dxa" w:w="2449"/>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الإجراء التصحيحي</w:t>
            </w:r>
          </w:p>
        </w:tc>
      </w:tr>
      <w:tr>
        <w:trPr>
          <w:cantSplit/>
        </w:trPr>
        <w:tc>
          <w:tcPr>
            <w:tcW w:type="dxa" w:w="1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الالتزام بالميزانية المخصصة</w:t>
            </w:r>
          </w:p>
        </w:tc>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21,000 ر.س</w:t>
            </w:r>
          </w:p>
        </w:tc>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25,000 ر.س</w:t>
            </w:r>
          </w:p>
        </w:tc>
        <w:tc>
          <w:tcPr>
            <w:tcW w:type="dxa" w:w="259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تجاوز 4,000 ر.س باستهلاك ‎119%‎ — لم يُسجَّل مبرر في تقرير الحملة</w:t>
            </w:r>
          </w:p>
        </w:tc>
        <w:tc>
          <w:tcPr>
            <w:tcW w:type="dxa" w:w="244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توثيق المبرر واعتماده، وضبط تقدير ميزانية الحملات الميدانية اليومية</w:t>
            </w:r>
          </w:p>
        </w:tc>
      </w:tr>
    </w:tbl>
    <w:p>
      <w:pPr>
        <w:spacing w:after="60"/>
      </w:pPr>
    </w:p>
    <w:p>
      <w:pPr>
        <w:spacing w:after="60"/>
      </w:pP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cantSplit/>
        </w:trPr>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1B7A4B"/>
                <w:sz w:val="19"/>
                <w:szCs w:val="19"/>
                <w:rtl/>
              </w:rPr>
              <w:t xml:space="preserve">أبرز النتائج</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تجاوز مستهدف الوصول بمقدار 2,526,300 مشاهدة — ‎2,626%‎ من المستهدف، وهو أعلى أداء وصول في الربع</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رفع الوعي بالعلامة التجارية في سوق نجران</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حضور ميداني قوي رافقه انتشار واسع في منصات التواصل الاجتماعي</w:t>
            </w:r>
          </w:p>
        </w:tc>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C6486B"/>
                <w:sz w:val="19"/>
                <w:szCs w:val="19"/>
                <w:rtl/>
              </w:rPr>
              <w:t xml:space="preserve">التحديات</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ضعف التنسيق المسبق قبل انطلاق الحملة</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تجاوز الإنفاق الفعلي للميزانية المخصصة بمقدار 4,000 ر.س (استهلاك ‎119%‎) دون مبرر موثّق</w:t>
            </w:r>
          </w:p>
        </w:tc>
      </w:tr>
      <w:tr>
        <w:trPr>
          <w:cantSplit/>
        </w:trPr>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D25C0C"/>
                <w:sz w:val="19"/>
                <w:szCs w:val="19"/>
                <w:rtl/>
              </w:rPr>
              <w:t xml:space="preserve">الفرص الممكن الاستفادة منها</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تكرار النموذج في محطات أخرى بنفس المزيج الإعلاني</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تحويل حجم الوصول المرتفع إلى تسجيلات في برنامج الولاء</w:t>
            </w:r>
          </w:p>
        </w:tc>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66686A"/>
                <w:sz w:val="19"/>
                <w:szCs w:val="19"/>
                <w:rtl/>
              </w:rPr>
              <w:t xml:space="preserve">التوصيات</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اعتماد التنسيق المسبق كبند إلزامي قبل انطلاق أي حملة ميدانية</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توثيق مبرر تجاوز الميزانية واعتماده</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تفعيل قياس الفرص التجارية والعملاء المحوّلين لقياس الأثر التجاري لا الوصول فقط</w:t>
            </w:r>
          </w:p>
        </w:tc>
      </w:tr>
    </w:tbl>
    <w:p>
      <w:pPr>
        <w:keepNext/>
        <w:pageBreakBefore/>
        <w:pBdr>
          <w:bottom w:val="single" w:color="F3741F" w:sz="10" w:space="6"/>
        </w:pBdr>
        <w:bidi/>
        <w:spacing w:after="110" w:before="0" w:line="300" w:lineRule="auto"/>
        <w:jc w:val="start"/>
      </w:pPr>
      <w:r>
        <w:rPr>
          <w:rFonts w:ascii="DIN Next LT Arabic" w:cs="DIN Next LT Arabic" w:eastAsia="DIN Next LT Arabic" w:hAnsi="DIN Next LT Arabic"/>
          <w:b/>
          <w:bCs/>
          <w:color w:val="2B2E30"/>
          <w:sz w:val="26"/>
          <w:szCs w:val="26"/>
          <w:rtl/>
        </w:rPr>
        <w:t xml:space="preserve">02 · البنزين المجاني بقيمة 200 ر.س لأول 200 سيارة — درب صبيا  </w:t>
      </w:r>
      <w:r>
        <w:rPr>
          <w:rFonts w:ascii="DIN Next LT Arabic" w:cs="DIN Next LT Arabic" w:eastAsia="DIN Next LT Arabic" w:hAnsi="DIN Next LT Arabic"/>
          <w:b/>
          <w:bCs/>
          <w:color w:val="D25C0C"/>
          <w:sz w:val="20"/>
          <w:szCs w:val="20"/>
          <w:rtl/>
        </w:rPr>
        <w:t xml:space="preserve">[JA070]</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2300"/>
        <w:gridCol w:w="1900"/>
        <w:gridCol w:w="1998"/>
      </w:tblGrid>
      <w:tr>
        <w:trPr>
          <w:tblHeader/>
        </w:trPr>
        <w:tc>
          <w:tcPr>
            <w:tcW w:type="dxa" w:w="13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الشهر</w:t>
            </w:r>
          </w:p>
        </w:tc>
        <w:tc>
          <w:tcPr>
            <w:tcW w:type="dxa" w:w="21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فترة التنفيذ</w:t>
            </w:r>
          </w:p>
        </w:tc>
        <w:tc>
          <w:tcPr>
            <w:tcW w:type="dxa" w:w="23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المحطة المشمولة</w:t>
            </w:r>
          </w:p>
        </w:tc>
        <w:tc>
          <w:tcPr>
            <w:tcW w:type="dxa" w:w="19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الهدف التسويقي</w:t>
            </w:r>
          </w:p>
        </w:tc>
        <w:tc>
          <w:tcPr>
            <w:tcW w:type="dxa" w:w="199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الميزانية</w:t>
            </w:r>
          </w:p>
        </w:tc>
      </w:tr>
      <w:tr>
        <w:trPr>
          <w:cantSplit/>
        </w:trPr>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أغسطس 2026</w:t>
            </w:r>
          </w:p>
        </w:tc>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السبت 8 أغسطس 2026 — انطلاق العرض 6 مساءً</w:t>
            </w:r>
          </w:p>
        </w:tc>
        <w:tc>
          <w:tcPr>
            <w:tcW w:type="dxa" w:w="23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درب صبيا — طريق الملك عبدالعزيز · JA070 — امتياز تجاري</w:t>
            </w:r>
          </w:p>
        </w:tc>
        <w:tc>
          <w:tcPr>
            <w:tcW w:type="dxa" w:w="1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وعي بالعلامة التجارية</w:t>
            </w:r>
          </w:p>
        </w:tc>
        <w:tc>
          <w:tcPr>
            <w:tcW w:type="dxa" w:w="199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لم تُسجَّل · القيمة الاسمية للعرض حتى 40,000 ر.س (200 ر.س × 200 سيارة)</w:t>
            </w:r>
          </w:p>
        </w:tc>
      </w:tr>
    </w:tbl>
    <w:p>
      <w:pPr>
        <w:spacing w:after="120"/>
      </w:pPr>
    </w:p>
    <w:p>
      <w:pPr>
        <w:bidi/>
        <w:spacing w:after="170" w:before="0" w:line="300" w:lineRule="auto"/>
        <w:jc w:val="start"/>
      </w:pPr>
      <w:r>
        <w:rPr>
          <w:rFonts w:ascii="Tahoma" w:cs="Tahoma" w:eastAsia="Tahoma" w:hAnsi="Tahoma"/>
          <w:b w:val="false"/>
          <w:bCs w:val="false"/>
          <w:color w:val="8E9295"/>
          <w:sz w:val="16"/>
          <w:szCs w:val="16"/>
          <w:rtl/>
        </w:rPr>
        <w:t xml:space="preserve">القنوات: ميداني · إنستقرام · تيك توك · X · مؤثرين   |   الجهة المنفذة: مودة أمبون   |   التصنيف: الحملات التسويقية</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الأثر على المبيعات — من بيانات المعاملات</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1200"/>
        <w:gridCol w:w="1200"/>
        <w:gridCol w:w="1500"/>
        <w:gridCol w:w="1000"/>
        <w:gridCol w:w="1448"/>
      </w:tblGrid>
      <w:tr>
        <w:trPr>
          <w:tblHeader/>
        </w:trPr>
        <w:tc>
          <w:tcPr>
            <w:tcW w:type="dxa" w:w="25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الفترة</w:t>
            </w:r>
          </w:p>
        </w:tc>
        <w:tc>
          <w:tcPr>
            <w:tcW w:type="dxa" w:w="8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الأيام</w:t>
            </w:r>
          </w:p>
        </w:tc>
        <w:tc>
          <w:tcPr>
            <w:tcW w:type="dxa" w:w="12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عمليات/يوم</w:t>
            </w:r>
          </w:p>
        </w:tc>
        <w:tc>
          <w:tcPr>
            <w:tcW w:type="dxa" w:w="12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لترات/يوم</w:t>
            </w:r>
          </w:p>
        </w:tc>
        <w:tc>
          <w:tcPr>
            <w:tcW w:type="dxa" w:w="15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إيراد/يوم (ر.س)</w:t>
            </w:r>
          </w:p>
        </w:tc>
        <w:tc>
          <w:tcPr>
            <w:tcW w:type="dxa" w:w="10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الفاتورة</w:t>
            </w:r>
          </w:p>
        </w:tc>
        <w:tc>
          <w:tcPr>
            <w:tcW w:type="dxa" w:w="144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تغير الإيراد</w:t>
            </w:r>
          </w:p>
        </w:tc>
      </w:tr>
      <w:tr>
        <w:trPr>
          <w:cantSplit/>
        </w:trPr>
        <w:tc>
          <w:tcPr>
            <w:tcW w:type="dxa" w:w="2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خط الأساس — 2 أغسطس (اليوم الوحيد المكتمل قبل الحملة)</w:t>
            </w:r>
          </w:p>
        </w:tc>
        <w:tc>
          <w:tcPr>
            <w:tcW w:type="dxa" w:w="8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384</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8,213</w:t>
            </w:r>
          </w:p>
        </w:tc>
        <w:tc>
          <w:tcPr>
            <w:tcW w:type="dxa" w:w="1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17,946</w:t>
            </w:r>
          </w:p>
        </w:tc>
        <w:tc>
          <w:tcPr>
            <w:tcW w:type="dxa" w:w="10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46.7</w:t>
            </w:r>
          </w:p>
        </w:tc>
        <w:tc>
          <w:tcPr>
            <w:tcW w:type="dxa" w:w="14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الأساس</w:t>
            </w:r>
          </w:p>
        </w:tc>
      </w:tr>
      <w:tr>
        <w:trPr>
          <w:cantSplit/>
        </w:trPr>
        <w:tc>
          <w:tcPr>
            <w:tcW w:type="dxa" w:w="2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يوم الحملة (السبت 8 أغسطس)</w:t>
            </w:r>
          </w:p>
        </w:tc>
        <w:tc>
          <w:tcPr>
            <w:tcW w:type="dxa" w:w="8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غير مسجّل</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غير مسجّل</w:t>
            </w:r>
          </w:p>
        </w:tc>
        <w:tc>
          <w:tcPr>
            <w:tcW w:type="dxa" w:w="1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غير مسجّل</w:t>
            </w:r>
          </w:p>
        </w:tc>
        <w:tc>
          <w:tcPr>
            <w:tcW w:type="dxa" w:w="10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w:t>
            </w:r>
          </w:p>
        </w:tc>
        <w:tc>
          <w:tcPr>
            <w:tcW w:type="dxa" w:w="14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غير مُقاس</w:t>
            </w:r>
          </w:p>
        </w:tc>
      </w:tr>
      <w:tr>
        <w:trPr>
          <w:cantSplit/>
        </w:trPr>
        <w:tc>
          <w:tcPr>
            <w:tcW w:type="dxa" w:w="2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الأسبوع التالي للحملة (10 – 14 أغسطس)</w:t>
            </w:r>
          </w:p>
        </w:tc>
        <w:tc>
          <w:tcPr>
            <w:tcW w:type="dxa" w:w="8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5</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378</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7,543</w:t>
            </w:r>
          </w:p>
        </w:tc>
        <w:tc>
          <w:tcPr>
            <w:tcW w:type="dxa" w:w="1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16,612</w:t>
            </w:r>
          </w:p>
        </w:tc>
        <w:tc>
          <w:tcPr>
            <w:tcW w:type="dxa" w:w="10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44.0</w:t>
            </w:r>
          </w:p>
        </w:tc>
        <w:tc>
          <w:tcPr>
            <w:tcW w:type="dxa" w:w="14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‎-7%‎</w:t>
            </w:r>
          </w:p>
        </w:tc>
      </w:tr>
      <w:tr>
        <w:trPr>
          <w:cantSplit/>
        </w:trPr>
        <w:tc>
          <w:tcPr>
            <w:tcW w:type="dxa" w:w="2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من 15 أغسطس حتى نهاية الشهر</w:t>
            </w:r>
          </w:p>
        </w:tc>
        <w:tc>
          <w:tcPr>
            <w:tcW w:type="dxa" w:w="8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17</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614</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11,861</w:t>
            </w:r>
          </w:p>
        </w:tc>
        <w:tc>
          <w:tcPr>
            <w:tcW w:type="dxa" w:w="1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26,128</w:t>
            </w:r>
          </w:p>
        </w:tc>
        <w:tc>
          <w:tcPr>
            <w:tcW w:type="dxa" w:w="10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42.6</w:t>
            </w:r>
          </w:p>
        </w:tc>
        <w:tc>
          <w:tcPr>
            <w:tcW w:type="dxa" w:w="14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‎+46%‎</w:t>
            </w:r>
          </w:p>
        </w:tc>
      </w:tr>
      <w:tr>
        <w:trPr>
          <w:cantSplit/>
        </w:trPr>
        <w:tc>
          <w:tcPr>
            <w:tcW w:type="dxa" w:w="2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كامل ما بعد الحملة (10 – 31 أغسطس)</w:t>
            </w:r>
          </w:p>
        </w:tc>
        <w:tc>
          <w:tcPr>
            <w:tcW w:type="dxa" w:w="8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22</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560</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10,880</w:t>
            </w:r>
          </w:p>
        </w:tc>
        <w:tc>
          <w:tcPr>
            <w:tcW w:type="dxa" w:w="1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23,965</w:t>
            </w:r>
          </w:p>
        </w:tc>
        <w:tc>
          <w:tcPr>
            <w:tcW w:type="dxa" w:w="10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42.8</w:t>
            </w:r>
          </w:p>
        </w:tc>
        <w:tc>
          <w:tcPr>
            <w:tcW w:type="dxa" w:w="14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‎+34%‎</w:t>
            </w:r>
          </w:p>
        </w:tc>
      </w:tr>
    </w:tbl>
    <w:p>
      <w:pPr>
        <w:bidi/>
        <w:spacing w:after="150" w:before="90" w:line="300" w:lineRule="auto"/>
        <w:jc w:val="start"/>
      </w:pPr>
      <w:r>
        <w:rPr>
          <w:rFonts w:ascii="Tahoma" w:cs="Tahoma" w:eastAsia="Tahoma" w:hAnsi="Tahoma"/>
          <w:b w:val="false"/>
          <w:bCs w:val="false"/>
          <w:color w:val="8E9295"/>
          <w:sz w:val="16"/>
          <w:szCs w:val="16"/>
          <w:rtl/>
        </w:rPr>
        <w:t xml:space="preserve">خط الأساس يوم واحد فقط (2 أغسطس) لأنه اليوم الوحيد مكتمل التسجيل قبل الحملة، فنسب التغير إرشادية لا قاطعة. ولأن يوم الحملة نفسه غير مسجّل، ولأن الأسبوع التالي لها لم يرتفع عن خط الأساس، لم يُحتسب لهذه الحملة إيراد إضافي ضمن إجمالي الربع. إجمالي إيراد أغسطس المسجّل 586,448 ر.س من 13,638 عملية و266,176 لتراً.</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المستهدفات وما تحقق منها</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1450"/>
        <w:gridCol w:w="1450"/>
        <w:gridCol w:w="1600"/>
        <w:gridCol w:w="1748"/>
      </w:tblGrid>
      <w:tr>
        <w:trPr>
          <w:tblHeader/>
        </w:trPr>
        <w:tc>
          <w:tcPr>
            <w:tcW w:type="dxa" w:w="34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المؤشر</w:t>
            </w:r>
          </w:p>
        </w:tc>
        <w:tc>
          <w:tcPr>
            <w:tcW w:type="dxa" w:w="14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المستهدف</w:t>
            </w:r>
          </w:p>
        </w:tc>
        <w:tc>
          <w:tcPr>
            <w:tcW w:type="dxa" w:w="14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المتحقق</w:t>
            </w:r>
          </w:p>
        </w:tc>
        <w:tc>
          <w:tcPr>
            <w:tcW w:type="dxa" w:w="16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نسبة الإنجاز</w:t>
            </w:r>
          </w:p>
        </w:tc>
        <w:tc>
          <w:tcPr>
            <w:tcW w:type="dxa" w:w="174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الحالة</w:t>
            </w:r>
          </w:p>
        </w:tc>
      </w:tr>
      <w:tr>
        <w:trPr>
          <w:cantSplit/>
        </w:trPr>
        <w:tc>
          <w:tcPr>
            <w:tcW w:type="dxa" w:w="34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الوصول / المشاهدات (مشاهدة)</w:t>
            </w:r>
          </w:p>
        </w:tc>
        <w:tc>
          <w:tcPr>
            <w:tcW w:type="dxa" w:w="1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100,000</w:t>
            </w:r>
          </w:p>
        </w:tc>
        <w:tc>
          <w:tcPr>
            <w:tcW w:type="dxa" w:w="1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991,400</w:t>
            </w:r>
          </w:p>
        </w:tc>
        <w:tc>
          <w:tcPr>
            <w:tcW w:type="dxa" w:w="1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‎991%‎</w:t>
            </w:r>
          </w:p>
        </w:tc>
        <w:tc>
          <w:tcPr>
            <w:tcW w:type="dxa" w:w="1748"/>
            <w:tcBorders>
              <w:top w:val="single" w:color="DEDFE1" w:sz="4"/>
              <w:left w:val="single" w:color="DEDFE1" w:sz="4"/>
              <w:bottom w:val="single" w:color="DEDFE1" w:sz="4"/>
              <w:right w:val="single" w:color="DEDFE1" w:sz="4"/>
            </w:tcBorders>
            <w:shd w:fill="E7F3EC"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1B7A4B"/>
                <w:sz w:val="18"/>
                <w:szCs w:val="18"/>
                <w:rtl/>
              </w:rPr>
              <w:t xml:space="preserve">✔ تحقق</w:t>
            </w:r>
          </w:p>
        </w:tc>
      </w:tr>
      <w:tr>
        <w:trPr>
          <w:cantSplit/>
        </w:trPr>
        <w:tc>
          <w:tcPr>
            <w:tcW w:type="dxa" w:w="34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معدل التفاعل (%)</w:t>
            </w:r>
          </w:p>
        </w:tc>
        <w:tc>
          <w:tcPr>
            <w:tcW w:type="dxa" w:w="14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‎10.0%‎</w:t>
            </w:r>
          </w:p>
        </w:tc>
        <w:tc>
          <w:tcPr>
            <w:tcW w:type="dxa" w:w="14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‎14.0%‎</w:t>
            </w:r>
          </w:p>
        </w:tc>
        <w:tc>
          <w:tcPr>
            <w:tcW w:type="dxa" w:w="16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‎140%‎</w:t>
            </w:r>
          </w:p>
        </w:tc>
        <w:tc>
          <w:tcPr>
            <w:tcW w:type="dxa" w:w="1748"/>
            <w:tcBorders>
              <w:top w:val="single" w:color="DEDFE1" w:sz="4"/>
              <w:left w:val="single" w:color="DEDFE1" w:sz="4"/>
              <w:bottom w:val="single" w:color="DEDFE1" w:sz="4"/>
              <w:right w:val="single" w:color="DEDFE1" w:sz="4"/>
            </w:tcBorders>
            <w:shd w:fill="E7F3EC"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1B7A4B"/>
                <w:sz w:val="18"/>
                <w:szCs w:val="18"/>
                <w:rtl/>
              </w:rPr>
              <w:t xml:space="preserve">✔ تحقق</w:t>
            </w:r>
          </w:p>
        </w:tc>
      </w:tr>
      <w:tr>
        <w:trPr>
          <w:cantSplit/>
        </w:trPr>
        <w:tc>
          <w:tcPr>
            <w:tcW w:type="dxa" w:w="34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الالتزام بالميزانية المخصصة</w:t>
            </w:r>
          </w:p>
        </w:tc>
        <w:tc>
          <w:tcPr>
            <w:tcW w:type="dxa" w:w="1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w:t>
            </w:r>
          </w:p>
        </w:tc>
        <w:tc>
          <w:tcPr>
            <w:tcW w:type="dxa" w:w="1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w:t>
            </w:r>
          </w:p>
        </w:tc>
        <w:tc>
          <w:tcPr>
            <w:tcW w:type="dxa" w:w="1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w:t>
            </w:r>
          </w:p>
        </w:tc>
        <w:tc>
          <w:tcPr>
            <w:tcW w:type="dxa" w:w="174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8E9295"/>
                <w:sz w:val="18"/>
                <w:szCs w:val="18"/>
                <w:rtl/>
              </w:rPr>
              <w:t xml:space="preserve">غير مسجّلة</w:t>
            </w:r>
          </w:p>
        </w:tc>
      </w:tr>
    </w:tbl>
    <w:p>
      <w:pPr>
        <w:bidi/>
        <w:spacing w:after="150" w:before="90" w:line="300" w:lineRule="auto"/>
        <w:jc w:val="start"/>
      </w:pPr>
      <w:r>
        <w:rPr>
          <w:rFonts w:ascii="Tahoma" w:cs="Tahoma" w:eastAsia="Tahoma" w:hAnsi="Tahoma"/>
          <w:b w:val="false"/>
          <w:bCs w:val="false"/>
          <w:color w:val="8E9295"/>
          <w:sz w:val="16"/>
          <w:szCs w:val="16"/>
          <w:rtl/>
        </w:rPr>
        <w:t xml:space="preserve">معدل التفاعل الفعلي ‎14.0%‎ مقابل مخطط ‎10.0%‎ — نحو 138,796 تفاعلاً على وصول 991,400.</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الرسم البياني للحملة</w:t>
      </w:r>
    </w:p>
    <w:p>
      <w:pPr>
        <w:bidi/>
        <w:spacing w:after="50" w:before="60" w:line="240" w:lineRule="auto"/>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190750"/>
                    </a:xfrm>
                    <a:prstGeom prst="rect">
                      <a:avLst/>
                    </a:prstGeom>
                  </pic:spPr>
                </pic:pic>
              </a:graphicData>
            </a:graphic>
          </wp:inline>
        </w:drawing>
      </w:r>
    </w:p>
    <w:p>
      <w:pPr>
        <w:bidi/>
        <w:spacing w:after="170" w:before="0" w:line="300" w:lineRule="auto"/>
        <w:jc w:val="center"/>
      </w:pPr>
      <w:r>
        <w:rPr>
          <w:rFonts w:ascii="Tahoma" w:cs="Tahoma" w:eastAsia="Tahoma" w:hAnsi="Tahoma"/>
          <w:b w:val="false"/>
          <w:bCs w:val="false"/>
          <w:color w:val="8E9295"/>
          <w:sz w:val="16"/>
          <w:szCs w:val="16"/>
          <w:rtl/>
        </w:rPr>
        <w:t xml:space="preserve">الإيراد اليومي عبر أغسطس وموقع الحملة منه. المصدر: كشف معاملات المحطة.</w:t>
      </w:r>
    </w:p>
    <w:p>
      <w:pPr>
        <w:bidi/>
        <w:spacing w:after="50" w:before="60" w:line="240" w:lineRule="auto"/>
        <w:jc w:val="center"/>
      </w:pPr>
      <w:r>
        <w:drawing>
          <wp:inline distT="0" distB="0" distL="0" distR="0">
            <wp:extent cx="59055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485900"/>
                    </a:xfrm>
                    <a:prstGeom prst="rect">
                      <a:avLst/>
                    </a:prstGeom>
                  </pic:spPr>
                </pic:pic>
              </a:graphicData>
            </a:graphic>
          </wp:inline>
        </w:drawing>
      </w:r>
    </w:p>
    <w:p>
      <w:pPr>
        <w:bidi/>
        <w:spacing w:after="170" w:before="0" w:line="300" w:lineRule="auto"/>
        <w:jc w:val="center"/>
      </w:pPr>
      <w:r>
        <w:rPr>
          <w:rFonts w:ascii="Tahoma" w:cs="Tahoma" w:eastAsia="Tahoma" w:hAnsi="Tahoma"/>
          <w:b w:val="false"/>
          <w:bCs w:val="false"/>
          <w:color w:val="8E9295"/>
          <w:sz w:val="16"/>
          <w:szCs w:val="16"/>
          <w:rtl/>
        </w:rPr>
        <w:t xml:space="preserve">الأداء المتحقق لكل مؤشر كنسبة من المستهدف. المصدر: بطاقة تقرير الحملة.</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ما لم يتحقق في هذه الحملة · المبرر والإجراء التصحيحي</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1350"/>
        <w:gridCol w:w="2599"/>
        <w:gridCol w:w="2449"/>
      </w:tblGrid>
      <w:tr>
        <w:trPr>
          <w:tblHeader/>
        </w:trPr>
        <w:tc>
          <w:tcPr>
            <w:tcW w:type="dxa" w:w="19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البند</w:t>
            </w:r>
          </w:p>
        </w:tc>
        <w:tc>
          <w:tcPr>
            <w:tcW w:type="dxa" w:w="13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المستهدف</w:t>
            </w:r>
          </w:p>
        </w:tc>
        <w:tc>
          <w:tcPr>
            <w:tcW w:type="dxa" w:w="13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المتحقق</w:t>
            </w:r>
          </w:p>
        </w:tc>
        <w:tc>
          <w:tcPr>
            <w:tcW w:type="dxa" w:w="2599"/>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المبرر</w:t>
            </w:r>
          </w:p>
        </w:tc>
        <w:tc>
          <w:tcPr>
            <w:tcW w:type="dxa" w:w="2449"/>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الإجراء التصحيحي</w:t>
            </w:r>
          </w:p>
        </w:tc>
      </w:tr>
      <w:tr>
        <w:trPr>
          <w:cantSplit/>
        </w:trPr>
        <w:tc>
          <w:tcPr>
            <w:tcW w:type="dxa" w:w="1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قياس أثر الحملة على المبيعات</w:t>
            </w:r>
          </w:p>
        </w:tc>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إيراد يوم الحملة وما بعده</w:t>
            </w:r>
          </w:p>
        </w:tc>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غير مُقاس ليوم الحملة</w:t>
            </w:r>
          </w:p>
        </w:tc>
        <w:tc>
          <w:tcPr>
            <w:tcW w:type="dxa" w:w="259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تسجيل المعاملات متوقف من ظهر 5 أغسطس حتى 8 أغسطس ضمناً، ويوم الحملة ضمن الانقطاع؛ كما أن أيام 1 و3 و5 و9 أغسطس ناقصة التسجيل، فلم يبقَ قبل الحملة سوى يوم مكتمل واحد.</w:t>
            </w:r>
          </w:p>
        </w:tc>
        <w:tc>
          <w:tcPr>
            <w:tcW w:type="dxa" w:w="244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طلب كشف 6 – 8 أغسطس من مزوّد النظام، وإدراج التحقق من عمل التسجيل ضمن قائمة ما قبل انطلاق أي حملة.</w:t>
            </w:r>
          </w:p>
        </w:tc>
      </w:tr>
      <w:tr>
        <w:trPr>
          <w:cantSplit/>
        </w:trPr>
        <w:tc>
          <w:tcPr>
            <w:tcW w:type="dxa" w:w="19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تسجيل ميزانية الحملة</w:t>
            </w:r>
          </w:p>
        </w:tc>
        <w:tc>
          <w:tcPr>
            <w:tcW w:type="dxa" w:w="13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ميزانية معتمدة</w:t>
            </w:r>
          </w:p>
        </w:tc>
        <w:tc>
          <w:tcPr>
            <w:tcW w:type="dxa" w:w="13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غير مسجّلة</w:t>
            </w:r>
          </w:p>
        </w:tc>
        <w:tc>
          <w:tcPr>
            <w:tcW w:type="dxa" w:w="2599"/>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لم تُدخل الميزانية المخصصة ولا الإنفاق الفعلي في تقرير الحملة — كلاهما صفر</w:t>
            </w:r>
          </w:p>
        </w:tc>
        <w:tc>
          <w:tcPr>
            <w:tcW w:type="dxa" w:w="2449"/>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استكمال الإدخال ومراجعة ترتيب تحمّل الكلفة مع شريك الامتياز</w:t>
            </w:r>
          </w:p>
        </w:tc>
      </w:tr>
    </w:tbl>
    <w:p>
      <w:pPr>
        <w:spacing w:after="60"/>
      </w:pPr>
    </w:p>
    <w:p>
      <w:pPr>
        <w:spacing w:after="60"/>
      </w:pP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cantSplit/>
        </w:trPr>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1B7A4B"/>
                <w:sz w:val="19"/>
                <w:szCs w:val="19"/>
                <w:rtl/>
              </w:rPr>
              <w:t xml:space="preserve">أبرز النتائج</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تجاوز مستهدف الوصول بمقدار 891,400 مشاهدة — ‎991%‎ من المستهدف</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معدل تفاعل ‎14.0%‎ مقابل مخطط ‎10.0%‎ — نحو 138,796 تفاعلاً</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إثبات صلاحية النموذج في محطات الامتياز التجاري لا المحطات المملوكة فقط</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إجمالي إيراد أغسطس المسجّل 586,448 ر.س من 13,638 عملية و266,176 لتراً على 28 يوماً مسجّلاً</w:t>
            </w:r>
          </w:p>
        </w:tc>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C6486B"/>
                <w:sz w:val="19"/>
                <w:szCs w:val="19"/>
                <w:rtl/>
              </w:rPr>
              <w:t xml:space="preserve">التحديات</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لم تُسجَّل ميزانية مخصصة ولا إنفاق فعلي للحملة في النظام، فتعذّر احتساب كفاءة الإنفاق وعائده</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تسجيل المعاملات متوقف من ظهر 5 أغسطس حتى 8 أغسطس ضمناً — ويوم الحملة نفسه ضمن الانقطاع، فتعذّر قياس إيراد اليوم الذي نُفّذت فيه</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الأسبوع التالي للحملة (10 – 14 أغسطس) لم يرتفع عن خط الأساس بل انخفض ‎7%‎، والقفزة الفعلية بدأت 15 أغسطس — أي بعد أسبوع كامل، فلا يمكن نسبتها إلى الحملة</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خط الأساس يوم واحد فقط (2 أغسطس) لنقص تسجيل بقية أيام ما قبل الحملة، فنسب المقارنة إرشادية</w:t>
            </w:r>
          </w:p>
        </w:tc>
      </w:tr>
      <w:tr>
        <w:trPr>
          <w:cantSplit/>
        </w:trPr>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D25C0C"/>
                <w:sz w:val="19"/>
                <w:szCs w:val="19"/>
                <w:rtl/>
              </w:rPr>
              <w:t xml:space="preserve">الفرص الممكن الاستفادة منها</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توسيع النموذج على محطات الامتياز التجاري الأخرى</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إشراك شريك الامتياز في تحمّل جزء من كلفة الحملة مقابل التغطية</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مستوى المحطة بعد 15 أغسطس (نحو 26 ألف ر.س/يوم) يفوق خط الأساس بـ‎46%‎ — يستحق تحديد سببه والبناء عليه</w:t>
            </w:r>
          </w:p>
        </w:tc>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66686A"/>
                <w:sz w:val="19"/>
                <w:szCs w:val="19"/>
                <w:rtl/>
              </w:rPr>
              <w:t xml:space="preserve">التوصيات</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استكمال تسجيل الميزانية المخصصة والفعلية لاحتساب عائد الإنفاق وتكلفة الوصول</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طلب كشف معاملات 6 – 8 أغسطس من مزوّد النظام لاستكمال قياس يوم الحملة</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ربط تنفيذ أي حملة بالتحقق من عمل تسجيل المعاملات في اليوم نفسه</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تفعيل قياس الفرص التجارية والعملاء المحوّلين</w:t>
            </w:r>
          </w:p>
        </w:tc>
      </w:tr>
    </w:tbl>
    <w:p>
      <w:pPr>
        <w:keepNext/>
        <w:pageBreakBefore/>
        <w:pBdr>
          <w:bottom w:val="single" w:color="F3741F" w:sz="10" w:space="6"/>
        </w:pBdr>
        <w:bidi/>
        <w:spacing w:after="110" w:before="0" w:line="300" w:lineRule="auto"/>
        <w:jc w:val="start"/>
      </w:pPr>
      <w:r>
        <w:rPr>
          <w:rFonts w:ascii="DIN Next LT Arabic" w:cs="DIN Next LT Arabic" w:eastAsia="DIN Next LT Arabic" w:hAnsi="DIN Next LT Arabic"/>
          <w:b/>
          <w:bCs/>
          <w:color w:val="2B2E30"/>
          <w:sz w:val="26"/>
          <w:szCs w:val="26"/>
          <w:rtl/>
        </w:rPr>
        <w:t xml:space="preserve">03 · البنزين المجاني لأول 100 سيارة — افتتاح حائل  </w:t>
      </w:r>
      <w:r>
        <w:rPr>
          <w:rFonts w:ascii="DIN Next LT Arabic" w:cs="DIN Next LT Arabic" w:eastAsia="DIN Next LT Arabic" w:hAnsi="DIN Next LT Arabic"/>
          <w:b/>
          <w:bCs/>
          <w:color w:val="D25C0C"/>
          <w:sz w:val="20"/>
          <w:szCs w:val="20"/>
          <w:rtl/>
        </w:rPr>
        <w:t xml:space="preserve">[HA052]</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2300"/>
        <w:gridCol w:w="1900"/>
        <w:gridCol w:w="1998"/>
      </w:tblGrid>
      <w:tr>
        <w:trPr>
          <w:tblHeader/>
        </w:trPr>
        <w:tc>
          <w:tcPr>
            <w:tcW w:type="dxa" w:w="13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الشهر</w:t>
            </w:r>
          </w:p>
        </w:tc>
        <w:tc>
          <w:tcPr>
            <w:tcW w:type="dxa" w:w="21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فترة التنفيذ</w:t>
            </w:r>
          </w:p>
        </w:tc>
        <w:tc>
          <w:tcPr>
            <w:tcW w:type="dxa" w:w="23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المحطة المشمولة</w:t>
            </w:r>
          </w:p>
        </w:tc>
        <w:tc>
          <w:tcPr>
            <w:tcW w:type="dxa" w:w="19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الهدف التسويقي</w:t>
            </w:r>
          </w:p>
        </w:tc>
        <w:tc>
          <w:tcPr>
            <w:tcW w:type="dxa" w:w="199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الميزانية</w:t>
            </w:r>
          </w:p>
        </w:tc>
      </w:tr>
      <w:tr>
        <w:trPr>
          <w:cantSplit/>
        </w:trPr>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أغسطس 2026</w:t>
            </w:r>
          </w:p>
        </w:tc>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22 أغسطس 2026 (يوم واحد)</w:t>
            </w:r>
          </w:p>
        </w:tc>
        <w:tc>
          <w:tcPr>
            <w:tcW w:type="dxa" w:w="23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محطة حائل HA052</w:t>
            </w:r>
          </w:p>
        </w:tc>
        <w:tc>
          <w:tcPr>
            <w:tcW w:type="dxa" w:w="1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وعي بالعلامة التجارية</w:t>
            </w:r>
          </w:p>
        </w:tc>
        <w:tc>
          <w:tcPr>
            <w:tcW w:type="dxa" w:w="199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مخطط 10,000 ر.س · فعلي 7,002 ر.س</w:t>
            </w:r>
          </w:p>
        </w:tc>
      </w:tr>
    </w:tbl>
    <w:p>
      <w:pPr>
        <w:spacing w:after="120"/>
      </w:pPr>
    </w:p>
    <w:p>
      <w:pPr>
        <w:bidi/>
        <w:spacing w:after="170" w:before="0" w:line="300" w:lineRule="auto"/>
        <w:jc w:val="start"/>
      </w:pPr>
      <w:r>
        <w:rPr>
          <w:rFonts w:ascii="Tahoma" w:cs="Tahoma" w:eastAsia="Tahoma" w:hAnsi="Tahoma"/>
          <w:b w:val="false"/>
          <w:bCs w:val="false"/>
          <w:color w:val="8E9295"/>
          <w:sz w:val="16"/>
          <w:szCs w:val="16"/>
          <w:rtl/>
        </w:rPr>
        <w:t xml:space="preserve">القنوات: ميداني · إنستقرام · تيك توك · X · مؤثرين   |   الجهة المنفذة: مودة أمبون   |   التصنيف: الحملات التسويقية</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الأثر على المبيعات — من بيانات المعاملات</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1200"/>
        <w:gridCol w:w="1200"/>
        <w:gridCol w:w="1500"/>
        <w:gridCol w:w="1000"/>
        <w:gridCol w:w="1448"/>
      </w:tblGrid>
      <w:tr>
        <w:trPr>
          <w:tblHeader/>
        </w:trPr>
        <w:tc>
          <w:tcPr>
            <w:tcW w:type="dxa" w:w="25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الفترة</w:t>
            </w:r>
          </w:p>
        </w:tc>
        <w:tc>
          <w:tcPr>
            <w:tcW w:type="dxa" w:w="8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الأيام</w:t>
            </w:r>
          </w:p>
        </w:tc>
        <w:tc>
          <w:tcPr>
            <w:tcW w:type="dxa" w:w="12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عمليات/يوم</w:t>
            </w:r>
          </w:p>
        </w:tc>
        <w:tc>
          <w:tcPr>
            <w:tcW w:type="dxa" w:w="12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لترات/يوم</w:t>
            </w:r>
          </w:p>
        </w:tc>
        <w:tc>
          <w:tcPr>
            <w:tcW w:type="dxa" w:w="15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إيراد/يوم (ر.س)</w:t>
            </w:r>
          </w:p>
        </w:tc>
        <w:tc>
          <w:tcPr>
            <w:tcW w:type="dxa" w:w="10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الفاتورة</w:t>
            </w:r>
          </w:p>
        </w:tc>
        <w:tc>
          <w:tcPr>
            <w:tcW w:type="dxa" w:w="144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تغير الإيراد</w:t>
            </w:r>
          </w:p>
        </w:tc>
      </w:tr>
      <w:tr>
        <w:trPr>
          <w:cantSplit/>
        </w:trPr>
        <w:tc>
          <w:tcPr>
            <w:tcW w:type="dxa" w:w="2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الافتتاح والتهيئة (6–14 أغسطس)</w:t>
            </w:r>
          </w:p>
        </w:tc>
        <w:tc>
          <w:tcPr>
            <w:tcW w:type="dxa" w:w="8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9</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185</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4,813</w:t>
            </w:r>
          </w:p>
        </w:tc>
        <w:tc>
          <w:tcPr>
            <w:tcW w:type="dxa" w:w="1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10,682</w:t>
            </w:r>
          </w:p>
        </w:tc>
        <w:tc>
          <w:tcPr>
            <w:tcW w:type="dxa" w:w="10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57.7</w:t>
            </w:r>
          </w:p>
        </w:tc>
        <w:tc>
          <w:tcPr>
            <w:tcW w:type="dxa" w:w="14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w:t>
            </w:r>
          </w:p>
        </w:tc>
      </w:tr>
      <w:tr>
        <w:trPr>
          <w:cantSplit/>
        </w:trPr>
        <w:tc>
          <w:tcPr>
            <w:tcW w:type="dxa" w:w="2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أسبوع ما قبل الحملة (15–21 أغسطس)</w:t>
            </w:r>
          </w:p>
        </w:tc>
        <w:tc>
          <w:tcPr>
            <w:tcW w:type="dxa" w:w="8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7</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248</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5,983</w:t>
            </w:r>
          </w:p>
        </w:tc>
        <w:tc>
          <w:tcPr>
            <w:tcW w:type="dxa" w:w="1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13,231</w:t>
            </w:r>
          </w:p>
        </w:tc>
        <w:tc>
          <w:tcPr>
            <w:tcW w:type="dxa" w:w="10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53.4</w:t>
            </w:r>
          </w:p>
        </w:tc>
        <w:tc>
          <w:tcPr>
            <w:tcW w:type="dxa" w:w="14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الأساس</w:t>
            </w:r>
          </w:p>
        </w:tc>
      </w:tr>
      <w:tr>
        <w:trPr>
          <w:cantSplit/>
        </w:trPr>
        <w:tc>
          <w:tcPr>
            <w:tcW w:type="dxa" w:w="2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يوم الحملة (السبت 22 أغسطس)</w:t>
            </w:r>
          </w:p>
        </w:tc>
        <w:tc>
          <w:tcPr>
            <w:tcW w:type="dxa" w:w="8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335</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7,606</w:t>
            </w:r>
          </w:p>
        </w:tc>
        <w:tc>
          <w:tcPr>
            <w:tcW w:type="dxa" w:w="1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17,048</w:t>
            </w:r>
          </w:p>
        </w:tc>
        <w:tc>
          <w:tcPr>
            <w:tcW w:type="dxa" w:w="10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50.9</w:t>
            </w:r>
          </w:p>
        </w:tc>
        <w:tc>
          <w:tcPr>
            <w:tcW w:type="dxa" w:w="14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‎+29%‎</w:t>
            </w:r>
          </w:p>
        </w:tc>
      </w:tr>
      <w:tr>
        <w:trPr>
          <w:cantSplit/>
        </w:trPr>
        <w:tc>
          <w:tcPr>
            <w:tcW w:type="dxa" w:w="2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بعد الحملة (23–31 أغسطس)</w:t>
            </w:r>
          </w:p>
        </w:tc>
        <w:tc>
          <w:tcPr>
            <w:tcW w:type="dxa" w:w="8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9</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379</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9,197</w:t>
            </w:r>
          </w:p>
        </w:tc>
        <w:tc>
          <w:tcPr>
            <w:tcW w:type="dxa" w:w="1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20,409</w:t>
            </w:r>
          </w:p>
        </w:tc>
        <w:tc>
          <w:tcPr>
            <w:tcW w:type="dxa" w:w="10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53.8</w:t>
            </w:r>
          </w:p>
        </w:tc>
        <w:tc>
          <w:tcPr>
            <w:tcW w:type="dxa" w:w="14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‎+54%‎</w:t>
            </w:r>
          </w:p>
        </w:tc>
      </w:tr>
    </w:tbl>
    <w:p>
      <w:pPr>
        <w:bidi/>
        <w:spacing w:after="150" w:before="90" w:line="300" w:lineRule="auto"/>
        <w:jc w:val="start"/>
      </w:pPr>
      <w:r>
        <w:rPr>
          <w:rFonts w:ascii="Tahoma" w:cs="Tahoma" w:eastAsia="Tahoma" w:hAnsi="Tahoma"/>
          <w:b w:val="false"/>
          <w:bCs w:val="false"/>
          <w:color w:val="8E9295"/>
          <w:sz w:val="16"/>
          <w:szCs w:val="16"/>
          <w:rtl/>
        </w:rPr>
        <w:t xml:space="preserve">إيراد إضافي مقدَّر 68,419 ر.س مقابل تكلفة 7,002 ر.س — أي 9.8 أضعاف، الأعلى في الربع. إجمالي إيراد أغسطس 389 ألف ر.س (7,147 عملية · 175,575 لتراً). المحطة جديدة، فيتضمن النمو أثر التوسّع الطبيعي إلى جانب الحملة.</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المستهدفات وما تحقق منها</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1450"/>
        <w:gridCol w:w="1450"/>
        <w:gridCol w:w="1600"/>
        <w:gridCol w:w="1748"/>
      </w:tblGrid>
      <w:tr>
        <w:trPr>
          <w:tblHeader/>
        </w:trPr>
        <w:tc>
          <w:tcPr>
            <w:tcW w:type="dxa" w:w="34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المؤشر</w:t>
            </w:r>
          </w:p>
        </w:tc>
        <w:tc>
          <w:tcPr>
            <w:tcW w:type="dxa" w:w="14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المستهدف</w:t>
            </w:r>
          </w:p>
        </w:tc>
        <w:tc>
          <w:tcPr>
            <w:tcW w:type="dxa" w:w="14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المتحقق</w:t>
            </w:r>
          </w:p>
        </w:tc>
        <w:tc>
          <w:tcPr>
            <w:tcW w:type="dxa" w:w="16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نسبة الإنجاز</w:t>
            </w:r>
          </w:p>
        </w:tc>
        <w:tc>
          <w:tcPr>
            <w:tcW w:type="dxa" w:w="174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الحالة</w:t>
            </w:r>
          </w:p>
        </w:tc>
      </w:tr>
      <w:tr>
        <w:trPr>
          <w:cantSplit/>
        </w:trPr>
        <w:tc>
          <w:tcPr>
            <w:tcW w:type="dxa" w:w="34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الوصول / المشاهدات (مشاهدة)</w:t>
            </w:r>
          </w:p>
        </w:tc>
        <w:tc>
          <w:tcPr>
            <w:tcW w:type="dxa" w:w="1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100,000</w:t>
            </w:r>
          </w:p>
        </w:tc>
        <w:tc>
          <w:tcPr>
            <w:tcW w:type="dxa" w:w="1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632,353</w:t>
            </w:r>
          </w:p>
        </w:tc>
        <w:tc>
          <w:tcPr>
            <w:tcW w:type="dxa" w:w="1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‎632%‎</w:t>
            </w:r>
          </w:p>
        </w:tc>
        <w:tc>
          <w:tcPr>
            <w:tcW w:type="dxa" w:w="1748"/>
            <w:tcBorders>
              <w:top w:val="single" w:color="DEDFE1" w:sz="4"/>
              <w:left w:val="single" w:color="DEDFE1" w:sz="4"/>
              <w:bottom w:val="single" w:color="DEDFE1" w:sz="4"/>
              <w:right w:val="single" w:color="DEDFE1" w:sz="4"/>
            </w:tcBorders>
            <w:shd w:fill="E7F3EC"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1B7A4B"/>
                <w:sz w:val="18"/>
                <w:szCs w:val="18"/>
                <w:rtl/>
              </w:rPr>
              <w:t xml:space="preserve">✔ تحقق</w:t>
            </w:r>
          </w:p>
        </w:tc>
      </w:tr>
      <w:tr>
        <w:trPr>
          <w:cantSplit/>
        </w:trPr>
        <w:tc>
          <w:tcPr>
            <w:tcW w:type="dxa" w:w="34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معدل التفاعل (%)</w:t>
            </w:r>
          </w:p>
        </w:tc>
        <w:tc>
          <w:tcPr>
            <w:tcW w:type="dxa" w:w="14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‎5.0%‎</w:t>
            </w:r>
          </w:p>
        </w:tc>
        <w:tc>
          <w:tcPr>
            <w:tcW w:type="dxa" w:w="14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‎16.8%‎</w:t>
            </w:r>
          </w:p>
        </w:tc>
        <w:tc>
          <w:tcPr>
            <w:tcW w:type="dxa" w:w="16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‎336%‎</w:t>
            </w:r>
          </w:p>
        </w:tc>
        <w:tc>
          <w:tcPr>
            <w:tcW w:type="dxa" w:w="1748"/>
            <w:tcBorders>
              <w:top w:val="single" w:color="DEDFE1" w:sz="4"/>
              <w:left w:val="single" w:color="DEDFE1" w:sz="4"/>
              <w:bottom w:val="single" w:color="DEDFE1" w:sz="4"/>
              <w:right w:val="single" w:color="DEDFE1" w:sz="4"/>
            </w:tcBorders>
            <w:shd w:fill="E7F3EC"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1B7A4B"/>
                <w:sz w:val="18"/>
                <w:szCs w:val="18"/>
                <w:rtl/>
              </w:rPr>
              <w:t xml:space="preserve">✔ تحقق</w:t>
            </w:r>
          </w:p>
        </w:tc>
      </w:tr>
      <w:tr>
        <w:trPr>
          <w:cantSplit/>
        </w:trPr>
        <w:tc>
          <w:tcPr>
            <w:tcW w:type="dxa" w:w="34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الالتزام بالميزانية المخصصة (ر.س)</w:t>
            </w:r>
          </w:p>
        </w:tc>
        <w:tc>
          <w:tcPr>
            <w:tcW w:type="dxa" w:w="1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10,000</w:t>
            </w:r>
          </w:p>
        </w:tc>
        <w:tc>
          <w:tcPr>
            <w:tcW w:type="dxa" w:w="1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7,002</w:t>
            </w:r>
          </w:p>
        </w:tc>
        <w:tc>
          <w:tcPr>
            <w:tcW w:type="dxa" w:w="1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‎70%‎ استهلاك</w:t>
            </w:r>
          </w:p>
        </w:tc>
        <w:tc>
          <w:tcPr>
            <w:tcW w:type="dxa" w:w="1748"/>
            <w:tcBorders>
              <w:top w:val="single" w:color="DEDFE1" w:sz="4"/>
              <w:left w:val="single" w:color="DEDFE1" w:sz="4"/>
              <w:bottom w:val="single" w:color="DEDFE1" w:sz="4"/>
              <w:right w:val="single" w:color="DEDFE1" w:sz="4"/>
            </w:tcBorders>
            <w:shd w:fill="E7F3EC"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1B7A4B"/>
                <w:sz w:val="18"/>
                <w:szCs w:val="18"/>
                <w:rtl/>
              </w:rPr>
              <w:t xml:space="preserve">✔ ضمن المخصص</w:t>
            </w:r>
          </w:p>
        </w:tc>
      </w:tr>
    </w:tbl>
    <w:p>
      <w:pPr>
        <w:bidi/>
        <w:spacing w:after="150" w:before="90" w:line="300" w:lineRule="auto"/>
        <w:jc w:val="start"/>
      </w:pPr>
      <w:r>
        <w:rPr>
          <w:rFonts w:ascii="Tahoma" w:cs="Tahoma" w:eastAsia="Tahoma" w:hAnsi="Tahoma"/>
          <w:b w:val="false"/>
          <w:bCs w:val="false"/>
          <w:color w:val="8E9295"/>
          <w:sz w:val="16"/>
          <w:szCs w:val="16"/>
          <w:rtl/>
        </w:rPr>
        <w:t xml:space="preserve">معدل التفاعل الفعلي ‎16.8%‎ مقابل مخطط ‎5.0%‎ — نحو 106,267 تفاعلاً، الأعلى في الربع.</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الرسم البياني للحملة</w:t>
      </w:r>
    </w:p>
    <w:p>
      <w:pPr>
        <w:bidi/>
        <w:spacing w:after="50" w:before="60" w:line="240" w:lineRule="auto"/>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190750"/>
                    </a:xfrm>
                    <a:prstGeom prst="rect">
                      <a:avLst/>
                    </a:prstGeom>
                  </pic:spPr>
                </pic:pic>
              </a:graphicData>
            </a:graphic>
          </wp:inline>
        </w:drawing>
      </w:r>
    </w:p>
    <w:p>
      <w:pPr>
        <w:bidi/>
        <w:spacing w:after="170" w:before="0" w:line="300" w:lineRule="auto"/>
        <w:jc w:val="center"/>
      </w:pPr>
      <w:r>
        <w:rPr>
          <w:rFonts w:ascii="Tahoma" w:cs="Tahoma" w:eastAsia="Tahoma" w:hAnsi="Tahoma"/>
          <w:b w:val="false"/>
          <w:bCs w:val="false"/>
          <w:color w:val="8E9295"/>
          <w:sz w:val="16"/>
          <w:szCs w:val="16"/>
          <w:rtl/>
        </w:rPr>
        <w:t xml:space="preserve">الإيراد اليومي عبر أغسطس وموقع الحملة منه. المصدر: بيانات معاملات المحطة.</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الأداء الشهري — قبل الحملة · شهرها · بعدها</w:t>
      </w:r>
    </w:p>
    <w:p>
      <w:pPr>
        <w:bidi/>
        <w:spacing w:after="110" w:before="0" w:line="300" w:lineRule="auto"/>
        <w:jc w:val="start"/>
      </w:pPr>
      <w:r>
        <w:rPr>
          <w:rFonts w:ascii="Tahoma" w:cs="Tahoma" w:eastAsia="Tahoma" w:hAnsi="Tahoma"/>
          <w:b w:val="false"/>
          <w:bCs w:val="false"/>
          <w:color w:val="8E9295"/>
          <w:sz w:val="16"/>
          <w:szCs w:val="16"/>
          <w:rtl/>
        </w:rPr>
        <w:t xml:space="preserve">المحطة افتُتحت في 6 أغسطس، فلا يوجد لها شهر «قبل الحملة» — المقارنة بين شهر الافتتاح والحملة (أغسطس) وأول شهر كامل بعدهما (سبتمبر). ارتفع متوسط الإيراد اليومي ‎29.6%‎، والنمو كله من عدد الفواتير (‎+33.6%‎) لا من قيمة الفاتورة التي تراجعت من 54.5 إلى 52.9 ر.س.</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98"/>
        <w:gridCol w:w="650"/>
        <w:gridCol w:w="1350"/>
        <w:gridCol w:w="1250"/>
        <w:gridCol w:w="1050"/>
        <w:gridCol w:w="850"/>
        <w:gridCol w:w="850"/>
        <w:gridCol w:w="950"/>
      </w:tblGrid>
      <w:tr>
        <w:trPr>
          <w:tblHeader/>
        </w:trPr>
        <w:tc>
          <w:tcPr>
            <w:tcW w:type="dxa" w:w="269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الشهر والمرحلة</w:t>
            </w:r>
          </w:p>
        </w:tc>
        <w:tc>
          <w:tcPr>
            <w:tcW w:type="dxa" w:w="6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الأيام</w:t>
            </w:r>
          </w:p>
        </w:tc>
        <w:tc>
          <w:tcPr>
            <w:tcW w:type="dxa" w:w="13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الإيراد (ر.س)</w:t>
            </w:r>
          </w:p>
        </w:tc>
        <w:tc>
          <w:tcPr>
            <w:tcW w:type="dxa" w:w="12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متوسط يومي</w:t>
            </w:r>
          </w:p>
        </w:tc>
        <w:tc>
          <w:tcPr>
            <w:tcW w:type="dxa" w:w="10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التغير</w:t>
            </w:r>
          </w:p>
        </w:tc>
        <w:tc>
          <w:tcPr>
            <w:tcW w:type="dxa" w:w="8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لتر/يوم</w:t>
            </w:r>
          </w:p>
        </w:tc>
        <w:tc>
          <w:tcPr>
            <w:tcW w:type="dxa" w:w="8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فاتورة/يوم</w:t>
            </w:r>
          </w:p>
        </w:tc>
        <w:tc>
          <w:tcPr>
            <w:tcW w:type="dxa" w:w="9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الفاتورة</w:t>
            </w:r>
          </w:p>
        </w:tc>
      </w:tr>
      <w:tr>
        <w:trPr>
          <w:cantSplit/>
        </w:trPr>
        <w:tc>
          <w:tcPr>
            <w:tcW w:type="dxa" w:w="269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أغسطس 2026 (من الافتتاح 6 أغسطس) — شهر الافتتاح والحملة (22 أغسطس)</w:t>
            </w:r>
          </w:p>
        </w:tc>
        <w:tc>
          <w:tcPr>
            <w:tcW w:type="dxa" w:w="6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25</w:t>
            </w:r>
          </w:p>
        </w:tc>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389,261</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15,570</w:t>
            </w:r>
          </w:p>
        </w:tc>
        <w:tc>
          <w:tcPr>
            <w:tcW w:type="dxa" w:w="10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w:t>
            </w:r>
          </w:p>
        </w:tc>
        <w:tc>
          <w:tcPr>
            <w:tcW w:type="dxa" w:w="8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7,018</w:t>
            </w:r>
          </w:p>
        </w:tc>
        <w:tc>
          <w:tcPr>
            <w:tcW w:type="dxa" w:w="8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286</w:t>
            </w:r>
          </w:p>
        </w:tc>
        <w:tc>
          <w:tcPr>
            <w:tcW w:type="dxa" w:w="9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54.5</w:t>
            </w:r>
          </w:p>
        </w:tc>
      </w:tr>
      <w:tr>
        <w:trPr>
          <w:cantSplit/>
        </w:trPr>
        <w:tc>
          <w:tcPr>
            <w:tcW w:type="dxa" w:w="269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سبتمبر 2026 — أول 27 يوماً — بعد الحملة</w:t>
            </w:r>
          </w:p>
        </w:tc>
        <w:tc>
          <w:tcPr>
            <w:tcW w:type="dxa" w:w="6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27</w:t>
            </w:r>
          </w:p>
        </w:tc>
        <w:tc>
          <w:tcPr>
            <w:tcW w:type="dxa" w:w="13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544,913</w:t>
            </w:r>
          </w:p>
        </w:tc>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20,182</w:t>
            </w:r>
          </w:p>
        </w:tc>
        <w:tc>
          <w:tcPr>
            <w:tcW w:type="dxa" w:w="10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‎+29.6%‎</w:t>
            </w:r>
          </w:p>
        </w:tc>
        <w:tc>
          <w:tcPr>
            <w:tcW w:type="dxa" w:w="8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9,085</w:t>
            </w:r>
          </w:p>
        </w:tc>
        <w:tc>
          <w:tcPr>
            <w:tcW w:type="dxa" w:w="8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382</w:t>
            </w:r>
          </w:p>
        </w:tc>
        <w:tc>
          <w:tcPr>
            <w:tcW w:type="dxa" w:w="9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52.9</w:t>
            </w:r>
          </w:p>
        </w:tc>
      </w:tr>
    </w:tbl>
    <w:p>
      <w:pPr>
        <w:spacing w:after="120"/>
      </w:pPr>
    </w:p>
    <w:p>
      <w:pPr>
        <w:bidi/>
        <w:spacing w:after="50" w:before="60" w:line="240" w:lineRule="auto"/>
        <w:jc w:val="center"/>
      </w:pPr>
      <w:r>
        <w:drawing>
          <wp:inline distT="0" distB="0" distL="0" distR="0">
            <wp:extent cx="5905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133600"/>
                    </a:xfrm>
                    <a:prstGeom prst="rect">
                      <a:avLst/>
                    </a:prstGeom>
                  </pic:spPr>
                </pic:pic>
              </a:graphicData>
            </a:graphic>
          </wp:inline>
        </w:drawing>
      </w:r>
    </w:p>
    <w:p>
      <w:pPr>
        <w:bidi/>
        <w:spacing w:after="170" w:before="0" w:line="300" w:lineRule="auto"/>
        <w:jc w:val="center"/>
      </w:pPr>
      <w:r>
        <w:rPr>
          <w:rFonts w:ascii="Tahoma" w:cs="Tahoma" w:eastAsia="Tahoma" w:hAnsi="Tahoma"/>
          <w:b w:val="false"/>
          <w:bCs w:val="false"/>
          <w:color w:val="8E9295"/>
          <w:sz w:val="16"/>
          <w:szCs w:val="16"/>
          <w:rtl/>
        </w:rPr>
        <w:t xml:space="preserve">مسار الإيراد اليومي أسبوعياً من الافتتاح حتى نهاية سبتمبر. المصدر: بيانات معاملات المحطة.</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ما لم يتحقق في هذه الحملة · المبرر والإجراء التصحيحي</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1350"/>
        <w:gridCol w:w="2599"/>
        <w:gridCol w:w="2449"/>
      </w:tblGrid>
      <w:tr>
        <w:trPr>
          <w:tblHeader/>
        </w:trPr>
        <w:tc>
          <w:tcPr>
            <w:tcW w:type="dxa" w:w="19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البند</w:t>
            </w:r>
          </w:p>
        </w:tc>
        <w:tc>
          <w:tcPr>
            <w:tcW w:type="dxa" w:w="13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المستهدف</w:t>
            </w:r>
          </w:p>
        </w:tc>
        <w:tc>
          <w:tcPr>
            <w:tcW w:type="dxa" w:w="13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المتحقق</w:t>
            </w:r>
          </w:p>
        </w:tc>
        <w:tc>
          <w:tcPr>
            <w:tcW w:type="dxa" w:w="2599"/>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المبرر</w:t>
            </w:r>
          </w:p>
        </w:tc>
        <w:tc>
          <w:tcPr>
            <w:tcW w:type="dxa" w:w="2449"/>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الإجراء التصحيحي</w:t>
            </w:r>
          </w:p>
        </w:tc>
      </w:tr>
      <w:tr>
        <w:trPr>
          <w:cantSplit/>
        </w:trPr>
        <w:tc>
          <w:tcPr>
            <w:tcW w:type="dxa" w:w="1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التصاريح والترتيبات الأمنية المسبقة</w:t>
            </w:r>
          </w:p>
        </w:tc>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تصريح + تعاقد أمني</w:t>
            </w:r>
          </w:p>
        </w:tc>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لم يُستوفَ</w:t>
            </w:r>
          </w:p>
        </w:tc>
        <w:tc>
          <w:tcPr>
            <w:tcW w:type="dxa" w:w="259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لم يُصدر التصريح ولم يُتعاقد مع شركة حراسات قبل التنفيذ</w:t>
            </w:r>
          </w:p>
        </w:tc>
        <w:tc>
          <w:tcPr>
            <w:tcW w:type="dxa" w:w="244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قائمة تحقق إلزامية لا تُعتمد الحملة قبل استيفائها</w:t>
            </w:r>
          </w:p>
        </w:tc>
      </w:tr>
    </w:tbl>
    <w:p>
      <w:pPr>
        <w:spacing w:after="60"/>
      </w:pPr>
    </w:p>
    <w:p>
      <w:pPr>
        <w:spacing w:after="60"/>
      </w:pP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cantSplit/>
        </w:trPr>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1B7A4B"/>
                <w:sz w:val="19"/>
                <w:szCs w:val="19"/>
                <w:rtl/>
              </w:rPr>
              <w:t xml:space="preserve">أبرز النتائج</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تجاوز مستهدف الوصول بمقدار 532,353 مشاهدة — ‎632%‎ من المستهدف</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معدل تفاعل ‎16.8%‎ مقابل مخطط ‎5.0%‎ — نحو 106,267 تفاعلاً</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توفير 2,998 ر.س من الميزانية المخصصة (استهلاك ‎70%‎)</w:t>
            </w:r>
          </w:p>
        </w:tc>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C6486B"/>
                <w:sz w:val="19"/>
                <w:szCs w:val="19"/>
                <w:rtl/>
              </w:rPr>
              <w:t xml:space="preserve">التحديات</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عدم إصدار تصريح الفعالية مسبقاً</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عدم التعاقد المسبق مع شركة حراسات أمنية</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ضعف التنسيق المسبق مع مدير المحطة</w:t>
            </w:r>
          </w:p>
        </w:tc>
      </w:tr>
      <w:tr>
        <w:trPr>
          <w:cantSplit/>
        </w:trPr>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D25C0C"/>
                <w:sz w:val="19"/>
                <w:szCs w:val="19"/>
                <w:rtl/>
              </w:rPr>
              <w:t xml:space="preserve">الفرص الممكن الاستفادة منها</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اعتماد الحملة كنموذج قياسي لافتتاحات المحطات الجديدة</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توجيه الوفر في الميزانية لتوسيع التغطية بالمؤثرين</w:t>
            </w:r>
          </w:p>
        </w:tc>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66686A"/>
                <w:sz w:val="19"/>
                <w:szCs w:val="19"/>
                <w:rtl/>
              </w:rPr>
              <w:t xml:space="preserve">التوصيات</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التنسيق والتنظيم المسبق مع مدير المحطة</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إدراج تصريح الفعالية والتعاقد الأمني ضمن قائمة تحقق إلزامية قبل الافتتاح</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تفعيل قياس الفرص التجارية والعملاء المحوّلين</w:t>
            </w:r>
          </w:p>
        </w:tc>
      </w:tr>
    </w:tbl>
    <w:p>
      <w:pPr>
        <w:keepNext/>
        <w:pageBreakBefore/>
        <w:pBdr>
          <w:bottom w:val="single" w:color="F3741F" w:sz="10" w:space="6"/>
        </w:pBdr>
        <w:bidi/>
        <w:spacing w:after="110" w:before="0" w:line="300" w:lineRule="auto"/>
        <w:jc w:val="start"/>
      </w:pPr>
      <w:r>
        <w:rPr>
          <w:rFonts w:ascii="DIN Next LT Arabic" w:cs="DIN Next LT Arabic" w:eastAsia="DIN Next LT Arabic" w:hAnsi="DIN Next LT Arabic"/>
          <w:b/>
          <w:bCs/>
          <w:color w:val="2B2E30"/>
          <w:sz w:val="26"/>
          <w:szCs w:val="26"/>
          <w:rtl/>
        </w:rPr>
        <w:t xml:space="preserve">04 · افتتاح محطة درب — الروضة  </w:t>
      </w:r>
      <w:r>
        <w:rPr>
          <w:rFonts w:ascii="DIN Next LT Arabic" w:cs="DIN Next LT Arabic" w:eastAsia="DIN Next LT Arabic" w:hAnsi="DIN Next LT Arabic"/>
          <w:b/>
          <w:bCs/>
          <w:color w:val="D25C0C"/>
          <w:sz w:val="20"/>
          <w:szCs w:val="20"/>
          <w:rtl/>
        </w:rPr>
        <w:t xml:space="preserve">[MK040]</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2300"/>
        <w:gridCol w:w="1900"/>
        <w:gridCol w:w="1998"/>
      </w:tblGrid>
      <w:tr>
        <w:trPr>
          <w:tblHeader/>
        </w:trPr>
        <w:tc>
          <w:tcPr>
            <w:tcW w:type="dxa" w:w="13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الشهر</w:t>
            </w:r>
          </w:p>
        </w:tc>
        <w:tc>
          <w:tcPr>
            <w:tcW w:type="dxa" w:w="21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فترة التنفيذ</w:t>
            </w:r>
          </w:p>
        </w:tc>
        <w:tc>
          <w:tcPr>
            <w:tcW w:type="dxa" w:w="23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المحطة المشمولة</w:t>
            </w:r>
          </w:p>
        </w:tc>
        <w:tc>
          <w:tcPr>
            <w:tcW w:type="dxa" w:w="19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الهدف التسويقي</w:t>
            </w:r>
          </w:p>
        </w:tc>
        <w:tc>
          <w:tcPr>
            <w:tcW w:type="dxa" w:w="199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الميزانية</w:t>
            </w:r>
          </w:p>
        </w:tc>
      </w:tr>
      <w:tr>
        <w:trPr>
          <w:cantSplit/>
        </w:trPr>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أغسطس 2026</w:t>
            </w:r>
          </w:p>
        </w:tc>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26 – 29 أغسطس 2026 (3 أيام)</w:t>
            </w:r>
          </w:p>
        </w:tc>
        <w:tc>
          <w:tcPr>
            <w:tcW w:type="dxa" w:w="23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محطة الروضة MK040</w:t>
            </w:r>
          </w:p>
        </w:tc>
        <w:tc>
          <w:tcPr>
            <w:tcW w:type="dxa" w:w="1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وعي بالعلامة التجارية</w:t>
            </w:r>
          </w:p>
        </w:tc>
        <w:tc>
          <w:tcPr>
            <w:tcW w:type="dxa" w:w="199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مخطط 5,000 ر.س · فعلي 4,140 ر.س</w:t>
            </w:r>
          </w:p>
        </w:tc>
      </w:tr>
    </w:tbl>
    <w:p>
      <w:pPr>
        <w:spacing w:after="120"/>
      </w:pPr>
    </w:p>
    <w:p>
      <w:pPr>
        <w:bidi/>
        <w:spacing w:after="170" w:before="0" w:line="300" w:lineRule="auto"/>
        <w:jc w:val="start"/>
      </w:pPr>
      <w:r>
        <w:rPr>
          <w:rFonts w:ascii="Tahoma" w:cs="Tahoma" w:eastAsia="Tahoma" w:hAnsi="Tahoma"/>
          <w:b w:val="false"/>
          <w:bCs w:val="false"/>
          <w:color w:val="8E9295"/>
          <w:sz w:val="16"/>
          <w:szCs w:val="16"/>
          <w:rtl/>
        </w:rPr>
        <w:t xml:space="preserve">القنوات: ميداني · إنستقرام · تيك توك · X · مؤثرين   |   الجهة المنفذة: مودة أمبون   |   التصنيف: الحملات التسويقية</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الأثر على المبيعات — من بيانات المعاملات</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1200"/>
        <w:gridCol w:w="1200"/>
        <w:gridCol w:w="1500"/>
        <w:gridCol w:w="1000"/>
        <w:gridCol w:w="1448"/>
      </w:tblGrid>
      <w:tr>
        <w:trPr>
          <w:tblHeader/>
        </w:trPr>
        <w:tc>
          <w:tcPr>
            <w:tcW w:type="dxa" w:w="25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الفترة</w:t>
            </w:r>
          </w:p>
        </w:tc>
        <w:tc>
          <w:tcPr>
            <w:tcW w:type="dxa" w:w="8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الأيام</w:t>
            </w:r>
          </w:p>
        </w:tc>
        <w:tc>
          <w:tcPr>
            <w:tcW w:type="dxa" w:w="12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عمليات/يوم</w:t>
            </w:r>
          </w:p>
        </w:tc>
        <w:tc>
          <w:tcPr>
            <w:tcW w:type="dxa" w:w="12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لترات/يوم</w:t>
            </w:r>
          </w:p>
        </w:tc>
        <w:tc>
          <w:tcPr>
            <w:tcW w:type="dxa" w:w="15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إيراد/يوم (ر.س)</w:t>
            </w:r>
          </w:p>
        </w:tc>
        <w:tc>
          <w:tcPr>
            <w:tcW w:type="dxa" w:w="10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الفاتورة</w:t>
            </w:r>
          </w:p>
        </w:tc>
        <w:tc>
          <w:tcPr>
            <w:tcW w:type="dxa" w:w="144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تغير الإيراد</w:t>
            </w:r>
          </w:p>
        </w:tc>
      </w:tr>
      <w:tr>
        <w:trPr>
          <w:cantSplit/>
        </w:trPr>
        <w:tc>
          <w:tcPr>
            <w:tcW w:type="dxa" w:w="2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التشغيل التجريبي (15–25 أغسطس)</w:t>
            </w:r>
          </w:p>
        </w:tc>
        <w:tc>
          <w:tcPr>
            <w:tcW w:type="dxa" w:w="8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11</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137</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3,871</w:t>
            </w:r>
          </w:p>
        </w:tc>
        <w:tc>
          <w:tcPr>
            <w:tcW w:type="dxa" w:w="1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8,625</w:t>
            </w:r>
          </w:p>
        </w:tc>
        <w:tc>
          <w:tcPr>
            <w:tcW w:type="dxa" w:w="10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62.8</w:t>
            </w:r>
          </w:p>
        </w:tc>
        <w:tc>
          <w:tcPr>
            <w:tcW w:type="dxa" w:w="14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الأساس</w:t>
            </w:r>
          </w:p>
        </w:tc>
      </w:tr>
      <w:tr>
        <w:trPr>
          <w:cantSplit/>
        </w:trPr>
        <w:tc>
          <w:tcPr>
            <w:tcW w:type="dxa" w:w="2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يوم الافتتاح (الأربعاء 26 أغسطس)</w:t>
            </w:r>
          </w:p>
        </w:tc>
        <w:tc>
          <w:tcPr>
            <w:tcW w:type="dxa" w:w="8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212</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5,978</w:t>
            </w:r>
          </w:p>
        </w:tc>
        <w:tc>
          <w:tcPr>
            <w:tcW w:type="dxa" w:w="1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13,211</w:t>
            </w:r>
          </w:p>
        </w:tc>
        <w:tc>
          <w:tcPr>
            <w:tcW w:type="dxa" w:w="10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62.3</w:t>
            </w:r>
          </w:p>
        </w:tc>
        <w:tc>
          <w:tcPr>
            <w:tcW w:type="dxa" w:w="14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‎+53%‎</w:t>
            </w:r>
          </w:p>
        </w:tc>
      </w:tr>
      <w:tr>
        <w:trPr>
          <w:cantSplit/>
        </w:trPr>
        <w:tc>
          <w:tcPr>
            <w:tcW w:type="dxa" w:w="2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بعد الافتتاح (27–31 أغسطس)</w:t>
            </w:r>
          </w:p>
        </w:tc>
        <w:tc>
          <w:tcPr>
            <w:tcW w:type="dxa" w:w="8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5</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210</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6,158</w:t>
            </w:r>
          </w:p>
        </w:tc>
        <w:tc>
          <w:tcPr>
            <w:tcW w:type="dxa" w:w="1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13,720</w:t>
            </w:r>
          </w:p>
        </w:tc>
        <w:tc>
          <w:tcPr>
            <w:tcW w:type="dxa" w:w="10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65.3</w:t>
            </w:r>
          </w:p>
        </w:tc>
        <w:tc>
          <w:tcPr>
            <w:tcW w:type="dxa" w:w="14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‎+59%‎</w:t>
            </w:r>
          </w:p>
        </w:tc>
      </w:tr>
    </w:tbl>
    <w:p>
      <w:pPr>
        <w:bidi/>
        <w:spacing w:after="150" w:before="90" w:line="300" w:lineRule="auto"/>
        <w:jc w:val="start"/>
      </w:pPr>
      <w:r>
        <w:rPr>
          <w:rFonts w:ascii="Tahoma" w:cs="Tahoma" w:eastAsia="Tahoma" w:hAnsi="Tahoma"/>
          <w:b w:val="false"/>
          <w:bCs w:val="false"/>
          <w:color w:val="8E9295"/>
          <w:sz w:val="16"/>
          <w:szCs w:val="16"/>
          <w:rtl/>
        </w:rPr>
        <w:t xml:space="preserve">إيراد إضافي مقدَّر 30,061 ر.س مقابل تكلفة 4,140 ر.س — أي 7.3 أضعاف. خط الأساس هو التشغيل التجريبي، فيعكس النمو أثر الإعلان إلى جانب التوسّع الطبيعي لمحطة جديدة.</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المستهدفات وما تحقق منها</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1450"/>
        <w:gridCol w:w="1450"/>
        <w:gridCol w:w="1600"/>
        <w:gridCol w:w="1748"/>
      </w:tblGrid>
      <w:tr>
        <w:trPr>
          <w:tblHeader/>
        </w:trPr>
        <w:tc>
          <w:tcPr>
            <w:tcW w:type="dxa" w:w="34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المؤشر</w:t>
            </w:r>
          </w:p>
        </w:tc>
        <w:tc>
          <w:tcPr>
            <w:tcW w:type="dxa" w:w="14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المستهدف</w:t>
            </w:r>
          </w:p>
        </w:tc>
        <w:tc>
          <w:tcPr>
            <w:tcW w:type="dxa" w:w="14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المتحقق</w:t>
            </w:r>
          </w:p>
        </w:tc>
        <w:tc>
          <w:tcPr>
            <w:tcW w:type="dxa" w:w="16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نسبة الإنجاز</w:t>
            </w:r>
          </w:p>
        </w:tc>
        <w:tc>
          <w:tcPr>
            <w:tcW w:type="dxa" w:w="174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الحالة</w:t>
            </w:r>
          </w:p>
        </w:tc>
      </w:tr>
      <w:tr>
        <w:trPr>
          <w:cantSplit/>
        </w:trPr>
        <w:tc>
          <w:tcPr>
            <w:tcW w:type="dxa" w:w="34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الوصول / المشاهدات (مشاهدة)</w:t>
            </w:r>
          </w:p>
        </w:tc>
        <w:tc>
          <w:tcPr>
            <w:tcW w:type="dxa" w:w="1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100,000</w:t>
            </w:r>
          </w:p>
        </w:tc>
        <w:tc>
          <w:tcPr>
            <w:tcW w:type="dxa" w:w="1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269,812</w:t>
            </w:r>
          </w:p>
        </w:tc>
        <w:tc>
          <w:tcPr>
            <w:tcW w:type="dxa" w:w="1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‎270%‎</w:t>
            </w:r>
          </w:p>
        </w:tc>
        <w:tc>
          <w:tcPr>
            <w:tcW w:type="dxa" w:w="1748"/>
            <w:tcBorders>
              <w:top w:val="single" w:color="DEDFE1" w:sz="4"/>
              <w:left w:val="single" w:color="DEDFE1" w:sz="4"/>
              <w:bottom w:val="single" w:color="DEDFE1" w:sz="4"/>
              <w:right w:val="single" w:color="DEDFE1" w:sz="4"/>
            </w:tcBorders>
            <w:shd w:fill="E7F3EC"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1B7A4B"/>
                <w:sz w:val="18"/>
                <w:szCs w:val="18"/>
                <w:rtl/>
              </w:rPr>
              <w:t xml:space="preserve">✔ تحقق</w:t>
            </w:r>
          </w:p>
        </w:tc>
      </w:tr>
      <w:tr>
        <w:trPr>
          <w:cantSplit/>
        </w:trPr>
        <w:tc>
          <w:tcPr>
            <w:tcW w:type="dxa" w:w="34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معدل التفاعل (%)</w:t>
            </w:r>
          </w:p>
        </w:tc>
        <w:tc>
          <w:tcPr>
            <w:tcW w:type="dxa" w:w="14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‎1.0%‎</w:t>
            </w:r>
          </w:p>
        </w:tc>
        <w:tc>
          <w:tcPr>
            <w:tcW w:type="dxa" w:w="14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‎7.0%‎</w:t>
            </w:r>
          </w:p>
        </w:tc>
        <w:tc>
          <w:tcPr>
            <w:tcW w:type="dxa" w:w="16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‎700%‎</w:t>
            </w:r>
          </w:p>
        </w:tc>
        <w:tc>
          <w:tcPr>
            <w:tcW w:type="dxa" w:w="1748"/>
            <w:tcBorders>
              <w:top w:val="single" w:color="DEDFE1" w:sz="4"/>
              <w:left w:val="single" w:color="DEDFE1" w:sz="4"/>
              <w:bottom w:val="single" w:color="DEDFE1" w:sz="4"/>
              <w:right w:val="single" w:color="DEDFE1" w:sz="4"/>
            </w:tcBorders>
            <w:shd w:fill="E7F3EC"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1B7A4B"/>
                <w:sz w:val="18"/>
                <w:szCs w:val="18"/>
                <w:rtl/>
              </w:rPr>
              <w:t xml:space="preserve">✔ تحقق</w:t>
            </w:r>
          </w:p>
        </w:tc>
      </w:tr>
      <w:tr>
        <w:trPr>
          <w:cantSplit/>
        </w:trPr>
        <w:tc>
          <w:tcPr>
            <w:tcW w:type="dxa" w:w="34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الالتزام بالميزانية المخصصة (ر.س)</w:t>
            </w:r>
          </w:p>
        </w:tc>
        <w:tc>
          <w:tcPr>
            <w:tcW w:type="dxa" w:w="1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5,000</w:t>
            </w:r>
          </w:p>
        </w:tc>
        <w:tc>
          <w:tcPr>
            <w:tcW w:type="dxa" w:w="1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4,140</w:t>
            </w:r>
          </w:p>
        </w:tc>
        <w:tc>
          <w:tcPr>
            <w:tcW w:type="dxa" w:w="1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‎83%‎ استهلاك</w:t>
            </w:r>
          </w:p>
        </w:tc>
        <w:tc>
          <w:tcPr>
            <w:tcW w:type="dxa" w:w="1748"/>
            <w:tcBorders>
              <w:top w:val="single" w:color="DEDFE1" w:sz="4"/>
              <w:left w:val="single" w:color="DEDFE1" w:sz="4"/>
              <w:bottom w:val="single" w:color="DEDFE1" w:sz="4"/>
              <w:right w:val="single" w:color="DEDFE1" w:sz="4"/>
            </w:tcBorders>
            <w:shd w:fill="E7F3EC"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1B7A4B"/>
                <w:sz w:val="18"/>
                <w:szCs w:val="18"/>
                <w:rtl/>
              </w:rPr>
              <w:t xml:space="preserve">✔ ضمن المخصص</w:t>
            </w:r>
          </w:p>
        </w:tc>
      </w:tr>
    </w:tbl>
    <w:p>
      <w:pPr>
        <w:bidi/>
        <w:spacing w:after="150" w:before="90" w:line="300" w:lineRule="auto"/>
        <w:jc w:val="start"/>
      </w:pPr>
      <w:r>
        <w:rPr>
          <w:rFonts w:ascii="Tahoma" w:cs="Tahoma" w:eastAsia="Tahoma" w:hAnsi="Tahoma"/>
          <w:b w:val="false"/>
          <w:bCs w:val="false"/>
          <w:color w:val="8E9295"/>
          <w:sz w:val="16"/>
          <w:szCs w:val="16"/>
          <w:rtl/>
        </w:rPr>
        <w:t xml:space="preserve">معدل التفاعل الفعلي ‎7.0%‎ مقابل مخطط ‎1.0%‎ — نحو 18,887 تفاعلاً. الحملة الوحيدة الممتدة على ثلاثة أيام.</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الرسم البياني للحملة</w:t>
      </w:r>
    </w:p>
    <w:p>
      <w:pPr>
        <w:bidi/>
        <w:spacing w:after="50" w:before="60" w:line="240" w:lineRule="auto"/>
        <w:jc w:val="center"/>
      </w:pPr>
      <w:r>
        <w:drawing>
          <wp:inline distT="0" distB="0" distL="0" distR="0">
            <wp:extent cx="5905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133600"/>
                    </a:xfrm>
                    <a:prstGeom prst="rect">
                      <a:avLst/>
                    </a:prstGeom>
                  </pic:spPr>
                </pic:pic>
              </a:graphicData>
            </a:graphic>
          </wp:inline>
        </w:drawing>
      </w:r>
    </w:p>
    <w:p>
      <w:pPr>
        <w:bidi/>
        <w:spacing w:after="170" w:before="0" w:line="300" w:lineRule="auto"/>
        <w:jc w:val="center"/>
      </w:pPr>
      <w:r>
        <w:rPr>
          <w:rFonts w:ascii="Tahoma" w:cs="Tahoma" w:eastAsia="Tahoma" w:hAnsi="Tahoma"/>
          <w:b w:val="false"/>
          <w:bCs w:val="false"/>
          <w:color w:val="8E9295"/>
          <w:sz w:val="16"/>
          <w:szCs w:val="16"/>
          <w:rtl/>
        </w:rPr>
        <w:t xml:space="preserve">عمليات يوم الافتتاح ساعة بساعة — 26 أغسطس 2026. المصدر: بيانات معاملات المحطة.</w:t>
      </w:r>
    </w:p>
    <w:p>
      <w:pPr>
        <w:bidi/>
        <w:spacing w:after="50" w:before="60" w:line="240" w:lineRule="auto"/>
        <w:jc w:val="center"/>
      </w:pPr>
      <w:r>
        <w:drawing>
          <wp:inline distT="0" distB="0" distL="0" distR="0">
            <wp:extent cx="5905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133600"/>
                    </a:xfrm>
                    <a:prstGeom prst="rect">
                      <a:avLst/>
                    </a:prstGeom>
                  </pic:spPr>
                </pic:pic>
              </a:graphicData>
            </a:graphic>
          </wp:inline>
        </w:drawing>
      </w:r>
    </w:p>
    <w:p>
      <w:pPr>
        <w:bidi/>
        <w:spacing w:after="170" w:before="0" w:line="300" w:lineRule="auto"/>
        <w:jc w:val="center"/>
      </w:pPr>
      <w:r>
        <w:rPr>
          <w:rFonts w:ascii="Tahoma" w:cs="Tahoma" w:eastAsia="Tahoma" w:hAnsi="Tahoma"/>
          <w:b w:val="false"/>
          <w:bCs w:val="false"/>
          <w:color w:val="8E9295"/>
          <w:sz w:val="16"/>
          <w:szCs w:val="16"/>
          <w:rtl/>
        </w:rPr>
        <w:t xml:space="preserve">الإيراد اليومي حسب مرحلتي الافتتاح (15 – 31 أغسطس). المصدر: بيانات معاملات المحطة.</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الأداء الشهري — قبل الحملة · شهرها · بعدها</w:t>
      </w:r>
    </w:p>
    <w:p>
      <w:pPr>
        <w:bidi/>
        <w:spacing w:after="110" w:before="0" w:line="300" w:lineRule="auto"/>
        <w:jc w:val="start"/>
      </w:pPr>
      <w:r>
        <w:rPr>
          <w:rFonts w:ascii="Tahoma" w:cs="Tahoma" w:eastAsia="Tahoma" w:hAnsi="Tahoma"/>
          <w:b w:val="false"/>
          <w:bCs w:val="false"/>
          <w:color w:val="8E9295"/>
          <w:sz w:val="16"/>
          <w:szCs w:val="16"/>
          <w:rtl/>
        </w:rPr>
        <w:t xml:space="preserve">المحطة بدأت التشغيل التجريبي في 15 أغسطس وافتُتحت في 26 أغسطس، فلا يوجد لها شهر «قبل الحملة» — المقارنة بين شهر الافتتاح (أغسطس الجزئي) وأول شهر كامل بعده (سبتمبر). ارتفع متوسط الإيراد اليومي ‎65.7%‎، وعلى الأيام نفسها من الشهرين (16 إلى 27) الفارق ‎86.2%‎.</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98"/>
        <w:gridCol w:w="650"/>
        <w:gridCol w:w="1350"/>
        <w:gridCol w:w="1250"/>
        <w:gridCol w:w="1050"/>
        <w:gridCol w:w="850"/>
        <w:gridCol w:w="850"/>
        <w:gridCol w:w="950"/>
      </w:tblGrid>
      <w:tr>
        <w:trPr>
          <w:tblHeader/>
        </w:trPr>
        <w:tc>
          <w:tcPr>
            <w:tcW w:type="dxa" w:w="269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الشهر والمرحلة</w:t>
            </w:r>
          </w:p>
        </w:tc>
        <w:tc>
          <w:tcPr>
            <w:tcW w:type="dxa" w:w="6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الأيام</w:t>
            </w:r>
          </w:p>
        </w:tc>
        <w:tc>
          <w:tcPr>
            <w:tcW w:type="dxa" w:w="13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الإيراد (ر.س)</w:t>
            </w:r>
          </w:p>
        </w:tc>
        <w:tc>
          <w:tcPr>
            <w:tcW w:type="dxa" w:w="12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متوسط يومي</w:t>
            </w:r>
          </w:p>
        </w:tc>
        <w:tc>
          <w:tcPr>
            <w:tcW w:type="dxa" w:w="10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التغير</w:t>
            </w:r>
          </w:p>
        </w:tc>
        <w:tc>
          <w:tcPr>
            <w:tcW w:type="dxa" w:w="8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لتر/يوم</w:t>
            </w:r>
          </w:p>
        </w:tc>
        <w:tc>
          <w:tcPr>
            <w:tcW w:type="dxa" w:w="8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فاتورة/يوم</w:t>
            </w:r>
          </w:p>
        </w:tc>
        <w:tc>
          <w:tcPr>
            <w:tcW w:type="dxa" w:w="9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الفاتورة</w:t>
            </w:r>
          </w:p>
        </w:tc>
      </w:tr>
      <w:tr>
        <w:trPr>
          <w:cantSplit/>
        </w:trPr>
        <w:tc>
          <w:tcPr>
            <w:tcW w:type="dxa" w:w="269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أغسطس 2026 (من 15 أغسطس) — التشغيل التجريبي وشهر الافتتاح (26 أغسطس)</w:t>
            </w:r>
          </w:p>
        </w:tc>
        <w:tc>
          <w:tcPr>
            <w:tcW w:type="dxa" w:w="6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16</w:t>
            </w:r>
          </w:p>
        </w:tc>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176,067</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11,004</w:t>
            </w:r>
          </w:p>
        </w:tc>
        <w:tc>
          <w:tcPr>
            <w:tcW w:type="dxa" w:w="10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w:t>
            </w:r>
          </w:p>
        </w:tc>
        <w:tc>
          <w:tcPr>
            <w:tcW w:type="dxa" w:w="8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4,941</w:t>
            </w:r>
          </w:p>
        </w:tc>
        <w:tc>
          <w:tcPr>
            <w:tcW w:type="dxa" w:w="8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168</w:t>
            </w:r>
          </w:p>
        </w:tc>
        <w:tc>
          <w:tcPr>
            <w:tcW w:type="dxa" w:w="9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65.4</w:t>
            </w:r>
          </w:p>
        </w:tc>
      </w:tr>
      <w:tr>
        <w:trPr>
          <w:cantSplit/>
        </w:trPr>
        <w:tc>
          <w:tcPr>
            <w:tcW w:type="dxa" w:w="269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سبتمبر 2026 — أول 27 يوماً — بعد الافتتاح</w:t>
            </w:r>
          </w:p>
        </w:tc>
        <w:tc>
          <w:tcPr>
            <w:tcW w:type="dxa" w:w="6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27</w:t>
            </w:r>
          </w:p>
        </w:tc>
        <w:tc>
          <w:tcPr>
            <w:tcW w:type="dxa" w:w="13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492,324</w:t>
            </w:r>
          </w:p>
        </w:tc>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18,234</w:t>
            </w:r>
          </w:p>
        </w:tc>
        <w:tc>
          <w:tcPr>
            <w:tcW w:type="dxa" w:w="10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1B7A4B"/>
                <w:sz w:val="18"/>
                <w:szCs w:val="18"/>
                <w:rtl/>
              </w:rPr>
              <w:t xml:space="preserve">‎+65.7%‎</w:t>
            </w:r>
          </w:p>
        </w:tc>
        <w:tc>
          <w:tcPr>
            <w:tcW w:type="dxa" w:w="8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8,209</w:t>
            </w:r>
          </w:p>
        </w:tc>
        <w:tc>
          <w:tcPr>
            <w:tcW w:type="dxa" w:w="8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273</w:t>
            </w:r>
          </w:p>
        </w:tc>
        <w:tc>
          <w:tcPr>
            <w:tcW w:type="dxa" w:w="9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66.9</w:t>
            </w:r>
          </w:p>
        </w:tc>
      </w:tr>
    </w:tbl>
    <w:p>
      <w:pPr>
        <w:spacing w:after="120"/>
      </w:pPr>
    </w:p>
    <w:p>
      <w:pPr>
        <w:bidi/>
        <w:spacing w:after="50" w:before="60" w:line="240" w:lineRule="auto"/>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266950"/>
                    </a:xfrm>
                    <a:prstGeom prst="rect">
                      <a:avLst/>
                    </a:prstGeom>
                  </pic:spPr>
                </pic:pic>
              </a:graphicData>
            </a:graphic>
          </wp:inline>
        </w:drawing>
      </w:r>
    </w:p>
    <w:p>
      <w:pPr>
        <w:bidi/>
        <w:spacing w:after="170" w:before="0" w:line="300" w:lineRule="auto"/>
        <w:jc w:val="center"/>
      </w:pPr>
      <w:r>
        <w:rPr>
          <w:rFonts w:ascii="Tahoma" w:cs="Tahoma" w:eastAsia="Tahoma" w:hAnsi="Tahoma"/>
          <w:b w:val="false"/>
          <w:bCs w:val="false"/>
          <w:color w:val="8E9295"/>
          <w:sz w:val="16"/>
          <w:szCs w:val="16"/>
          <w:rtl/>
        </w:rPr>
        <w:t xml:space="preserve">مسار الإيراد اليومي أسبوعياً من التشغيل التجريبي حتى نهاية سبتمبر. المصدر: بيانات معاملات المحطة.</w:t>
      </w:r>
    </w:p>
    <w:p>
      <w:pPr>
        <w:spacing w:after="60"/>
      </w:pP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cantSplit/>
        </w:trPr>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1B7A4B"/>
                <w:sz w:val="19"/>
                <w:szCs w:val="19"/>
                <w:rtl/>
              </w:rPr>
              <w:t xml:space="preserve">أبرز النتائج</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تجاوز مستهدف الوصول بمقدار 169,812 مشاهدة — ‎270%‎ من المستهدف</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معدل تفاعل ‎7.0%‎ مقابل مخطط ‎1.0%‎ — نحو 18,887 تفاعلاً</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توفير 860 ر.س من الميزانية المخصصة (استهلاك ‎83%‎)</w:t>
            </w:r>
          </w:p>
        </w:tc>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C6486B"/>
                <w:sz w:val="19"/>
                <w:szCs w:val="19"/>
                <w:rtl/>
              </w:rPr>
              <w:t xml:space="preserve">التحديات</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ضعف التنسيق المسبق مع الشريك</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ضعف التنسيق المسبق مع المؤثرين</w:t>
            </w:r>
          </w:p>
        </w:tc>
      </w:tr>
      <w:tr>
        <w:trPr>
          <w:cantSplit/>
        </w:trPr>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D25C0C"/>
                <w:sz w:val="19"/>
                <w:szCs w:val="19"/>
                <w:rtl/>
              </w:rPr>
              <w:t xml:space="preserve">الفرص الممكن الاستفادة منها</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تمديد مدة حملات الافتتاح إلى 3 أيام أثبت فاعليته — تعميمه على الافتتاحات القادمة</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بناء قائمة مؤثرين معتمدة مسبقاً لكل منطقة لتسريع التعاقد</w:t>
            </w:r>
          </w:p>
        </w:tc>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66686A"/>
                <w:sz w:val="19"/>
                <w:szCs w:val="19"/>
                <w:rtl/>
              </w:rPr>
              <w:t xml:space="preserve">التوصيات</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إقفال التنسيق مع الشريك والمؤثرين قبل أسبوعين من موعد الافتتاح</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تفعيل قياس الفرص التجارية والعملاء المحوّلين</w:t>
            </w:r>
          </w:p>
        </w:tc>
      </w:tr>
    </w:tbl>
    <w:p>
      <w:pPr>
        <w:keepNext/>
        <w:pageBreakBefore/>
        <w:pBdr>
          <w:bottom w:val="single" w:color="F3741F" w:sz="10" w:space="6"/>
        </w:pBdr>
        <w:bidi/>
        <w:spacing w:after="110" w:before="0" w:line="300" w:lineRule="auto"/>
        <w:jc w:val="start"/>
      </w:pPr>
      <w:r>
        <w:rPr>
          <w:rFonts w:ascii="DIN Next LT Arabic" w:cs="DIN Next LT Arabic" w:eastAsia="DIN Next LT Arabic" w:hAnsi="DIN Next LT Arabic"/>
          <w:b/>
          <w:bCs/>
          <w:color w:val="2B2E30"/>
          <w:sz w:val="26"/>
          <w:szCs w:val="26"/>
          <w:rtl/>
        </w:rPr>
        <w:t xml:space="preserve">05 · فعالية اليوم الوطني في المحطات  </w:t>
      </w:r>
      <w:r>
        <w:rPr>
          <w:rFonts w:ascii="DIN Next LT Arabic" w:cs="DIN Next LT Arabic" w:eastAsia="DIN Next LT Arabic" w:hAnsi="DIN Next LT Arabic"/>
          <w:b/>
          <w:bCs/>
          <w:color w:val="D25C0C"/>
          <w:sz w:val="20"/>
          <w:szCs w:val="20"/>
          <w:rtl/>
        </w:rPr>
        <w:t xml:space="preserve">[9 محطات]</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2300"/>
        <w:gridCol w:w="1900"/>
        <w:gridCol w:w="1998"/>
      </w:tblGrid>
      <w:tr>
        <w:trPr>
          <w:tblHeader/>
        </w:trPr>
        <w:tc>
          <w:tcPr>
            <w:tcW w:type="dxa" w:w="13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الشهر</w:t>
            </w:r>
          </w:p>
        </w:tc>
        <w:tc>
          <w:tcPr>
            <w:tcW w:type="dxa" w:w="21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فترة التنفيذ</w:t>
            </w:r>
          </w:p>
        </w:tc>
        <w:tc>
          <w:tcPr>
            <w:tcW w:type="dxa" w:w="23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المحطة المشمولة</w:t>
            </w:r>
          </w:p>
        </w:tc>
        <w:tc>
          <w:tcPr>
            <w:tcW w:type="dxa" w:w="19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الهدف التسويقي</w:t>
            </w:r>
          </w:p>
        </w:tc>
        <w:tc>
          <w:tcPr>
            <w:tcW w:type="dxa" w:w="199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الميزانية</w:t>
            </w:r>
          </w:p>
        </w:tc>
      </w:tr>
      <w:tr>
        <w:trPr>
          <w:cantSplit/>
        </w:trPr>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سبتمبر 2026</w:t>
            </w:r>
          </w:p>
        </w:tc>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سبتمبر 2026 — موسم اليوم الوطني</w:t>
            </w:r>
          </w:p>
        </w:tc>
        <w:tc>
          <w:tcPr>
            <w:tcW w:type="dxa" w:w="23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9 محطات محدّدة</w:t>
            </w:r>
          </w:p>
        </w:tc>
        <w:tc>
          <w:tcPr>
            <w:tcW w:type="dxa" w:w="1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وعي بالعلامة التجارية · المشاركة في المناسبات الوطنية</w:t>
            </w:r>
          </w:p>
        </w:tc>
        <w:tc>
          <w:tcPr>
            <w:tcW w:type="dxa" w:w="199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30,007 ر.س · دون ميزانية مخصصة مسجّلة</w:t>
            </w:r>
          </w:p>
        </w:tc>
      </w:tr>
    </w:tbl>
    <w:p>
      <w:pPr>
        <w:spacing w:after="120"/>
      </w:pPr>
    </w:p>
    <w:p>
      <w:pPr>
        <w:bidi/>
        <w:spacing w:after="170" w:before="0" w:line="300" w:lineRule="auto"/>
        <w:jc w:val="start"/>
      </w:pPr>
      <w:r>
        <w:rPr>
          <w:rFonts w:ascii="Tahoma" w:cs="Tahoma" w:eastAsia="Tahoma" w:hAnsi="Tahoma"/>
          <w:b w:val="false"/>
          <w:bCs w:val="false"/>
          <w:color w:val="8E9295"/>
          <w:sz w:val="16"/>
          <w:szCs w:val="16"/>
          <w:rtl/>
        </w:rPr>
        <w:t xml:space="preserve">القنوات: تزيين ميداني بالليزرات · استكرات ترويجية · فواحات   |   الجهة المنفذة: إدارة التسويق   |   التصنيف: فعاليات المناسبات</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المخرجات المنفذة والتكلفة</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900"/>
        <w:gridCol w:w="1350"/>
        <w:gridCol w:w="1700"/>
        <w:gridCol w:w="1900"/>
        <w:gridCol w:w="1798"/>
      </w:tblGrid>
      <w:tr>
        <w:trPr>
          <w:tblHeader/>
        </w:trPr>
        <w:tc>
          <w:tcPr>
            <w:tcW w:type="dxa" w:w="29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البند</w:t>
            </w:r>
          </w:p>
        </w:tc>
        <w:tc>
          <w:tcPr>
            <w:tcW w:type="dxa" w:w="13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الكمية</w:t>
            </w:r>
          </w:p>
        </w:tc>
        <w:tc>
          <w:tcPr>
            <w:tcW w:type="dxa" w:w="17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التكلفة</w:t>
            </w:r>
          </w:p>
        </w:tc>
        <w:tc>
          <w:tcPr>
            <w:tcW w:type="dxa" w:w="19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تكلفة الوحدة</w:t>
            </w:r>
          </w:p>
        </w:tc>
        <w:tc>
          <w:tcPr>
            <w:tcW w:type="dxa" w:w="179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حصتها من تكلفة الفعالية</w:t>
            </w:r>
          </w:p>
        </w:tc>
      </w:tr>
      <w:tr>
        <w:trPr>
          <w:cantSplit/>
        </w:trPr>
        <w:tc>
          <w:tcPr>
            <w:tcW w:type="dxa" w:w="2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الليزرات — السعر الأساسي</w:t>
            </w:r>
          </w:p>
        </w:tc>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32</w:t>
            </w:r>
          </w:p>
        </w:tc>
        <w:tc>
          <w:tcPr>
            <w:tcW w:type="dxa" w:w="17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19,320 ر.س</w:t>
            </w:r>
          </w:p>
        </w:tc>
        <w:tc>
          <w:tcPr>
            <w:tcW w:type="dxa" w:w="1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603.75 ر.س</w:t>
            </w:r>
          </w:p>
        </w:tc>
        <w:tc>
          <w:tcPr>
            <w:tcW w:type="dxa" w:w="179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‎64%‎</w:t>
            </w:r>
          </w:p>
        </w:tc>
      </w:tr>
      <w:tr>
        <w:trPr>
          <w:cantSplit/>
        </w:trPr>
        <w:tc>
          <w:tcPr>
            <w:tcW w:type="dxa" w:w="29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زيادة على سعر الليزرات</w:t>
            </w:r>
          </w:p>
        </w:tc>
        <w:tc>
          <w:tcPr>
            <w:tcW w:type="dxa" w:w="13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w:t>
            </w:r>
          </w:p>
        </w:tc>
        <w:tc>
          <w:tcPr>
            <w:tcW w:type="dxa" w:w="17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‎+1,200‎ ر.س</w:t>
            </w:r>
          </w:p>
        </w:tc>
        <w:tc>
          <w:tcPr>
            <w:tcW w:type="dxa" w:w="19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‎+37.50‎ ر.س</w:t>
            </w:r>
          </w:p>
        </w:tc>
        <w:tc>
          <w:tcPr>
            <w:tcW w:type="dxa" w:w="179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‎4%‎</w:t>
            </w:r>
          </w:p>
        </w:tc>
      </w:tr>
      <w:tr>
        <w:trPr>
          <w:cantSplit/>
        </w:trPr>
        <w:tc>
          <w:tcPr>
            <w:tcW w:type="dxa" w:w="2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إجمالي الليزرات بعد الزيادة</w:t>
            </w:r>
          </w:p>
        </w:tc>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32</w:t>
            </w:r>
          </w:p>
        </w:tc>
        <w:tc>
          <w:tcPr>
            <w:tcW w:type="dxa" w:w="17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20,520 ر.س</w:t>
            </w:r>
          </w:p>
        </w:tc>
        <w:tc>
          <w:tcPr>
            <w:tcW w:type="dxa" w:w="1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641.25 ر.س</w:t>
            </w:r>
          </w:p>
        </w:tc>
        <w:tc>
          <w:tcPr>
            <w:tcW w:type="dxa" w:w="179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‎68%‎</w:t>
            </w:r>
          </w:p>
        </w:tc>
      </w:tr>
      <w:tr>
        <w:trPr>
          <w:cantSplit/>
        </w:trPr>
        <w:tc>
          <w:tcPr>
            <w:tcW w:type="dxa" w:w="29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الاستكرات الموزعة</w:t>
            </w:r>
          </w:p>
        </w:tc>
        <w:tc>
          <w:tcPr>
            <w:tcW w:type="dxa" w:w="13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5,000</w:t>
            </w:r>
          </w:p>
        </w:tc>
        <w:tc>
          <w:tcPr>
            <w:tcW w:type="dxa" w:w="17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2,587 ر.س</w:t>
            </w:r>
          </w:p>
        </w:tc>
        <w:tc>
          <w:tcPr>
            <w:tcW w:type="dxa" w:w="19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0.52 ر.س</w:t>
            </w:r>
          </w:p>
        </w:tc>
        <w:tc>
          <w:tcPr>
            <w:tcW w:type="dxa" w:w="179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‎9%‎</w:t>
            </w:r>
          </w:p>
        </w:tc>
      </w:tr>
      <w:tr>
        <w:trPr>
          <w:cantSplit/>
        </w:trPr>
        <w:tc>
          <w:tcPr>
            <w:tcW w:type="dxa" w:w="2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الفواحات الموزعة</w:t>
            </w:r>
          </w:p>
        </w:tc>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10,000</w:t>
            </w:r>
          </w:p>
        </w:tc>
        <w:tc>
          <w:tcPr>
            <w:tcW w:type="dxa" w:w="17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6,900 ر.س</w:t>
            </w:r>
          </w:p>
        </w:tc>
        <w:tc>
          <w:tcPr>
            <w:tcW w:type="dxa" w:w="1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0.69 ر.س</w:t>
            </w:r>
          </w:p>
        </w:tc>
        <w:tc>
          <w:tcPr>
            <w:tcW w:type="dxa" w:w="179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‎23%‎</w:t>
            </w:r>
          </w:p>
        </w:tc>
      </w:tr>
      <w:tr>
        <w:trPr>
          <w:cantSplit/>
        </w:trPr>
        <w:tc>
          <w:tcPr>
            <w:tcW w:type="dxa" w:w="29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الإجمالي</w:t>
            </w:r>
          </w:p>
        </w:tc>
        <w:tc>
          <w:tcPr>
            <w:tcW w:type="dxa" w:w="13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w:t>
            </w:r>
          </w:p>
        </w:tc>
        <w:tc>
          <w:tcPr>
            <w:tcW w:type="dxa" w:w="17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30,007 ر.س</w:t>
            </w:r>
          </w:p>
        </w:tc>
        <w:tc>
          <w:tcPr>
            <w:tcW w:type="dxa" w:w="19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3,334 ر.س / محطة</w:t>
            </w:r>
          </w:p>
        </w:tc>
        <w:tc>
          <w:tcPr>
            <w:tcW w:type="dxa" w:w="179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‎100%‎</w:t>
            </w:r>
          </w:p>
        </w:tc>
      </w:tr>
    </w:tbl>
    <w:p>
      <w:pPr>
        <w:spacing w:after="120"/>
      </w:pP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المستهدفات وما تحقق منها</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1450"/>
        <w:gridCol w:w="1450"/>
        <w:gridCol w:w="1600"/>
        <w:gridCol w:w="1748"/>
      </w:tblGrid>
      <w:tr>
        <w:trPr>
          <w:tblHeader/>
        </w:trPr>
        <w:tc>
          <w:tcPr>
            <w:tcW w:type="dxa" w:w="34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المؤشر</w:t>
            </w:r>
          </w:p>
        </w:tc>
        <w:tc>
          <w:tcPr>
            <w:tcW w:type="dxa" w:w="14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المستهدف</w:t>
            </w:r>
          </w:p>
        </w:tc>
        <w:tc>
          <w:tcPr>
            <w:tcW w:type="dxa" w:w="14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المتحقق</w:t>
            </w:r>
          </w:p>
        </w:tc>
        <w:tc>
          <w:tcPr>
            <w:tcW w:type="dxa" w:w="16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نسبة الإنجاز</w:t>
            </w:r>
          </w:p>
        </w:tc>
        <w:tc>
          <w:tcPr>
            <w:tcW w:type="dxa" w:w="174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الحالة</w:t>
            </w:r>
          </w:p>
        </w:tc>
      </w:tr>
      <w:tr>
        <w:trPr>
          <w:cantSplit/>
        </w:trPr>
        <w:tc>
          <w:tcPr>
            <w:tcW w:type="dxa" w:w="34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التغطية الميدانية (محطات)</w:t>
            </w:r>
          </w:p>
        </w:tc>
        <w:tc>
          <w:tcPr>
            <w:tcW w:type="dxa" w:w="1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9</w:t>
            </w:r>
          </w:p>
        </w:tc>
        <w:tc>
          <w:tcPr>
            <w:tcW w:type="dxa" w:w="1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9</w:t>
            </w:r>
          </w:p>
        </w:tc>
        <w:tc>
          <w:tcPr>
            <w:tcW w:type="dxa" w:w="1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‎100%‎</w:t>
            </w:r>
          </w:p>
        </w:tc>
        <w:tc>
          <w:tcPr>
            <w:tcW w:type="dxa" w:w="1748"/>
            <w:tcBorders>
              <w:top w:val="single" w:color="DEDFE1" w:sz="4"/>
              <w:left w:val="single" w:color="DEDFE1" w:sz="4"/>
              <w:bottom w:val="single" w:color="DEDFE1" w:sz="4"/>
              <w:right w:val="single" w:color="DEDFE1" w:sz="4"/>
            </w:tcBorders>
            <w:shd w:fill="E7F3EC"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1B7A4B"/>
                <w:sz w:val="18"/>
                <w:szCs w:val="18"/>
                <w:rtl/>
              </w:rPr>
              <w:t xml:space="preserve">✔ تحقق</w:t>
            </w:r>
          </w:p>
        </w:tc>
      </w:tr>
      <w:tr>
        <w:trPr>
          <w:cantSplit/>
        </w:trPr>
        <w:tc>
          <w:tcPr>
            <w:tcW w:type="dxa" w:w="34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الوصول / المشاهدات</w:t>
            </w:r>
          </w:p>
        </w:tc>
        <w:tc>
          <w:tcPr>
            <w:tcW w:type="dxa" w:w="14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لم يُحدَّد</w:t>
            </w:r>
          </w:p>
        </w:tc>
        <w:tc>
          <w:tcPr>
            <w:tcW w:type="dxa" w:w="14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غير مُقاس</w:t>
            </w:r>
          </w:p>
        </w:tc>
        <w:tc>
          <w:tcPr>
            <w:tcW w:type="dxa" w:w="16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w:t>
            </w:r>
          </w:p>
        </w:tc>
        <w:tc>
          <w:tcPr>
            <w:tcW w:type="dxa" w:w="174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8E9295"/>
                <w:sz w:val="18"/>
                <w:szCs w:val="18"/>
                <w:rtl/>
              </w:rPr>
              <w:t xml:space="preserve">غير مُقاس</w:t>
            </w:r>
          </w:p>
        </w:tc>
      </w:tr>
      <w:tr>
        <w:trPr>
          <w:cantSplit/>
        </w:trPr>
        <w:tc>
          <w:tcPr>
            <w:tcW w:type="dxa" w:w="34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التفاعلات</w:t>
            </w:r>
          </w:p>
        </w:tc>
        <w:tc>
          <w:tcPr>
            <w:tcW w:type="dxa" w:w="1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لم يُحدَّد</w:t>
            </w:r>
          </w:p>
        </w:tc>
        <w:tc>
          <w:tcPr>
            <w:tcW w:type="dxa" w:w="1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غير مُقاس</w:t>
            </w:r>
          </w:p>
        </w:tc>
        <w:tc>
          <w:tcPr>
            <w:tcW w:type="dxa" w:w="1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w:t>
            </w:r>
          </w:p>
        </w:tc>
        <w:tc>
          <w:tcPr>
            <w:tcW w:type="dxa" w:w="174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8E9295"/>
                <w:sz w:val="18"/>
                <w:szCs w:val="18"/>
                <w:rtl/>
              </w:rPr>
              <w:t xml:space="preserve">غير مُقاس</w:t>
            </w:r>
          </w:p>
        </w:tc>
      </w:tr>
      <w:tr>
        <w:trPr>
          <w:cantSplit/>
        </w:trPr>
        <w:tc>
          <w:tcPr>
            <w:tcW w:type="dxa" w:w="34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الالتزام بالميزانية المخصصة</w:t>
            </w:r>
          </w:p>
        </w:tc>
        <w:tc>
          <w:tcPr>
            <w:tcW w:type="dxa" w:w="14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غير مسجّلة</w:t>
            </w:r>
          </w:p>
        </w:tc>
        <w:tc>
          <w:tcPr>
            <w:tcW w:type="dxa" w:w="14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30,007 ر.س</w:t>
            </w:r>
          </w:p>
        </w:tc>
        <w:tc>
          <w:tcPr>
            <w:tcW w:type="dxa" w:w="16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w:t>
            </w:r>
          </w:p>
        </w:tc>
        <w:tc>
          <w:tcPr>
            <w:tcW w:type="dxa" w:w="174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8E9295"/>
                <w:sz w:val="18"/>
                <w:szCs w:val="18"/>
                <w:rtl/>
              </w:rPr>
              <w:t xml:space="preserve">غير مُقارَن</w:t>
            </w:r>
          </w:p>
        </w:tc>
      </w:tr>
    </w:tbl>
    <w:p>
      <w:pPr>
        <w:bidi/>
        <w:spacing w:after="150" w:before="90" w:line="300" w:lineRule="auto"/>
        <w:jc w:val="start"/>
      </w:pPr>
      <w:r>
        <w:rPr>
          <w:rFonts w:ascii="Tahoma" w:cs="Tahoma" w:eastAsia="Tahoma" w:hAnsi="Tahoma"/>
          <w:b w:val="false"/>
          <w:bCs w:val="false"/>
          <w:color w:val="8E9295"/>
          <w:sz w:val="16"/>
          <w:szCs w:val="16"/>
          <w:rtl/>
        </w:rPr>
        <w:t xml:space="preserve">تمثّل هذه الفعالية ‎45%‎ من إجمالي إنفاق الربع الثالث (66,149 ر.س)، وهي أكبر بند إنفاق منفرد فيه.</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الرسم البياني للحملة</w:t>
      </w:r>
    </w:p>
    <w:p>
      <w:pPr>
        <w:bidi/>
        <w:spacing w:after="50" w:before="60" w:line="240" w:lineRule="auto"/>
        <w:jc w:val="center"/>
      </w:pPr>
      <w:r>
        <w:drawing>
          <wp:inline distT="0" distB="0" distL="0" distR="0">
            <wp:extent cx="5905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1819275"/>
                    </a:xfrm>
                    <a:prstGeom prst="rect">
                      <a:avLst/>
                    </a:prstGeom>
                  </pic:spPr>
                </pic:pic>
              </a:graphicData>
            </a:graphic>
          </wp:inline>
        </w:drawing>
      </w:r>
    </w:p>
    <w:p>
      <w:pPr>
        <w:bidi/>
        <w:spacing w:after="170" w:before="0" w:line="300" w:lineRule="auto"/>
        <w:jc w:val="center"/>
      </w:pPr>
      <w:r>
        <w:rPr>
          <w:rFonts w:ascii="Tahoma" w:cs="Tahoma" w:eastAsia="Tahoma" w:hAnsi="Tahoma"/>
          <w:b w:val="false"/>
          <w:bCs w:val="false"/>
          <w:color w:val="8E9295"/>
          <w:sz w:val="16"/>
          <w:szCs w:val="16"/>
          <w:rtl/>
        </w:rPr>
        <w:t xml:space="preserve">توزيع تكلفة الفعالية على بنودها الثلاثة. المصدر: أوامر الشراء والتوزيع.</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ما لم يتحقق في هذه الحملة · المبرر والإجراء التصحيحي</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1350"/>
        <w:gridCol w:w="2599"/>
        <w:gridCol w:w="2449"/>
      </w:tblGrid>
      <w:tr>
        <w:trPr>
          <w:tblHeader/>
        </w:trPr>
        <w:tc>
          <w:tcPr>
            <w:tcW w:type="dxa" w:w="19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البند</w:t>
            </w:r>
          </w:p>
        </w:tc>
        <w:tc>
          <w:tcPr>
            <w:tcW w:type="dxa" w:w="13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المستهدف</w:t>
            </w:r>
          </w:p>
        </w:tc>
        <w:tc>
          <w:tcPr>
            <w:tcW w:type="dxa" w:w="13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المتحقق</w:t>
            </w:r>
          </w:p>
        </w:tc>
        <w:tc>
          <w:tcPr>
            <w:tcW w:type="dxa" w:w="2599"/>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المبرر</w:t>
            </w:r>
          </w:p>
        </w:tc>
        <w:tc>
          <w:tcPr>
            <w:tcW w:type="dxa" w:w="2449"/>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الإجراء التصحيحي</w:t>
            </w:r>
          </w:p>
        </w:tc>
      </w:tr>
      <w:tr>
        <w:trPr>
          <w:cantSplit/>
        </w:trPr>
        <w:tc>
          <w:tcPr>
            <w:tcW w:type="dxa" w:w="1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قياس أثر الفعالية</w:t>
            </w:r>
          </w:p>
        </w:tc>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مؤشرات معتمدة</w:t>
            </w:r>
          </w:p>
        </w:tc>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غير مُقاس</w:t>
            </w:r>
          </w:p>
        </w:tc>
        <w:tc>
          <w:tcPr>
            <w:tcW w:type="dxa" w:w="259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لم تُحدَّد مؤشرات أداء قبل التنفيذ، ولم يُسجَّل وصول أو تفاعل أو أثر تجاري رغم أنها أكبر بند إنفاق في الربع</w:t>
            </w:r>
          </w:p>
        </w:tc>
        <w:tc>
          <w:tcPr>
            <w:tcW w:type="dxa" w:w="244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اعتماد مؤشرات ومستهدفات لكل فعالية قبل الصرف، وربط المواد الموزعة برمز QR</w:t>
            </w:r>
          </w:p>
        </w:tc>
      </w:tr>
      <w:tr>
        <w:trPr>
          <w:cantSplit/>
        </w:trPr>
        <w:tc>
          <w:tcPr>
            <w:tcW w:type="dxa" w:w="19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ثبات سعر الليزرات بعد الاعتماد</w:t>
            </w:r>
          </w:p>
        </w:tc>
        <w:tc>
          <w:tcPr>
            <w:tcW w:type="dxa" w:w="13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19,320 ر.س</w:t>
            </w:r>
          </w:p>
        </w:tc>
        <w:tc>
          <w:tcPr>
            <w:tcW w:type="dxa" w:w="13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20,520 ر.س</w:t>
            </w:r>
          </w:p>
        </w:tc>
        <w:tc>
          <w:tcPr>
            <w:tcW w:type="dxa" w:w="2599"/>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طرأت زيادة 1,200 ر.س (‎+6.2%‎) على بند الليزرات بعد اعتماده، فارتفع سعر الوحدة من 603.75 إلى 641.25 ر.س دون توثيق السبب</w:t>
            </w:r>
          </w:p>
        </w:tc>
        <w:tc>
          <w:tcPr>
            <w:tcW w:type="dxa" w:w="2449"/>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تثبيت السعر في أمر الشراء أو العقد الموسمي، وتوثيق أي زيادة واعتمادها قبل التنفيذ</w:t>
            </w:r>
          </w:p>
        </w:tc>
      </w:tr>
      <w:tr>
        <w:trPr>
          <w:cantSplit/>
        </w:trPr>
        <w:tc>
          <w:tcPr>
            <w:tcW w:type="dxa" w:w="1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اعتماد ميزانية مسبقة</w:t>
            </w:r>
          </w:p>
        </w:tc>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ميزانية معتمدة</w:t>
            </w:r>
          </w:p>
        </w:tc>
        <w:tc>
          <w:tcPr>
            <w:tcW w:type="dxa" w:w="13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غير مسجّلة</w:t>
            </w:r>
          </w:p>
        </w:tc>
        <w:tc>
          <w:tcPr>
            <w:tcW w:type="dxa" w:w="259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صُرفت 30,007 ر.س دون ميزانية مخصصة معتمدة مسجّلة في النظام</w:t>
            </w:r>
          </w:p>
        </w:tc>
        <w:tc>
          <w:tcPr>
            <w:tcW w:type="dxa" w:w="244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إدراج فعاليات المناسبات ضمن الخطة والميزانية الربعية المعتمدة مسبقاً</w:t>
            </w:r>
          </w:p>
        </w:tc>
      </w:tr>
    </w:tbl>
    <w:p>
      <w:pPr>
        <w:spacing w:after="60"/>
      </w:pPr>
    </w:p>
    <w:p>
      <w:pPr>
        <w:spacing w:after="60"/>
      </w:pP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cantSplit/>
        </w:trPr>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1B7A4B"/>
                <w:sz w:val="19"/>
                <w:szCs w:val="19"/>
                <w:rtl/>
              </w:rPr>
              <w:t xml:space="preserve">أبرز النتائج</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تغطية تسع محطات في مناسبة وطنية واحدة — أوسع انتشار ميداني في الربع</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تنفيذ 32 ليزراً وتوزيع 5,000 استكر و10,000 فواحة</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إكمال تغطية أشهر الربع الثلاثة بنشاط تسويقي</w:t>
            </w:r>
          </w:p>
        </w:tc>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C6486B"/>
                <w:sz w:val="19"/>
                <w:szCs w:val="19"/>
                <w:rtl/>
              </w:rPr>
              <w:t xml:space="preserve">التحديات</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غياب مؤشرات أداء معتمدة للفعالية قبل تنفيذها</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عدم قياس الوصول أو التفاعل أو الأثر التجاري</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الصرف دون ميزانية مخصصة معتمدة مسجّلة</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تركّز ‎68%‎ من التكلفة في بند واحد (الليزرات) دون مقارنة عروض موثّقة</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زيادة 1,200 ر.س على سعر الليزرات بعد الاعتماد (‎+6.2%‎) رفعت سعر الوحدة من 603.75 إلى 641.25 ر.س</w:t>
            </w:r>
          </w:p>
        </w:tc>
      </w:tr>
      <w:tr>
        <w:trPr>
          <w:cantSplit/>
        </w:trPr>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D25C0C"/>
                <w:sz w:val="19"/>
                <w:szCs w:val="19"/>
                <w:rtl/>
              </w:rPr>
              <w:t xml:space="preserve">الفرص الممكن الاستفادة منها</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الاستكرات والفواحات قناة قياس جاهزة — رمز QR يحوّل 15,000 قطعة إلى نقاط قياس وتسجيل في برنامج الولاء</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اعتماد حزمة مناسبات قياسية متكررة (اليوم الوطني · يوم التأسيس) بتكلفة وحدة معلومة مسبقاً</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التفاوض على سعر الليزر (641.25 ر.س للوحدة بعد الزيادة) عبر عقد موسمي يثبّت السعر ويمنع الزيادات بعد الاعتماد</w:t>
            </w:r>
          </w:p>
        </w:tc>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66686A"/>
                <w:sz w:val="19"/>
                <w:szCs w:val="19"/>
                <w:rtl/>
              </w:rPr>
              <w:t xml:space="preserve">التوصيات</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عدم اعتماد أي فعالية مناسبات مستقبلاً دون مؤشرات ومستهدفات وميزانية معتمدة مسبقاً</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إضافة رمز QR على المواد الموزعة في الفعالية القادمة لقياس الأثر</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توثيق ثلاثة عروض أسعار على الأقل لبند الليزرات قبل الاعتماد، وتثبيت السعر تعاقدياً لمنع الزيادة بعد الاعتماد</w:t>
            </w:r>
          </w:p>
        </w:tc>
      </w:tr>
    </w:tbl>
    <w:p>
      <w:pPr>
        <w:keepNext/>
        <w:pageBreakBefore/>
        <w:bidi/>
        <w:spacing w:after="40" w:before="0" w:line="300" w:lineRule="auto"/>
        <w:jc w:val="start"/>
      </w:pPr>
      <w:r>
        <w:rPr>
          <w:rFonts w:ascii="DIN Next LT Arabic" w:cs="DIN Next LT Arabic" w:eastAsia="DIN Next LT Arabic" w:hAnsi="DIN Next LT Arabic"/>
          <w:b/>
          <w:bCs/>
          <w:color w:val="D25C0C"/>
          <w:sz w:val="16"/>
          <w:szCs w:val="16"/>
          <w:rtl/>
        </w:rPr>
        <w:t xml:space="preserve">06 · حملات الإيميل التسويقية</w:t>
      </w:r>
    </w:p>
    <w:p>
      <w:pPr>
        <w:keepNext/>
        <w:pBdr>
          <w:bottom w:val="single" w:color="F3741F" w:sz="10" w:space="6"/>
        </w:pBdr>
        <w:bidi/>
        <w:spacing w:after="120" w:before="0" w:line="300" w:lineRule="auto"/>
        <w:jc w:val="start"/>
      </w:pPr>
      <w:r>
        <w:rPr>
          <w:rFonts w:ascii="DIN Next LT Arabic" w:cs="DIN Next LT Arabic" w:eastAsia="DIN Next LT Arabic" w:hAnsi="DIN Next LT Arabic"/>
          <w:b/>
          <w:bCs/>
          <w:color w:val="2B2E30"/>
          <w:sz w:val="30"/>
          <w:szCs w:val="30"/>
          <w:rtl/>
        </w:rPr>
        <w:t xml:space="preserve">أداء قناة البريد الإلكتروني في الربع الثالث</w:t>
      </w:r>
    </w:p>
    <w:p>
      <w:pPr>
        <w:bidi/>
        <w:spacing w:after="180" w:before="0" w:line="300" w:lineRule="auto"/>
        <w:jc w:val="start"/>
      </w:pPr>
      <w:r>
        <w:rPr>
          <w:rFonts w:ascii="Tahoma" w:cs="Tahoma" w:eastAsia="Tahoma" w:hAnsi="Tahoma"/>
          <w:b w:val="false"/>
          <w:bCs w:val="false"/>
          <w:color w:val="5E6265"/>
          <w:sz w:val="20"/>
          <w:szCs w:val="20"/>
          <w:rtl/>
        </w:rPr>
        <w:t xml:space="preserve">المصدر لوحة متابعة أداء البريد للفترة 1 يوليو – 30 سبتمبر 2026، مقارنةً بالـ92 يوماً السابقة. تعرض اللوحة أربعة مؤشرات فقط، وكل رقم آخر في هذا القسم محتسب منها بالمعادلة المبيّنة.</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c>
          <w:tcPr>
            <w:tcW w:type="dxa" w:w="2412"/>
            <w:tcBorders>
              <w:top w:val="single" w:color="DEDFE1" w:sz="4"/>
              <w:left w:val="single" w:color="DEDFE1" w:sz="4"/>
              <w:bottom w:val="single" w:color="DEDFE1" w:sz="4"/>
              <w:right w:val="single" w:color="DEDFE1" w:sz="4"/>
            </w:tcBorders>
            <w:shd w:fill="FFFFFF" w:color="auto" w:val="clear"/>
            <w:tcMar>
              <w:top w:type="dxa" w:w="150"/>
              <w:left w:type="dxa" w:w="120"/>
              <w:bottom w:type="dxa" w:w="150"/>
              <w:right w:type="dxa" w:w="120"/>
            </w:tcMar>
          </w:tcPr>
          <w:p>
            <w:pPr>
              <w:bidi/>
              <w:spacing w:after="40" w:before="0" w:line="300" w:lineRule="auto"/>
              <w:jc w:val="center"/>
            </w:pPr>
            <w:r>
              <w:rPr>
                <w:rFonts w:ascii="DIN Next LT Arabic" w:cs="DIN Next LT Arabic" w:eastAsia="DIN Next LT Arabic" w:hAnsi="DIN Next LT Arabic"/>
                <w:b/>
                <w:bCs/>
                <w:color w:val="D25C0C"/>
                <w:sz w:val="34"/>
                <w:szCs w:val="34"/>
                <w:rtl/>
              </w:rPr>
              <w:t xml:space="preserve">235</w:t>
            </w:r>
          </w:p>
          <w:p>
            <w:pPr>
              <w:bidi/>
              <w:spacing w:after="40" w:before="0" w:line="300" w:lineRule="auto"/>
              <w:jc w:val="center"/>
            </w:pPr>
            <w:r>
              <w:rPr>
                <w:rFonts w:ascii="DIN Next LT Arabic" w:cs="DIN Next LT Arabic" w:eastAsia="DIN Next LT Arabic" w:hAnsi="DIN Next LT Arabic"/>
                <w:b/>
                <w:bCs/>
                <w:color w:val="2B2E30"/>
                <w:sz w:val="18"/>
                <w:szCs w:val="18"/>
                <w:rtl/>
              </w:rPr>
              <w:t xml:space="preserve">إجمالي الرسائل المُرسَلة</w:t>
            </w:r>
          </w:p>
          <w:p>
            <w:pPr>
              <w:bidi/>
              <w:spacing w:after="0" w:before="0" w:line="300" w:lineRule="auto"/>
              <w:jc w:val="center"/>
            </w:pPr>
            <w:r>
              <w:rPr>
                <w:rFonts w:ascii="Tahoma" w:cs="Tahoma" w:eastAsia="Tahoma" w:hAnsi="Tahoma"/>
                <w:b w:val="false"/>
                <w:bCs w:val="false"/>
                <w:color w:val="8E9295"/>
                <w:sz w:val="15"/>
                <w:szCs w:val="15"/>
                <w:rtl/>
              </w:rPr>
              <w:t xml:space="preserve">2.6 رسالة يومياً على مدى 92 يوماً · ‎-21.7%‎</w:t>
            </w:r>
          </w:p>
        </w:tc>
        <w:tc>
          <w:tcPr>
            <w:tcW w:type="dxa" w:w="2412"/>
            <w:tcBorders>
              <w:top w:val="single" w:color="DEDFE1" w:sz="4"/>
              <w:left w:val="single" w:color="DEDFE1" w:sz="4"/>
              <w:bottom w:val="single" w:color="DEDFE1" w:sz="4"/>
              <w:right w:val="single" w:color="DEDFE1" w:sz="4"/>
            </w:tcBorders>
            <w:shd w:fill="FFFFFF" w:color="auto" w:val="clear"/>
            <w:tcMar>
              <w:top w:type="dxa" w:w="150"/>
              <w:left w:type="dxa" w:w="120"/>
              <w:bottom w:type="dxa" w:w="150"/>
              <w:right w:type="dxa" w:w="120"/>
            </w:tcMar>
          </w:tcPr>
          <w:p>
            <w:pPr>
              <w:bidi/>
              <w:spacing w:after="40" w:before="0" w:line="300" w:lineRule="auto"/>
              <w:jc w:val="center"/>
            </w:pPr>
            <w:r>
              <w:rPr>
                <w:rFonts w:ascii="DIN Next LT Arabic" w:cs="DIN Next LT Arabic" w:eastAsia="DIN Next LT Arabic" w:hAnsi="DIN Next LT Arabic"/>
                <w:b/>
                <w:bCs/>
                <w:color w:val="D25C0C"/>
                <w:sz w:val="34"/>
                <w:szCs w:val="34"/>
                <w:rtl/>
              </w:rPr>
              <w:t xml:space="preserve">219</w:t>
            </w:r>
          </w:p>
          <w:p>
            <w:pPr>
              <w:bidi/>
              <w:spacing w:after="40" w:before="0" w:line="300" w:lineRule="auto"/>
              <w:jc w:val="center"/>
            </w:pPr>
            <w:r>
              <w:rPr>
                <w:rFonts w:ascii="DIN Next LT Arabic" w:cs="DIN Next LT Arabic" w:eastAsia="DIN Next LT Arabic" w:hAnsi="DIN Next LT Arabic"/>
                <w:b/>
                <w:bCs/>
                <w:color w:val="2B2E30"/>
                <w:sz w:val="18"/>
                <w:szCs w:val="18"/>
                <w:rtl/>
              </w:rPr>
              <w:t xml:space="preserve">الرسائل المُسلَّمة</w:t>
            </w:r>
          </w:p>
          <w:p>
            <w:pPr>
              <w:bidi/>
              <w:spacing w:after="0" w:before="0" w:line="300" w:lineRule="auto"/>
              <w:jc w:val="center"/>
            </w:pPr>
            <w:r>
              <w:rPr>
                <w:rFonts w:ascii="Tahoma" w:cs="Tahoma" w:eastAsia="Tahoma" w:hAnsi="Tahoma"/>
                <w:b w:val="false"/>
                <w:bCs w:val="false"/>
                <w:color w:val="8E9295"/>
                <w:sz w:val="15"/>
                <w:szCs w:val="15"/>
                <w:rtl/>
              </w:rPr>
              <w:t xml:space="preserve">نسبة تسليم ‎93.2%‎ · ‎+265%‎</w:t>
            </w:r>
          </w:p>
        </w:tc>
        <w:tc>
          <w:tcPr>
            <w:tcW w:type="dxa" w:w="2412"/>
            <w:tcBorders>
              <w:top w:val="single" w:color="DEDFE1" w:sz="4"/>
              <w:left w:val="single" w:color="DEDFE1" w:sz="4"/>
              <w:bottom w:val="single" w:color="DEDFE1" w:sz="4"/>
              <w:right w:val="single" w:color="DEDFE1" w:sz="4"/>
            </w:tcBorders>
            <w:shd w:fill="FFFFFF" w:color="auto" w:val="clear"/>
            <w:tcMar>
              <w:top w:type="dxa" w:w="150"/>
              <w:left w:type="dxa" w:w="120"/>
              <w:bottom w:type="dxa" w:w="150"/>
              <w:right w:type="dxa" w:w="120"/>
            </w:tcMar>
          </w:tcPr>
          <w:p>
            <w:pPr>
              <w:bidi/>
              <w:spacing w:after="40" w:before="0" w:line="300" w:lineRule="auto"/>
              <w:jc w:val="center"/>
            </w:pPr>
            <w:r>
              <w:rPr>
                <w:rFonts w:ascii="DIN Next LT Arabic" w:cs="DIN Next LT Arabic" w:eastAsia="DIN Next LT Arabic" w:hAnsi="DIN Next LT Arabic"/>
                <w:b/>
                <w:bCs/>
                <w:color w:val="D25C0C"/>
                <w:sz w:val="34"/>
                <w:szCs w:val="34"/>
                <w:rtl/>
              </w:rPr>
              <w:t xml:space="preserve">‎7.3%‎</w:t>
            </w:r>
          </w:p>
          <w:p>
            <w:pPr>
              <w:bidi/>
              <w:spacing w:after="40" w:before="0" w:line="300" w:lineRule="auto"/>
              <w:jc w:val="center"/>
            </w:pPr>
            <w:r>
              <w:rPr>
                <w:rFonts w:ascii="DIN Next LT Arabic" w:cs="DIN Next LT Arabic" w:eastAsia="DIN Next LT Arabic" w:hAnsi="DIN Next LT Arabic"/>
                <w:b/>
                <w:bCs/>
                <w:color w:val="2B2E30"/>
                <w:sz w:val="18"/>
                <w:szCs w:val="18"/>
                <w:rtl/>
              </w:rPr>
              <w:t xml:space="preserve">معدل الفتح</w:t>
            </w:r>
          </w:p>
          <w:p>
            <w:pPr>
              <w:bidi/>
              <w:spacing w:after="0" w:before="0" w:line="300" w:lineRule="auto"/>
              <w:jc w:val="center"/>
            </w:pPr>
            <w:r>
              <w:rPr>
                <w:rFonts w:ascii="Tahoma" w:cs="Tahoma" w:eastAsia="Tahoma" w:hAnsi="Tahoma"/>
                <w:b w:val="false"/>
                <w:bCs w:val="false"/>
                <w:color w:val="8E9295"/>
                <w:sz w:val="15"/>
                <w:szCs w:val="15"/>
                <w:rtl/>
              </w:rPr>
              <w:t xml:space="preserve">نحو 16 فتحاً فريداً من 219 رسالة · ‎-81.7%‎</w:t>
            </w:r>
          </w:p>
        </w:tc>
        <w:tc>
          <w:tcPr>
            <w:tcW w:type="dxa" w:w="2412"/>
            <w:tcBorders>
              <w:top w:val="single" w:color="DEDFE1" w:sz="4"/>
              <w:left w:val="single" w:color="DEDFE1" w:sz="4"/>
              <w:bottom w:val="single" w:color="DEDFE1" w:sz="4"/>
              <w:right w:val="single" w:color="DEDFE1" w:sz="4"/>
            </w:tcBorders>
            <w:shd w:fill="FFFFFF" w:color="auto" w:val="clear"/>
            <w:tcMar>
              <w:top w:type="dxa" w:w="150"/>
              <w:left w:type="dxa" w:w="120"/>
              <w:bottom w:type="dxa" w:w="150"/>
              <w:right w:type="dxa" w:w="120"/>
            </w:tcMar>
          </w:tcPr>
          <w:p>
            <w:pPr>
              <w:bidi/>
              <w:spacing w:after="40" w:before="0" w:line="300" w:lineRule="auto"/>
              <w:jc w:val="center"/>
            </w:pPr>
            <w:r>
              <w:rPr>
                <w:rFonts w:ascii="DIN Next LT Arabic" w:cs="DIN Next LT Arabic" w:eastAsia="DIN Next LT Arabic" w:hAnsi="DIN Next LT Arabic"/>
                <w:b/>
                <w:bCs/>
                <w:color w:val="D25C0C"/>
                <w:sz w:val="34"/>
                <w:szCs w:val="34"/>
                <w:rtl/>
              </w:rPr>
              <w:t xml:space="preserve">39</w:t>
            </w:r>
          </w:p>
          <w:p>
            <w:pPr>
              <w:bidi/>
              <w:spacing w:after="40" w:before="0" w:line="300" w:lineRule="auto"/>
              <w:jc w:val="center"/>
            </w:pPr>
            <w:r>
              <w:rPr>
                <w:rFonts w:ascii="DIN Next LT Arabic" w:cs="DIN Next LT Arabic" w:eastAsia="DIN Next LT Arabic" w:hAnsi="DIN Next LT Arabic"/>
                <w:b/>
                <w:bCs/>
                <w:color w:val="2B2E30"/>
                <w:sz w:val="18"/>
                <w:szCs w:val="18"/>
                <w:rtl/>
              </w:rPr>
              <w:t xml:space="preserve">إجمالي الفتحات</w:t>
            </w:r>
          </w:p>
          <w:p>
            <w:pPr>
              <w:bidi/>
              <w:spacing w:after="0" w:before="0" w:line="300" w:lineRule="auto"/>
              <w:jc w:val="center"/>
            </w:pPr>
            <w:r>
              <w:rPr>
                <w:rFonts w:ascii="Tahoma" w:cs="Tahoma" w:eastAsia="Tahoma" w:hAnsi="Tahoma"/>
                <w:b w:val="false"/>
                <w:bCs w:val="false"/>
                <w:color w:val="8E9295"/>
                <w:sz w:val="15"/>
                <w:szCs w:val="15"/>
                <w:rtl/>
              </w:rPr>
              <w:t xml:space="preserve">2.4 فتحة لكل قارئ · ‎+9,650%‎</w:t>
            </w:r>
          </w:p>
        </w:tc>
      </w:tr>
    </w:tbl>
    <w:p>
      <w:pPr>
        <w:spacing w:after="200"/>
      </w:pP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المؤشرات الأربعة كما وردت</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700"/>
        <w:gridCol w:w="4748"/>
      </w:tblGrid>
      <w:tr>
        <w:trPr>
          <w:tblHeader/>
        </w:trPr>
        <w:tc>
          <w:tcPr>
            <w:tcW w:type="dxa" w:w="21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المؤشر</w:t>
            </w:r>
          </w:p>
        </w:tc>
        <w:tc>
          <w:tcPr>
            <w:tcW w:type="dxa" w:w="11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القيمة</w:t>
            </w:r>
          </w:p>
        </w:tc>
        <w:tc>
          <w:tcPr>
            <w:tcW w:type="dxa" w:w="17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التغير عن الـ92 يوماً السابقة</w:t>
            </w:r>
          </w:p>
        </w:tc>
        <w:tc>
          <w:tcPr>
            <w:tcW w:type="dxa" w:w="474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القراءة</w:t>
            </w:r>
          </w:p>
        </w:tc>
      </w:tr>
      <w:tr>
        <w:trPr>
          <w:cantSplit/>
        </w:trPr>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إجمالي الرسائل المُرسَلة</w:t>
            </w:r>
          </w:p>
        </w:tc>
        <w:tc>
          <w:tcPr>
            <w:tcW w:type="dxa" w:w="1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235</w:t>
            </w:r>
          </w:p>
        </w:tc>
        <w:tc>
          <w:tcPr>
            <w:tcW w:type="dxa" w:w="17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C6486B"/>
                <w:sz w:val="18"/>
                <w:szCs w:val="18"/>
                <w:rtl/>
              </w:rPr>
              <w:t xml:space="preserve">‎-21.7%‎</w:t>
            </w:r>
          </w:p>
        </w:tc>
        <w:tc>
          <w:tcPr>
            <w:tcW w:type="dxa" w:w="47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نحو 2.6 رسالة يومياً على مدى 92 يوماً — نشاط محدود جداً لقناة كاملة.</w:t>
            </w:r>
          </w:p>
        </w:tc>
      </w:tr>
      <w:tr>
        <w:trPr>
          <w:cantSplit/>
        </w:trPr>
        <w:tc>
          <w:tcPr>
            <w:tcW w:type="dxa" w:w="2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الرسائل المُسلَّمة</w:t>
            </w:r>
          </w:p>
        </w:tc>
        <w:tc>
          <w:tcPr>
            <w:tcW w:type="dxa" w:w="1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219</w:t>
            </w:r>
          </w:p>
        </w:tc>
        <w:tc>
          <w:tcPr>
            <w:tcW w:type="dxa" w:w="17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1B7A4B"/>
                <w:sz w:val="18"/>
                <w:szCs w:val="18"/>
                <w:rtl/>
              </w:rPr>
              <w:t xml:space="preserve">‎+265%‎</w:t>
            </w:r>
          </w:p>
        </w:tc>
        <w:tc>
          <w:tcPr>
            <w:tcW w:type="dxa" w:w="47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نسبة تسليم ‎93.2%‎ مقابل ‎20.0%‎ في الفترة السابقة — أكبر تحسّن في القناة.</w:t>
            </w:r>
          </w:p>
        </w:tc>
      </w:tr>
      <w:tr>
        <w:trPr>
          <w:cantSplit/>
        </w:trPr>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معدل الفتح</w:t>
            </w:r>
          </w:p>
        </w:tc>
        <w:tc>
          <w:tcPr>
            <w:tcW w:type="dxa" w:w="1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‎7.3%‎</w:t>
            </w:r>
          </w:p>
        </w:tc>
        <w:tc>
          <w:tcPr>
            <w:tcW w:type="dxa" w:w="17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C6486B"/>
                <w:sz w:val="18"/>
                <w:szCs w:val="18"/>
                <w:rtl/>
              </w:rPr>
              <w:t xml:space="preserve">‎-81.7%‎</w:t>
            </w:r>
          </w:p>
        </w:tc>
        <w:tc>
          <w:tcPr>
            <w:tcW w:type="dxa" w:w="47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يُحتسب على الرسائل المُسلَّمة، أي نحو 16 فتحاً فريداً من 219 رسالة.</w:t>
            </w:r>
          </w:p>
        </w:tc>
      </w:tr>
      <w:tr>
        <w:trPr>
          <w:cantSplit/>
        </w:trPr>
        <w:tc>
          <w:tcPr>
            <w:tcW w:type="dxa" w:w="2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إجمالي الفتحات</w:t>
            </w:r>
          </w:p>
        </w:tc>
        <w:tc>
          <w:tcPr>
            <w:tcW w:type="dxa" w:w="1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39</w:t>
            </w:r>
          </w:p>
        </w:tc>
        <w:tc>
          <w:tcPr>
            <w:tcW w:type="dxa" w:w="17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1B7A4B"/>
                <w:sz w:val="18"/>
                <w:szCs w:val="18"/>
                <w:rtl/>
              </w:rPr>
              <w:t xml:space="preserve">‎+9,650%‎</w:t>
            </w:r>
          </w:p>
        </w:tc>
        <w:tc>
          <w:tcPr>
            <w:tcW w:type="dxa" w:w="47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نحو 2.4 فتحة لكل من فتح الرسالة — أي إعادة فتح من جمهور صغير.</w:t>
            </w:r>
          </w:p>
        </w:tc>
      </w:tr>
    </w:tbl>
    <w:p>
      <w:pPr>
        <w:spacing w:after="160"/>
      </w:pPr>
    </w:p>
    <w:p>
      <w:pPr>
        <w:bidi/>
        <w:spacing w:after="50" w:before="60" w:line="240" w:lineRule="auto"/>
        <w:jc w:val="center"/>
      </w:pPr>
      <w:r>
        <w:drawing>
          <wp:inline distT="0" distB="0" distL="0" distR="0">
            <wp:extent cx="5905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1733550"/>
                    </a:xfrm>
                    <a:prstGeom prst="rect">
                      <a:avLst/>
                    </a:prstGeom>
                  </pic:spPr>
                </pic:pic>
              </a:graphicData>
            </a:graphic>
          </wp:inline>
        </w:drawing>
      </w:r>
    </w:p>
    <w:p>
      <w:pPr>
        <w:bidi/>
        <w:spacing w:after="170" w:before="0" w:line="300" w:lineRule="auto"/>
        <w:jc w:val="center"/>
      </w:pPr>
      <w:r>
        <w:rPr>
          <w:rFonts w:ascii="Tahoma" w:cs="Tahoma" w:eastAsia="Tahoma" w:hAnsi="Tahoma"/>
          <w:b w:val="false"/>
          <w:bCs w:val="false"/>
          <w:color w:val="8E9295"/>
          <w:sz w:val="16"/>
          <w:szCs w:val="16"/>
          <w:rtl/>
        </w:rPr>
        <w:t xml:space="preserve">مسار الرسالة من الإرسال إلى الفتح. المصدر: لوحة متابعة أداء البريد.</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مؤشرات محتسبة من الأربعة أعلاه</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648"/>
      </w:tblGrid>
      <w:tr>
        <w:trPr>
          <w:tblHeader/>
        </w:trPr>
        <w:tc>
          <w:tcPr>
            <w:tcW w:type="dxa" w:w="36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المؤشر</w:t>
            </w:r>
          </w:p>
        </w:tc>
        <w:tc>
          <w:tcPr>
            <w:tcW w:type="dxa" w:w="24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القيمة</w:t>
            </w:r>
          </w:p>
        </w:tc>
        <w:tc>
          <w:tcPr>
            <w:tcW w:type="dxa" w:w="364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المعادلة</w:t>
            </w:r>
          </w:p>
        </w:tc>
      </w:tr>
      <w:tr>
        <w:trPr>
          <w:cantSplit/>
        </w:trPr>
        <w:tc>
          <w:tcPr>
            <w:tcW w:type="dxa" w:w="3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الرسائل غير المُسلَّمة</w:t>
            </w:r>
          </w:p>
        </w:tc>
        <w:tc>
          <w:tcPr>
            <w:tcW w:type="dxa" w:w="24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16 رسالة</w:t>
            </w:r>
          </w:p>
        </w:tc>
        <w:tc>
          <w:tcPr>
            <w:tcW w:type="dxa" w:w="36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val="false"/>
              <w:spacing w:after="0" w:before="0" w:line="300" w:lineRule="auto"/>
              <w:jc w:val="center"/>
            </w:pPr>
            <w:r>
              <w:rPr>
                <w:rFonts w:ascii="Tahoma" w:cs="Tahoma" w:eastAsia="Tahoma" w:hAnsi="Tahoma"/>
                <w:b w:val="false"/>
                <w:bCs w:val="false"/>
                <w:color w:val="5E6265"/>
                <w:sz w:val="18"/>
                <w:szCs w:val="18"/>
                <w:rtl w:val="false"/>
              </w:rPr>
              <w:t xml:space="preserve">235 − 219</w:t>
            </w:r>
          </w:p>
        </w:tc>
      </w:tr>
      <w:tr>
        <w:trPr>
          <w:cantSplit/>
        </w:trPr>
        <w:tc>
          <w:tcPr>
            <w:tcW w:type="dxa" w:w="36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نسبة التسليم</w:t>
            </w:r>
          </w:p>
        </w:tc>
        <w:tc>
          <w:tcPr>
            <w:tcW w:type="dxa" w:w="24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‎93.2%‎</w:t>
            </w:r>
          </w:p>
        </w:tc>
        <w:tc>
          <w:tcPr>
            <w:tcW w:type="dxa" w:w="36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val="false"/>
              <w:spacing w:after="0" w:before="0" w:line="300" w:lineRule="auto"/>
              <w:jc w:val="center"/>
            </w:pPr>
            <w:r>
              <w:rPr>
                <w:rFonts w:ascii="Tahoma" w:cs="Tahoma" w:eastAsia="Tahoma" w:hAnsi="Tahoma"/>
                <w:b w:val="false"/>
                <w:bCs w:val="false"/>
                <w:color w:val="5E6265"/>
                <w:sz w:val="18"/>
                <w:szCs w:val="18"/>
                <w:rtl w:val="false"/>
              </w:rPr>
              <w:t xml:space="preserve">219 ÷ 235</w:t>
            </w:r>
          </w:p>
        </w:tc>
      </w:tr>
      <w:tr>
        <w:trPr>
          <w:cantSplit/>
        </w:trPr>
        <w:tc>
          <w:tcPr>
            <w:tcW w:type="dxa" w:w="3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نسبة الارتداد</w:t>
            </w:r>
          </w:p>
        </w:tc>
        <w:tc>
          <w:tcPr>
            <w:tcW w:type="dxa" w:w="24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‎6.8%‎</w:t>
            </w:r>
          </w:p>
        </w:tc>
        <w:tc>
          <w:tcPr>
            <w:tcW w:type="dxa" w:w="36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val="false"/>
              <w:spacing w:after="0" w:before="0" w:line="300" w:lineRule="auto"/>
              <w:jc w:val="center"/>
            </w:pPr>
            <w:r>
              <w:rPr>
                <w:rFonts w:ascii="Tahoma" w:cs="Tahoma" w:eastAsia="Tahoma" w:hAnsi="Tahoma"/>
                <w:b w:val="false"/>
                <w:bCs w:val="false"/>
                <w:color w:val="5E6265"/>
                <w:sz w:val="18"/>
                <w:szCs w:val="18"/>
                <w:rtl w:val="false"/>
              </w:rPr>
              <w:t xml:space="preserve">16 ÷ 235</w:t>
            </w:r>
          </w:p>
        </w:tc>
      </w:tr>
      <w:tr>
        <w:trPr>
          <w:cantSplit/>
        </w:trPr>
        <w:tc>
          <w:tcPr>
            <w:tcW w:type="dxa" w:w="36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الفتحات الفريدة (تقديري)</w:t>
            </w:r>
          </w:p>
        </w:tc>
        <w:tc>
          <w:tcPr>
            <w:tcW w:type="dxa" w:w="24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نحو 16</w:t>
            </w:r>
          </w:p>
        </w:tc>
        <w:tc>
          <w:tcPr>
            <w:tcW w:type="dxa" w:w="36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val="false"/>
              <w:spacing w:after="0" w:before="0" w:line="300" w:lineRule="auto"/>
              <w:jc w:val="center"/>
            </w:pPr>
            <w:r>
              <w:rPr>
                <w:rFonts w:ascii="Tahoma" w:cs="Tahoma" w:eastAsia="Tahoma" w:hAnsi="Tahoma"/>
                <w:b w:val="false"/>
                <w:bCs w:val="false"/>
                <w:color w:val="5E6265"/>
                <w:sz w:val="18"/>
                <w:szCs w:val="18"/>
                <w:rtl w:val="false"/>
              </w:rPr>
              <w:t xml:space="preserve">7.3% × 219</w:t>
            </w:r>
          </w:p>
        </w:tc>
      </w:tr>
      <w:tr>
        <w:trPr>
          <w:cantSplit/>
        </w:trPr>
        <w:tc>
          <w:tcPr>
            <w:tcW w:type="dxa" w:w="3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الفتحات لكل قارئ</w:t>
            </w:r>
          </w:p>
        </w:tc>
        <w:tc>
          <w:tcPr>
            <w:tcW w:type="dxa" w:w="24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2.4</w:t>
            </w:r>
          </w:p>
        </w:tc>
        <w:tc>
          <w:tcPr>
            <w:tcW w:type="dxa" w:w="36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val="false"/>
              <w:spacing w:after="0" w:before="0" w:line="300" w:lineRule="auto"/>
              <w:jc w:val="center"/>
            </w:pPr>
            <w:r>
              <w:rPr>
                <w:rFonts w:ascii="Tahoma" w:cs="Tahoma" w:eastAsia="Tahoma" w:hAnsi="Tahoma"/>
                <w:b w:val="false"/>
                <w:bCs w:val="false"/>
                <w:color w:val="5E6265"/>
                <w:sz w:val="18"/>
                <w:szCs w:val="18"/>
                <w:rtl w:val="false"/>
              </w:rPr>
              <w:t xml:space="preserve">39 ÷ 16</w:t>
            </w:r>
          </w:p>
        </w:tc>
      </w:tr>
      <w:tr>
        <w:trPr>
          <w:cantSplit/>
        </w:trPr>
        <w:tc>
          <w:tcPr>
            <w:tcW w:type="dxa" w:w="36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متوسط الإرسال اليومي</w:t>
            </w:r>
          </w:p>
        </w:tc>
        <w:tc>
          <w:tcPr>
            <w:tcW w:type="dxa" w:w="24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2.6 رسالة</w:t>
            </w:r>
          </w:p>
        </w:tc>
        <w:tc>
          <w:tcPr>
            <w:tcW w:type="dxa" w:w="36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235 ÷ 92 يوماً</w:t>
            </w:r>
          </w:p>
        </w:tc>
      </w:tr>
      <w:tr>
        <w:trPr>
          <w:cantSplit/>
        </w:trPr>
        <w:tc>
          <w:tcPr>
            <w:tcW w:type="dxa" w:w="3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النقرات والتحويلات</w:t>
            </w:r>
          </w:p>
        </w:tc>
        <w:tc>
          <w:tcPr>
            <w:tcW w:type="dxa" w:w="24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غير مُقاسة</w:t>
            </w:r>
          </w:p>
        </w:tc>
        <w:tc>
          <w:tcPr>
            <w:tcW w:type="dxa" w:w="36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val="false"/>
                <w:bCs w:val="false"/>
                <w:color w:val="5E6265"/>
                <w:sz w:val="18"/>
                <w:szCs w:val="18"/>
                <w:rtl/>
              </w:rPr>
              <w:t xml:space="preserve">لا يعرضها التقرير المرفق</w:t>
            </w:r>
          </w:p>
        </w:tc>
      </w:tr>
    </w:tbl>
    <w:p>
      <w:pPr>
        <w:spacing w:after="160"/>
      </w:pP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الفترة السابقة — محتسبة عكسياً من نسب المقارنة</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648"/>
      </w:tblGrid>
      <w:tr>
        <w:trPr>
          <w:tblHeader/>
        </w:trPr>
        <w:tc>
          <w:tcPr>
            <w:tcW w:type="dxa" w:w="36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المؤشر</w:t>
            </w:r>
          </w:p>
        </w:tc>
        <w:tc>
          <w:tcPr>
            <w:tcW w:type="dxa" w:w="24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القيمة</w:t>
            </w:r>
          </w:p>
        </w:tc>
        <w:tc>
          <w:tcPr>
            <w:tcW w:type="dxa" w:w="364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center"/>
            </w:pPr>
            <w:r>
              <w:rPr>
                <w:rFonts w:ascii="DIN Next LT Arabic" w:cs="DIN Next LT Arabic" w:eastAsia="DIN Next LT Arabic" w:hAnsi="DIN Next LT Arabic"/>
                <w:b/>
                <w:bCs/>
                <w:color w:val="5E6265"/>
                <w:sz w:val="17"/>
                <w:szCs w:val="17"/>
                <w:rtl/>
              </w:rPr>
              <w:t xml:space="preserve">المعادلة</w:t>
            </w:r>
          </w:p>
        </w:tc>
      </w:tr>
      <w:tr>
        <w:trPr>
          <w:cantSplit/>
        </w:trPr>
        <w:tc>
          <w:tcPr>
            <w:tcW w:type="dxa" w:w="3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الرسائل المُرسَلة</w:t>
            </w:r>
          </w:p>
        </w:tc>
        <w:tc>
          <w:tcPr>
            <w:tcW w:type="dxa" w:w="24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نحو 300</w:t>
            </w:r>
          </w:p>
        </w:tc>
        <w:tc>
          <w:tcPr>
            <w:tcW w:type="dxa" w:w="36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val="false"/>
              <w:spacing w:after="0" w:before="0" w:line="300" w:lineRule="auto"/>
              <w:jc w:val="center"/>
            </w:pPr>
            <w:r>
              <w:rPr>
                <w:rFonts w:ascii="Tahoma" w:cs="Tahoma" w:eastAsia="Tahoma" w:hAnsi="Tahoma"/>
                <w:b w:val="false"/>
                <w:bCs w:val="false"/>
                <w:color w:val="5E6265"/>
                <w:sz w:val="18"/>
                <w:szCs w:val="18"/>
                <w:rtl w:val="false"/>
              </w:rPr>
              <w:t xml:space="preserve">235 ÷ (1 − 21.7%)</w:t>
            </w:r>
          </w:p>
        </w:tc>
      </w:tr>
      <w:tr>
        <w:trPr>
          <w:cantSplit/>
        </w:trPr>
        <w:tc>
          <w:tcPr>
            <w:tcW w:type="dxa" w:w="36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الرسائل المُسلَّمة</w:t>
            </w:r>
          </w:p>
        </w:tc>
        <w:tc>
          <w:tcPr>
            <w:tcW w:type="dxa" w:w="24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نحو 60</w:t>
            </w:r>
          </w:p>
        </w:tc>
        <w:tc>
          <w:tcPr>
            <w:tcW w:type="dxa" w:w="36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val="false"/>
              <w:spacing w:after="0" w:before="0" w:line="300" w:lineRule="auto"/>
              <w:jc w:val="center"/>
            </w:pPr>
            <w:r>
              <w:rPr>
                <w:rFonts w:ascii="Tahoma" w:cs="Tahoma" w:eastAsia="Tahoma" w:hAnsi="Tahoma"/>
                <w:b w:val="false"/>
                <w:bCs w:val="false"/>
                <w:color w:val="5E6265"/>
                <w:sz w:val="18"/>
                <w:szCs w:val="18"/>
                <w:rtl w:val="false"/>
              </w:rPr>
              <w:t xml:space="preserve">219 ÷ (1 + 265%)</w:t>
            </w:r>
          </w:p>
        </w:tc>
      </w:tr>
      <w:tr>
        <w:trPr>
          <w:cantSplit/>
        </w:trPr>
        <w:tc>
          <w:tcPr>
            <w:tcW w:type="dxa" w:w="3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نسبة التسليم</w:t>
            </w:r>
          </w:p>
        </w:tc>
        <w:tc>
          <w:tcPr>
            <w:tcW w:type="dxa" w:w="24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‎20.0%‎</w:t>
            </w:r>
          </w:p>
        </w:tc>
        <w:tc>
          <w:tcPr>
            <w:tcW w:type="dxa" w:w="36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val="false"/>
              <w:spacing w:after="0" w:before="0" w:line="300" w:lineRule="auto"/>
              <w:jc w:val="center"/>
            </w:pPr>
            <w:r>
              <w:rPr>
                <w:rFonts w:ascii="Tahoma" w:cs="Tahoma" w:eastAsia="Tahoma" w:hAnsi="Tahoma"/>
                <w:b w:val="false"/>
                <w:bCs w:val="false"/>
                <w:color w:val="5E6265"/>
                <w:sz w:val="18"/>
                <w:szCs w:val="18"/>
                <w:rtl w:val="false"/>
              </w:rPr>
              <w:t xml:space="preserve">60 ÷ 300</w:t>
            </w:r>
          </w:p>
        </w:tc>
      </w:tr>
      <w:tr>
        <w:trPr>
          <w:cantSplit/>
        </w:trPr>
        <w:tc>
          <w:tcPr>
            <w:tcW w:type="dxa" w:w="36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معدل الفتح</w:t>
            </w:r>
          </w:p>
        </w:tc>
        <w:tc>
          <w:tcPr>
            <w:tcW w:type="dxa" w:w="24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نحو ‎39.9%‎</w:t>
            </w:r>
          </w:p>
        </w:tc>
        <w:tc>
          <w:tcPr>
            <w:tcW w:type="dxa" w:w="36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val="false"/>
              <w:spacing w:after="0" w:before="0" w:line="300" w:lineRule="auto"/>
              <w:jc w:val="center"/>
            </w:pPr>
            <w:r>
              <w:rPr>
                <w:rFonts w:ascii="Tahoma" w:cs="Tahoma" w:eastAsia="Tahoma" w:hAnsi="Tahoma"/>
                <w:b w:val="false"/>
                <w:bCs w:val="false"/>
                <w:color w:val="5E6265"/>
                <w:sz w:val="18"/>
                <w:szCs w:val="18"/>
                <w:rtl w:val="false"/>
              </w:rPr>
              <w:t xml:space="preserve">7.3% ÷ (1 − 81.7%)</w:t>
            </w:r>
          </w:p>
        </w:tc>
      </w:tr>
      <w:tr>
        <w:trPr>
          <w:cantSplit/>
        </w:trPr>
        <w:tc>
          <w:tcPr>
            <w:tcW w:type="dxa" w:w="3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الفتحات الفريدة</w:t>
            </w:r>
          </w:p>
        </w:tc>
        <w:tc>
          <w:tcPr>
            <w:tcW w:type="dxa" w:w="24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نحو 24</w:t>
            </w:r>
          </w:p>
        </w:tc>
        <w:tc>
          <w:tcPr>
            <w:tcW w:type="dxa" w:w="36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val="false"/>
              <w:spacing w:after="0" w:before="0" w:line="300" w:lineRule="auto"/>
              <w:jc w:val="center"/>
            </w:pPr>
            <w:r>
              <w:rPr>
                <w:rFonts w:ascii="Tahoma" w:cs="Tahoma" w:eastAsia="Tahoma" w:hAnsi="Tahoma"/>
                <w:b w:val="false"/>
                <w:bCs w:val="false"/>
                <w:color w:val="5E6265"/>
                <w:sz w:val="18"/>
                <w:szCs w:val="18"/>
                <w:rtl w:val="false"/>
              </w:rPr>
              <w:t xml:space="preserve">39.9% × 60</w:t>
            </w:r>
          </w:p>
        </w:tc>
      </w:tr>
      <w:tr>
        <w:trPr>
          <w:cantSplit/>
        </w:trPr>
        <w:tc>
          <w:tcPr>
            <w:tcW w:type="dxa" w:w="36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إجمالي الفتحات</w:t>
            </w:r>
          </w:p>
        </w:tc>
        <w:tc>
          <w:tcPr>
            <w:tcW w:type="dxa" w:w="24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center"/>
            </w:pPr>
            <w:r>
              <w:rPr>
                <w:rFonts w:ascii="Tahoma" w:cs="Tahoma" w:eastAsia="Tahoma" w:hAnsi="Tahoma"/>
                <w:b/>
                <w:bCs/>
                <w:color w:val="5E6265"/>
                <w:sz w:val="18"/>
                <w:szCs w:val="18"/>
                <w:rtl/>
              </w:rPr>
              <w:t xml:space="preserve">نحو 0.4</w:t>
            </w:r>
          </w:p>
        </w:tc>
        <w:tc>
          <w:tcPr>
            <w:tcW w:type="dxa" w:w="36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val="false"/>
              <w:spacing w:after="0" w:before="0" w:line="300" w:lineRule="auto"/>
              <w:jc w:val="center"/>
            </w:pPr>
            <w:r>
              <w:rPr>
                <w:rFonts w:ascii="Tahoma" w:cs="Tahoma" w:eastAsia="Tahoma" w:hAnsi="Tahoma"/>
                <w:b w:val="false"/>
                <w:bCs w:val="false"/>
                <w:color w:val="5E6265"/>
                <w:sz w:val="18"/>
                <w:szCs w:val="18"/>
                <w:rtl w:val="false"/>
              </w:rPr>
              <w:t xml:space="preserve">39 ÷ (1 + 9,650%)</w:t>
            </w:r>
          </w:p>
        </w:tc>
      </w:tr>
    </w:tbl>
    <w:p>
      <w:pPr>
        <w:spacing w:after="160"/>
      </w:pP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single" w:color="C6486B" w:sz="18"/>
            </w:tcBorders>
            <w:shd w:fill="FBE9EE" w:color="auto" w:val="clear"/>
            <w:tcMar>
              <w:top w:type="dxa" w:w="170"/>
              <w:left w:type="dxa" w:w="180"/>
              <w:bottom w:type="dxa" w:w="170"/>
              <w:right w:type="dxa" w:w="180"/>
            </w:tcMar>
          </w:tcPr>
          <w:p>
            <w:pPr>
              <w:bidi/>
              <w:spacing w:after="90" w:before="0" w:line="300" w:lineRule="auto"/>
              <w:jc w:val="start"/>
            </w:pPr>
            <w:r>
              <w:rPr>
                <w:rFonts w:ascii="DIN Next LT Arabic" w:cs="DIN Next LT Arabic" w:eastAsia="DIN Next LT Arabic" w:hAnsi="DIN Next LT Arabic"/>
                <w:b/>
                <w:bCs/>
                <w:color w:val="C6486B"/>
                <w:sz w:val="21"/>
                <w:szCs w:val="21"/>
                <w:rtl/>
              </w:rPr>
              <w:t xml:space="preserve">تنبيه على اتساق الأرقام</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نسب المقارنة الأربع لا تجتمع حسابياً: انخفاض معدل الفتح ‎81.7%‎ مع ارتفاع التسليم ‎265%‎ يعني أن إجمالي الفتحات في الفترة السابقة كان نحو 24 فتحة على الأقل، بينما ارتفاع إجمالي الفتحات ‎9,650%‎ يعني أن الرقم السابق كان أقل من واحد.</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لذلك اعتُمدت في هذا القسم الأرقام المطلقة للربع الثالث وحدها (235 · 219 · ‎7.3%‎ · 39) أساساً للقراءة، وعوملت أرقام الفترة السابقة كتقدير يحتاج تحققاً مع مزوّد الخدمة.</w:t>
            </w:r>
          </w:p>
        </w:tc>
      </w:tr>
    </w:tbl>
    <w:p>
      <w:pPr>
        <w:spacing w:after="160"/>
      </w:pP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cantSplit/>
        </w:trPr>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1B7A4B"/>
                <w:sz w:val="19"/>
                <w:szCs w:val="19"/>
                <w:rtl/>
              </w:rPr>
              <w:t xml:space="preserve">أبرز النتائج</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نسبة التسليم قفزت من ‎20.0%‎ إلى ‎93.2%‎ — أي أن 219 رسالة وصلت فعلاً مقابل نحو 60 في الفترة السابقة</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عدد الرسائل الواصلة تضاعف أكثر من ثلاث مرات (‎‎+265%‎) رغم انخفاض عدد الرسائل المُرسَلة ‎21.7%‎</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من فتح الرسالة عاد إليها: 39 فتحة من نحو 16 قارئاً، أي 2.4 فتحة لكل قارئ</w:t>
            </w:r>
          </w:p>
        </w:tc>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C6486B"/>
                <w:sz w:val="19"/>
                <w:szCs w:val="19"/>
                <w:rtl/>
              </w:rPr>
              <w:t xml:space="preserve">التحديات</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معدل فتح ‎7.3%‎ منخفض بوضوح، والمعتاد في قطاعات التجزئة والخدمات نحو ‎20%‎ فأعلى</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حجم النشاط شبه معدوم: 235 رسالة في ربع كامل، أي 2.6 رسالة يومياً</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لا مستهدف معتمد لهذه القناة — لا للإرسال ولا للفتح ولا للنقر — فتعذّر الحكم على الأداء مقابل خطة</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لا تُقاس النقرات ولا التحويلات ولا الإيراد، فالقناة غير مربوطة بأي أثر تجاري</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أرقام لوحة المتابعة غير متسقة فيما بينها (تفصيلها في الملحق)، ما يضعف الاعتماد على نسب المقارنة</w:t>
            </w:r>
          </w:p>
        </w:tc>
      </w:tr>
      <w:tr>
        <w:trPr>
          <w:cantSplit/>
        </w:trPr>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D25C0C"/>
                <w:sz w:val="19"/>
                <w:szCs w:val="19"/>
                <w:rtl/>
              </w:rPr>
              <w:t xml:space="preserve">الفرص الممكن الاستفادة منها</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قاعدة قابلة للوصول جاهزة: 219 عنواناً يصلها البريد فعلياً — الأساس موجود وينقصه المحتوى والوتيرة</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ربط البريد بحملات المحطات: قوائم الوصول في الربع بلغت 4.5 مليون مشاهدة دون أي تحويل منها إلى مشتركين</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الاستكرات والفواحات الـ15,000 الموزَّعة في فعالية اليوم الوطني قناة تسجيل جاهزة برمز QR</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القارئ الحالي متفاعل (2.4 فتحة لكل قارئ) — شريحة صغيرة لكنها تستحق محتوى مخصصاً</w:t>
            </w:r>
          </w:p>
        </w:tc>
        <w:tc>
          <w:tcPr>
            <w:tcW w:type="dxa" w:w="4824"/>
            <w:tcBorders>
              <w:top w:val="single" w:color="DEDFE1" w:sz="4"/>
              <w:left w:val="single" w:color="DEDFE1" w:sz="4"/>
              <w:bottom w:val="single" w:color="DEDFE1" w:sz="4"/>
              <w:right w:val="single" w:color="DEDFE1" w:sz="4"/>
            </w:tcBorders>
            <w:shd w:fill="FBFBFC" w:color="auto" w:val="clear"/>
            <w:tcMar>
              <w:top w:type="dxa" w:w="130"/>
              <w:left w:type="dxa" w:w="150"/>
              <w:bottom w:type="dxa" w:w="130"/>
              <w:right w:type="dxa" w:w="150"/>
            </w:tcMar>
          </w:tcPr>
          <w:p>
            <w:pPr>
              <w:bidi/>
              <w:spacing w:after="70" w:before="0" w:line="300" w:lineRule="auto"/>
              <w:jc w:val="start"/>
            </w:pPr>
            <w:r>
              <w:rPr>
                <w:rFonts w:ascii="DIN Next LT Arabic" w:cs="DIN Next LT Arabic" w:eastAsia="DIN Next LT Arabic" w:hAnsi="DIN Next LT Arabic"/>
                <w:b/>
                <w:bCs/>
                <w:color w:val="66686A"/>
                <w:sz w:val="19"/>
                <w:szCs w:val="19"/>
                <w:rtl/>
              </w:rPr>
              <w:t xml:space="preserve">التوصيات</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اعتماد مستهدفات ربعية للقناة: عدد الرسائل، ومعدل الفتح، ومعدل النقر، وعدد المشتركين الجدد</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تفعيل قياس النقرات والتحويلات وربطها بمبيعات المحطات كما رُبطت الحملات الميدانية</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خطة نمو للقائمة عبر رمز QR في المحطات وفي المواد الموزَّعة في الفعاليات</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مراجعة أرقام لوحة المتابعة مع مزوّد الخدمة وتثبيت فترة مقارنة موحّدة قبل الربع الرابع</w:t>
            </w:r>
          </w:p>
          <w:p>
            <w:pPr>
              <w:pStyle w:val="ListParagraph"/>
              <w:numPr>
                <w:ilvl w:val="0"/>
                <w:numId w:val="1"/>
              </w:numPr>
              <w:bidi/>
              <w:spacing w:after="45" w:line="270" w:lineRule="auto"/>
            </w:pPr>
            <w:r>
              <w:rPr>
                <w:rFonts w:ascii="Tahoma" w:cs="Tahoma" w:eastAsia="Tahoma" w:hAnsi="Tahoma"/>
                <w:b w:val="false"/>
                <w:bCs w:val="false"/>
                <w:color w:val="5E6265"/>
                <w:sz w:val="17"/>
                <w:szCs w:val="17"/>
                <w:rtl/>
              </w:rPr>
              <w:t xml:space="preserve">تنظيف القائمة دورياً للحفاظ على نسبة التسليم عند ‎93%‎ فأعلى</w:t>
            </w:r>
          </w:p>
        </w:tc>
      </w:tr>
    </w:tbl>
    <w:p>
      <w:pPr>
        <w:spacing w:after="200"/>
      </w:pP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ما لم يتحقق في هذه القناة · المبرر والإجراء التصحيحي</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200"/>
        <w:gridCol w:w="2749"/>
        <w:gridCol w:w="2499"/>
      </w:tblGrid>
      <w:tr>
        <w:trPr>
          <w:tblHeader/>
        </w:trPr>
        <w:tc>
          <w:tcPr>
            <w:tcW w:type="dxa" w:w="17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البند</w:t>
            </w:r>
          </w:p>
        </w:tc>
        <w:tc>
          <w:tcPr>
            <w:tcW w:type="dxa" w:w="15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المستهدف</w:t>
            </w:r>
          </w:p>
        </w:tc>
        <w:tc>
          <w:tcPr>
            <w:tcW w:type="dxa" w:w="12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المتحقق</w:t>
            </w:r>
          </w:p>
        </w:tc>
        <w:tc>
          <w:tcPr>
            <w:tcW w:type="dxa" w:w="2749"/>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المبرر</w:t>
            </w:r>
          </w:p>
        </w:tc>
        <w:tc>
          <w:tcPr>
            <w:tcW w:type="dxa" w:w="2499"/>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الإجراء التصحيحي</w:t>
            </w:r>
          </w:p>
        </w:tc>
      </w:tr>
      <w:tr>
        <w:trPr>
          <w:cantSplit/>
        </w:trPr>
        <w:tc>
          <w:tcPr>
            <w:tcW w:type="dxa" w:w="17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مستهدف معتمد للقناة</w:t>
            </w:r>
          </w:p>
        </w:tc>
        <w:tc>
          <w:tcPr>
            <w:tcW w:type="dxa" w:w="1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مستهدفات إرسال وفتح ونقر</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غير محدّد</w:t>
            </w:r>
          </w:p>
        </w:tc>
        <w:tc>
          <w:tcPr>
            <w:tcW w:type="dxa" w:w="274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لم تُعتمد مستهدفات لقناة البريد ضمن خطة الربع، فقيست النتائج دون مرجع.</w:t>
            </w:r>
          </w:p>
        </w:tc>
        <w:tc>
          <w:tcPr>
            <w:tcW w:type="dxa" w:w="249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اعتماد مستهدفات ربعية للقناة قبل بداية الربع الرابع.</w:t>
            </w:r>
          </w:p>
        </w:tc>
      </w:tr>
      <w:tr>
        <w:trPr>
          <w:cantSplit/>
        </w:trPr>
        <w:tc>
          <w:tcPr>
            <w:tcW w:type="dxa" w:w="17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قياس النقر والتحويل</w:t>
            </w:r>
          </w:p>
        </w:tc>
        <w:tc>
          <w:tcPr>
            <w:tcW w:type="dxa" w:w="1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معدل نقر وتحويلات مسجّلة</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غير مُقاس</w:t>
            </w:r>
          </w:p>
        </w:tc>
        <w:tc>
          <w:tcPr>
            <w:tcW w:type="dxa" w:w="2749"/>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لا يعرض التقرير المرفق أي بيانات نقر أو تحويل، فتعذّر قياس الأثر التجاري للقناة.</w:t>
            </w:r>
          </w:p>
        </w:tc>
        <w:tc>
          <w:tcPr>
            <w:tcW w:type="dxa" w:w="2499"/>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تفعيل تتبّع النقرات والتحويلات وربطها بمبيعات المحطات.</w:t>
            </w:r>
          </w:p>
        </w:tc>
      </w:tr>
      <w:tr>
        <w:trPr>
          <w:cantSplit/>
        </w:trPr>
        <w:tc>
          <w:tcPr>
            <w:tcW w:type="dxa" w:w="17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اتساق أرقام المقارنة</w:t>
            </w:r>
          </w:p>
        </w:tc>
        <w:tc>
          <w:tcPr>
            <w:tcW w:type="dxa" w:w="1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نسب مقارنة متسقة</w:t>
            </w:r>
          </w:p>
        </w:tc>
        <w:tc>
          <w:tcPr>
            <w:tcW w:type="dxa" w:w="12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غير متسقة</w:t>
            </w:r>
          </w:p>
        </w:tc>
        <w:tc>
          <w:tcPr>
            <w:tcW w:type="dxa" w:w="274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معدل الفتح منخفض ‎81.7%‎ بينما إجمالي الفتحات مرتفع ‎9,650%‎ على تسليم أعلى بـ‎265%‎ — لا تجتمع هذه النسب حسابياً.</w:t>
            </w:r>
          </w:p>
        </w:tc>
        <w:tc>
          <w:tcPr>
            <w:tcW w:type="dxa" w:w="2499"/>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مراجعة الأرقام مع مزوّد الخدمة وتوحيد فترة المقارنة قبل اعتمادها في التقارير.</w:t>
            </w:r>
          </w:p>
        </w:tc>
      </w:tr>
      <w:tr>
        <w:trPr>
          <w:cantSplit/>
        </w:trPr>
        <w:tc>
          <w:tcPr>
            <w:tcW w:type="dxa" w:w="17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حجم النشاط</w:t>
            </w:r>
          </w:p>
        </w:tc>
        <w:tc>
          <w:tcPr>
            <w:tcW w:type="dxa" w:w="1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وتيرة إرسال منتظمة</w:t>
            </w:r>
          </w:p>
        </w:tc>
        <w:tc>
          <w:tcPr>
            <w:tcW w:type="dxa" w:w="12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2.6 رسالة/يوم</w:t>
            </w:r>
          </w:p>
        </w:tc>
        <w:tc>
          <w:tcPr>
            <w:tcW w:type="dxa" w:w="2749"/>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235 رسالة في ربع كامل لا تكفي لبناء عادة قراءة لدى الجمهور ولا لقياس أداء القناة.</w:t>
            </w:r>
          </w:p>
        </w:tc>
        <w:tc>
          <w:tcPr>
            <w:tcW w:type="dxa" w:w="2499"/>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اعتماد تقويم إرسال شهري بوتيرة ثابتة معلنة مسبقاً.</w:t>
            </w:r>
          </w:p>
        </w:tc>
      </w:tr>
    </w:tbl>
    <w:p>
      <w:pPr>
        <w:keepNext/>
        <w:pageBreakBefore/>
        <w:bidi/>
        <w:spacing w:after="40" w:before="0" w:line="300" w:lineRule="auto"/>
        <w:jc w:val="start"/>
      </w:pPr>
      <w:r>
        <w:rPr>
          <w:rFonts w:ascii="DIN Next LT Arabic" w:cs="DIN Next LT Arabic" w:eastAsia="DIN Next LT Arabic" w:hAnsi="DIN Next LT Arabic"/>
          <w:b/>
          <w:bCs/>
          <w:color w:val="D25C0C"/>
          <w:sz w:val="16"/>
          <w:szCs w:val="16"/>
          <w:rtl/>
        </w:rPr>
        <w:t xml:space="preserve">07 · مستهدفات فريق العمل</w:t>
      </w:r>
    </w:p>
    <w:p>
      <w:pPr>
        <w:keepNext/>
        <w:pBdr>
          <w:bottom w:val="single" w:color="F3741F" w:sz="10" w:space="6"/>
        </w:pBdr>
        <w:bidi/>
        <w:spacing w:after="120" w:before="0" w:line="300" w:lineRule="auto"/>
        <w:jc w:val="start"/>
      </w:pPr>
      <w:r>
        <w:rPr>
          <w:rFonts w:ascii="DIN Next LT Arabic" w:cs="DIN Next LT Arabic" w:eastAsia="DIN Next LT Arabic" w:hAnsi="DIN Next LT Arabic"/>
          <w:b/>
          <w:bCs/>
          <w:color w:val="2B2E30"/>
          <w:sz w:val="30"/>
          <w:szCs w:val="30"/>
          <w:rtl/>
        </w:rPr>
        <w:t xml:space="preserve">المهام الدورية والشهرية · المستهدف مقابل الإنجاز</w:t>
      </w:r>
    </w:p>
    <w:p>
      <w:pPr>
        <w:bidi/>
        <w:spacing w:after="180" w:before="0" w:line="300" w:lineRule="auto"/>
        <w:jc w:val="start"/>
      </w:pPr>
      <w:r>
        <w:rPr>
          <w:rFonts w:ascii="Tahoma" w:cs="Tahoma" w:eastAsia="Tahoma" w:hAnsi="Tahoma"/>
          <w:b w:val="false"/>
          <w:bCs w:val="false"/>
          <w:color w:val="5E6265"/>
          <w:sz w:val="20"/>
          <w:szCs w:val="20"/>
          <w:rtl/>
        </w:rPr>
        <w:t xml:space="preserve">إلى جانب أداء الحملات، يلتزم فريق التسويق بتسع مهام دورية معتمدة. الأرقام أدناه هي الإنجاز المسجّل في لوحة متابعة المهام حتى تاريخ إعداد هذا التقرير مقابل المستهدف المعتمد لكل مهمة، مرتبة تنازلياً بحسب نسبة الإنجاز.</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c>
          <w:tcPr>
            <w:tcW w:type="dxa" w:w="2412"/>
            <w:tcBorders>
              <w:top w:val="single" w:color="DEDFE1" w:sz="4"/>
              <w:left w:val="single" w:color="DEDFE1" w:sz="4"/>
              <w:bottom w:val="single" w:color="DEDFE1" w:sz="4"/>
              <w:right w:val="single" w:color="DEDFE1" w:sz="4"/>
            </w:tcBorders>
            <w:shd w:fill="FFFFFF" w:color="auto" w:val="clear"/>
            <w:tcMar>
              <w:top w:type="dxa" w:w="150"/>
              <w:left w:type="dxa" w:w="120"/>
              <w:bottom w:type="dxa" w:w="150"/>
              <w:right w:type="dxa" w:w="120"/>
            </w:tcMar>
          </w:tcPr>
          <w:p>
            <w:pPr>
              <w:bidi/>
              <w:spacing w:after="40" w:before="0" w:line="300" w:lineRule="auto"/>
              <w:jc w:val="center"/>
            </w:pPr>
            <w:r>
              <w:rPr>
                <w:rFonts w:ascii="DIN Next LT Arabic" w:cs="DIN Next LT Arabic" w:eastAsia="DIN Next LT Arabic" w:hAnsi="DIN Next LT Arabic"/>
                <w:b/>
                <w:bCs/>
                <w:color w:val="D25C0C"/>
                <w:sz w:val="34"/>
                <w:szCs w:val="34"/>
                <w:rtl/>
              </w:rPr>
              <w:t xml:space="preserve">9</w:t>
            </w:r>
          </w:p>
          <w:p>
            <w:pPr>
              <w:bidi/>
              <w:spacing w:after="40" w:before="0" w:line="300" w:lineRule="auto"/>
              <w:jc w:val="center"/>
            </w:pPr>
            <w:r>
              <w:rPr>
                <w:rFonts w:ascii="DIN Next LT Arabic" w:cs="DIN Next LT Arabic" w:eastAsia="DIN Next LT Arabic" w:hAnsi="DIN Next LT Arabic"/>
                <w:b/>
                <w:bCs/>
                <w:color w:val="2B2E30"/>
                <w:sz w:val="18"/>
                <w:szCs w:val="18"/>
                <w:rtl/>
              </w:rPr>
              <w:t xml:space="preserve">مهام دورية معتمدة</w:t>
            </w:r>
          </w:p>
          <w:p>
            <w:pPr>
              <w:bidi/>
              <w:spacing w:after="0" w:before="0" w:line="300" w:lineRule="auto"/>
              <w:jc w:val="center"/>
            </w:pPr>
            <w:r>
              <w:rPr>
                <w:rFonts w:ascii="Tahoma" w:cs="Tahoma" w:eastAsia="Tahoma" w:hAnsi="Tahoma"/>
                <w:b w:val="false"/>
                <w:bCs w:val="false"/>
                <w:color w:val="8E9295"/>
                <w:sz w:val="15"/>
                <w:szCs w:val="15"/>
                <w:rtl/>
              </w:rPr>
              <w:t xml:space="preserve">مهمة واحدة مكتملة · 8 قيد التنفيذ</w:t>
            </w:r>
          </w:p>
        </w:tc>
        <w:tc>
          <w:tcPr>
            <w:tcW w:type="dxa" w:w="2412"/>
            <w:tcBorders>
              <w:top w:val="single" w:color="DEDFE1" w:sz="4"/>
              <w:left w:val="single" w:color="DEDFE1" w:sz="4"/>
              <w:bottom w:val="single" w:color="DEDFE1" w:sz="4"/>
              <w:right w:val="single" w:color="DEDFE1" w:sz="4"/>
            </w:tcBorders>
            <w:shd w:fill="FFFFFF" w:color="auto" w:val="clear"/>
            <w:tcMar>
              <w:top w:type="dxa" w:w="150"/>
              <w:left w:type="dxa" w:w="120"/>
              <w:bottom w:type="dxa" w:w="150"/>
              <w:right w:type="dxa" w:w="120"/>
            </w:tcMar>
          </w:tcPr>
          <w:p>
            <w:pPr>
              <w:bidi/>
              <w:spacing w:after="40" w:before="0" w:line="300" w:lineRule="auto"/>
              <w:jc w:val="center"/>
            </w:pPr>
            <w:r>
              <w:rPr>
                <w:rFonts w:ascii="DIN Next LT Arabic" w:cs="DIN Next LT Arabic" w:eastAsia="DIN Next LT Arabic" w:hAnsi="DIN Next LT Arabic"/>
                <w:b/>
                <w:bCs/>
                <w:color w:val="D25C0C"/>
                <w:sz w:val="34"/>
                <w:szCs w:val="34"/>
                <w:rtl/>
              </w:rPr>
              <w:t xml:space="preserve">‎44%‎</w:t>
            </w:r>
          </w:p>
          <w:p>
            <w:pPr>
              <w:bidi/>
              <w:spacing w:after="40" w:before="0" w:line="300" w:lineRule="auto"/>
              <w:jc w:val="center"/>
            </w:pPr>
            <w:r>
              <w:rPr>
                <w:rFonts w:ascii="DIN Next LT Arabic" w:cs="DIN Next LT Arabic" w:eastAsia="DIN Next LT Arabic" w:hAnsi="DIN Next LT Arabic"/>
                <w:b/>
                <w:bCs/>
                <w:color w:val="2B2E30"/>
                <w:sz w:val="18"/>
                <w:szCs w:val="18"/>
                <w:rtl/>
              </w:rPr>
              <w:t xml:space="preserve">متوسط نسبة الإنجاز</w:t>
            </w:r>
          </w:p>
          <w:p>
            <w:pPr>
              <w:bidi/>
              <w:spacing w:after="0" w:before="0" w:line="300" w:lineRule="auto"/>
              <w:jc w:val="center"/>
            </w:pPr>
            <w:r>
              <w:rPr>
                <w:rFonts w:ascii="Tahoma" w:cs="Tahoma" w:eastAsia="Tahoma" w:hAnsi="Tahoma"/>
                <w:b w:val="false"/>
                <w:bCs w:val="false"/>
                <w:color w:val="8E9295"/>
                <w:sz w:val="15"/>
                <w:szCs w:val="15"/>
                <w:rtl/>
              </w:rPr>
              <w:t xml:space="preserve">متوسط نسب الإنجاز عبر المهام التسع</w:t>
            </w:r>
          </w:p>
        </w:tc>
        <w:tc>
          <w:tcPr>
            <w:tcW w:type="dxa" w:w="2412"/>
            <w:tcBorders>
              <w:top w:val="single" w:color="DEDFE1" w:sz="4"/>
              <w:left w:val="single" w:color="DEDFE1" w:sz="4"/>
              <w:bottom w:val="single" w:color="DEDFE1" w:sz="4"/>
              <w:right w:val="single" w:color="DEDFE1" w:sz="4"/>
            </w:tcBorders>
            <w:shd w:fill="FFFFFF" w:color="auto" w:val="clear"/>
            <w:tcMar>
              <w:top w:type="dxa" w:w="150"/>
              <w:left w:type="dxa" w:w="120"/>
              <w:bottom w:type="dxa" w:w="150"/>
              <w:right w:type="dxa" w:w="120"/>
            </w:tcMar>
          </w:tcPr>
          <w:p>
            <w:pPr>
              <w:bidi/>
              <w:spacing w:after="40" w:before="0" w:line="300" w:lineRule="auto"/>
              <w:jc w:val="center"/>
            </w:pPr>
            <w:r>
              <w:rPr>
                <w:rFonts w:ascii="DIN Next LT Arabic" w:cs="DIN Next LT Arabic" w:eastAsia="DIN Next LT Arabic" w:hAnsi="DIN Next LT Arabic"/>
                <w:b/>
                <w:bCs/>
                <w:color w:val="D25C0C"/>
                <w:sz w:val="34"/>
                <w:szCs w:val="34"/>
                <w:rtl/>
              </w:rPr>
              <w:t xml:space="preserve">4</w:t>
            </w:r>
          </w:p>
          <w:p>
            <w:pPr>
              <w:bidi/>
              <w:spacing w:after="40" w:before="0" w:line="300" w:lineRule="auto"/>
              <w:jc w:val="center"/>
            </w:pPr>
            <w:r>
              <w:rPr>
                <w:rFonts w:ascii="DIN Next LT Arabic" w:cs="DIN Next LT Arabic" w:eastAsia="DIN Next LT Arabic" w:hAnsi="DIN Next LT Arabic"/>
                <w:b/>
                <w:bCs/>
                <w:color w:val="2B2E30"/>
                <w:sz w:val="18"/>
                <w:szCs w:val="18"/>
                <w:rtl/>
              </w:rPr>
              <w:t xml:space="preserve">مهام دون ‎40%‎</w:t>
            </w:r>
          </w:p>
          <w:p>
            <w:pPr>
              <w:bidi/>
              <w:spacing w:after="0" w:before="0" w:line="300" w:lineRule="auto"/>
              <w:jc w:val="center"/>
            </w:pPr>
            <w:r>
              <w:rPr>
                <w:rFonts w:ascii="Tahoma" w:cs="Tahoma" w:eastAsia="Tahoma" w:hAnsi="Tahoma"/>
                <w:b w:val="false"/>
                <w:bCs w:val="false"/>
                <w:color w:val="8E9295"/>
                <w:sz w:val="15"/>
                <w:szCs w:val="15"/>
                <w:rtl/>
              </w:rPr>
              <w:t xml:space="preserve">تحتاج خطة استدراك في الربع الرابع</w:t>
            </w:r>
          </w:p>
        </w:tc>
        <w:tc>
          <w:tcPr>
            <w:tcW w:type="dxa" w:w="2412"/>
            <w:tcBorders>
              <w:top w:val="single" w:color="DEDFE1" w:sz="4"/>
              <w:left w:val="single" w:color="DEDFE1" w:sz="4"/>
              <w:bottom w:val="single" w:color="DEDFE1" w:sz="4"/>
              <w:right w:val="single" w:color="DEDFE1" w:sz="4"/>
            </w:tcBorders>
            <w:shd w:fill="FFFFFF" w:color="auto" w:val="clear"/>
            <w:tcMar>
              <w:top w:type="dxa" w:w="150"/>
              <w:left w:type="dxa" w:w="120"/>
              <w:bottom w:type="dxa" w:w="150"/>
              <w:right w:type="dxa" w:w="120"/>
            </w:tcMar>
          </w:tcPr>
          <w:p>
            <w:pPr>
              <w:bidi/>
              <w:spacing w:after="40" w:before="0" w:line="300" w:lineRule="auto"/>
              <w:jc w:val="center"/>
            </w:pPr>
            <w:r>
              <w:rPr>
                <w:rFonts w:ascii="DIN Next LT Arabic" w:cs="DIN Next LT Arabic" w:eastAsia="DIN Next LT Arabic" w:hAnsi="DIN Next LT Arabic"/>
                <w:b/>
                <w:bCs/>
                <w:color w:val="D25C0C"/>
                <w:sz w:val="34"/>
                <w:szCs w:val="34"/>
                <w:rtl/>
              </w:rPr>
              <w:t xml:space="preserve">61</w:t>
            </w:r>
          </w:p>
          <w:p>
            <w:pPr>
              <w:bidi/>
              <w:spacing w:after="40" w:before="0" w:line="300" w:lineRule="auto"/>
              <w:jc w:val="center"/>
            </w:pPr>
            <w:r>
              <w:rPr>
                <w:rFonts w:ascii="DIN Next LT Arabic" w:cs="DIN Next LT Arabic" w:eastAsia="DIN Next LT Arabic" w:hAnsi="DIN Next LT Arabic"/>
                <w:b/>
                <w:bCs/>
                <w:color w:val="2B2E30"/>
                <w:sz w:val="18"/>
                <w:szCs w:val="18"/>
                <w:rtl/>
              </w:rPr>
              <w:t xml:space="preserve">إجمالي الوحدات المنجزة</w:t>
            </w:r>
          </w:p>
          <w:p>
            <w:pPr>
              <w:bidi/>
              <w:spacing w:after="0" w:before="0" w:line="300" w:lineRule="auto"/>
              <w:jc w:val="center"/>
            </w:pPr>
            <w:r>
              <w:rPr>
                <w:rFonts w:ascii="Tahoma" w:cs="Tahoma" w:eastAsia="Tahoma" w:hAnsi="Tahoma"/>
                <w:b w:val="false"/>
                <w:bCs w:val="false"/>
                <w:color w:val="8E9295"/>
                <w:sz w:val="15"/>
                <w:szCs w:val="15"/>
                <w:rtl/>
              </w:rPr>
              <w:t xml:space="preserve">من إجمالي 287 وحدة مستهدفة</w:t>
            </w:r>
          </w:p>
        </w:tc>
      </w:tr>
    </w:tbl>
    <w:p>
      <w:pPr>
        <w:spacing w:after="200"/>
      </w:pP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900"/>
        <w:gridCol w:w="1250"/>
        <w:gridCol w:w="1250"/>
        <w:gridCol w:w="1400"/>
        <w:gridCol w:w="1848"/>
      </w:tblGrid>
      <w:tr>
        <w:trPr>
          <w:tblHeader/>
        </w:trPr>
        <w:tc>
          <w:tcPr>
            <w:tcW w:type="dxa" w:w="39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المهمة</w:t>
            </w:r>
          </w:p>
        </w:tc>
        <w:tc>
          <w:tcPr>
            <w:tcW w:type="dxa" w:w="12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المستهدف</w:t>
            </w:r>
          </w:p>
        </w:tc>
        <w:tc>
          <w:tcPr>
            <w:tcW w:type="dxa" w:w="12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الإنجاز</w:t>
            </w:r>
          </w:p>
        </w:tc>
        <w:tc>
          <w:tcPr>
            <w:tcW w:type="dxa" w:w="14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نسبة الإنجاز</w:t>
            </w:r>
          </w:p>
        </w:tc>
        <w:tc>
          <w:tcPr>
            <w:tcW w:type="dxa" w:w="184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الحالة</w:t>
            </w:r>
          </w:p>
        </w:tc>
      </w:tr>
      <w:tr>
        <w:trPr>
          <w:cantSplit/>
        </w:trPr>
        <w:tc>
          <w:tcPr>
            <w:tcW w:type="dxa" w:w="3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ملف المؤثرين مصنفين بالمدن</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5</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5</w:t>
            </w:r>
          </w:p>
        </w:tc>
        <w:tc>
          <w:tcPr>
            <w:tcW w:type="dxa" w:w="14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‎100%‎</w:t>
            </w:r>
          </w:p>
        </w:tc>
        <w:tc>
          <w:tcPr>
            <w:tcW w:type="dxa" w:w="1848"/>
            <w:tcBorders>
              <w:top w:val="single" w:color="DEDFE1" w:sz="4"/>
              <w:left w:val="single" w:color="DEDFE1" w:sz="4"/>
              <w:bottom w:val="single" w:color="DEDFE1" w:sz="4"/>
              <w:right w:val="single" w:color="DEDFE1" w:sz="4"/>
            </w:tcBorders>
            <w:shd w:fill="E7F3EC"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1B7A4B"/>
                <w:sz w:val="18"/>
                <w:szCs w:val="18"/>
                <w:rtl/>
              </w:rPr>
              <w:t xml:space="preserve">✔ مكتمل</w:t>
            </w:r>
          </w:p>
        </w:tc>
      </w:tr>
      <w:tr>
        <w:trPr>
          <w:cantSplit/>
        </w:trPr>
        <w:tc>
          <w:tcPr>
            <w:tcW w:type="dxa" w:w="39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المشاركة في الأيام العالمية والمناسبات</w:t>
            </w:r>
          </w:p>
        </w:tc>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12</w:t>
            </w:r>
          </w:p>
        </w:tc>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10</w:t>
            </w:r>
          </w:p>
        </w:tc>
        <w:tc>
          <w:tcPr>
            <w:tcW w:type="dxa" w:w="14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‎83%‎</w:t>
            </w:r>
          </w:p>
        </w:tc>
        <w:tc>
          <w:tcPr>
            <w:tcW w:type="dxa" w:w="1848"/>
            <w:tcBorders>
              <w:top w:val="single" w:color="DEDFE1" w:sz="4"/>
              <w:left w:val="single" w:color="DEDFE1" w:sz="4"/>
              <w:bottom w:val="single" w:color="DEDFE1" w:sz="4"/>
              <w:right w:val="single" w:color="DEDFE1" w:sz="4"/>
            </w:tcBorders>
            <w:shd w:fill="E7F3EC"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1B7A4B"/>
                <w:sz w:val="18"/>
                <w:szCs w:val="18"/>
                <w:rtl/>
              </w:rPr>
              <w:t xml:space="preserve">✔ متقدم</w:t>
            </w:r>
          </w:p>
        </w:tc>
      </w:tr>
      <w:tr>
        <w:trPr>
          <w:cantSplit/>
        </w:trPr>
        <w:tc>
          <w:tcPr>
            <w:tcW w:type="dxa" w:w="3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عقود مؤثرين</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6</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3</w:t>
            </w:r>
          </w:p>
        </w:tc>
        <w:tc>
          <w:tcPr>
            <w:tcW w:type="dxa" w:w="14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‎50%‎</w:t>
            </w:r>
          </w:p>
        </w:tc>
        <w:tc>
          <w:tcPr>
            <w:tcW w:type="dxa" w:w="1848"/>
            <w:tcBorders>
              <w:top w:val="single" w:color="DEDFE1" w:sz="4"/>
              <w:left w:val="single" w:color="DEDFE1" w:sz="4"/>
              <w:bottom w:val="single" w:color="DEDFE1" w:sz="4"/>
              <w:right w:val="single" w:color="DEDFE1" w:sz="4"/>
            </w:tcBorders>
            <w:shd w:fill="FDEADC"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D25C0C"/>
                <w:sz w:val="18"/>
                <w:szCs w:val="18"/>
                <w:rtl/>
              </w:rPr>
              <w:t xml:space="preserve">◐ قيد التنفيذ</w:t>
            </w:r>
          </w:p>
        </w:tc>
      </w:tr>
      <w:tr>
        <w:trPr>
          <w:cantSplit/>
        </w:trPr>
        <w:tc>
          <w:tcPr>
            <w:tcW w:type="dxa" w:w="39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اجتماعات الامتياز التجاري</w:t>
            </w:r>
          </w:p>
        </w:tc>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12</w:t>
            </w:r>
          </w:p>
        </w:tc>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6</w:t>
            </w:r>
          </w:p>
        </w:tc>
        <w:tc>
          <w:tcPr>
            <w:tcW w:type="dxa" w:w="14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‎50%‎</w:t>
            </w:r>
          </w:p>
        </w:tc>
        <w:tc>
          <w:tcPr>
            <w:tcW w:type="dxa" w:w="1848"/>
            <w:tcBorders>
              <w:top w:val="single" w:color="DEDFE1" w:sz="4"/>
              <w:left w:val="single" w:color="DEDFE1" w:sz="4"/>
              <w:bottom w:val="single" w:color="DEDFE1" w:sz="4"/>
              <w:right w:val="single" w:color="DEDFE1" w:sz="4"/>
            </w:tcBorders>
            <w:shd w:fill="FDEADC"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D25C0C"/>
                <w:sz w:val="18"/>
                <w:szCs w:val="18"/>
                <w:rtl/>
              </w:rPr>
              <w:t xml:space="preserve">◐ قيد التنفيذ</w:t>
            </w:r>
          </w:p>
        </w:tc>
      </w:tr>
      <w:tr>
        <w:trPr>
          <w:cantSplit/>
        </w:trPr>
        <w:tc>
          <w:tcPr>
            <w:tcW w:type="dxa" w:w="3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عرض البنزين — افتتاحات الامتياز التجاري</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20</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8</w:t>
            </w:r>
          </w:p>
        </w:tc>
        <w:tc>
          <w:tcPr>
            <w:tcW w:type="dxa" w:w="14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‎40%‎</w:t>
            </w:r>
          </w:p>
        </w:tc>
        <w:tc>
          <w:tcPr>
            <w:tcW w:type="dxa" w:w="1848"/>
            <w:tcBorders>
              <w:top w:val="single" w:color="DEDFE1" w:sz="4"/>
              <w:left w:val="single" w:color="DEDFE1" w:sz="4"/>
              <w:bottom w:val="single" w:color="DEDFE1" w:sz="4"/>
              <w:right w:val="single" w:color="DEDFE1" w:sz="4"/>
            </w:tcBorders>
            <w:shd w:fill="FDEADC"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D25C0C"/>
                <w:sz w:val="18"/>
                <w:szCs w:val="18"/>
                <w:rtl/>
              </w:rPr>
              <w:t xml:space="preserve">◐ قيد التنفيذ</w:t>
            </w:r>
          </w:p>
        </w:tc>
      </w:tr>
      <w:tr>
        <w:trPr>
          <w:cantSplit/>
        </w:trPr>
        <w:tc>
          <w:tcPr>
            <w:tcW w:type="dxa" w:w="39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اجتماعات التشغيل</w:t>
            </w:r>
          </w:p>
        </w:tc>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12</w:t>
            </w:r>
          </w:p>
        </w:tc>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4</w:t>
            </w:r>
          </w:p>
        </w:tc>
        <w:tc>
          <w:tcPr>
            <w:tcW w:type="dxa" w:w="14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‎33%‎</w:t>
            </w:r>
          </w:p>
        </w:tc>
        <w:tc>
          <w:tcPr>
            <w:tcW w:type="dxa" w:w="1848"/>
            <w:tcBorders>
              <w:top w:val="single" w:color="DEDFE1" w:sz="4"/>
              <w:left w:val="single" w:color="DEDFE1" w:sz="4"/>
              <w:bottom w:val="single" w:color="DEDFE1" w:sz="4"/>
              <w:right w:val="single" w:color="DEDFE1" w:sz="4"/>
            </w:tcBorders>
            <w:shd w:fill="FBE9EE"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C6486B"/>
                <w:sz w:val="18"/>
                <w:szCs w:val="18"/>
                <w:rtl/>
              </w:rPr>
              <w:t xml:space="preserve">✕ متأخر</w:t>
            </w:r>
          </w:p>
        </w:tc>
      </w:tr>
      <w:tr>
        <w:trPr>
          <w:cantSplit/>
        </w:trPr>
        <w:tc>
          <w:tcPr>
            <w:tcW w:type="dxa" w:w="3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عرض البنزين — افتتاحات التشغيل</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20</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4</w:t>
            </w:r>
          </w:p>
        </w:tc>
        <w:tc>
          <w:tcPr>
            <w:tcW w:type="dxa" w:w="14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‎20%‎</w:t>
            </w:r>
          </w:p>
        </w:tc>
        <w:tc>
          <w:tcPr>
            <w:tcW w:type="dxa" w:w="1848"/>
            <w:tcBorders>
              <w:top w:val="single" w:color="DEDFE1" w:sz="4"/>
              <w:left w:val="single" w:color="DEDFE1" w:sz="4"/>
              <w:bottom w:val="single" w:color="DEDFE1" w:sz="4"/>
              <w:right w:val="single" w:color="DEDFE1" w:sz="4"/>
            </w:tcBorders>
            <w:shd w:fill="FBE9EE"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C6486B"/>
                <w:sz w:val="18"/>
                <w:szCs w:val="18"/>
                <w:rtl/>
              </w:rPr>
              <w:t xml:space="preserve">✕ متأخر</w:t>
            </w:r>
          </w:p>
        </w:tc>
      </w:tr>
      <w:tr>
        <w:trPr>
          <w:cantSplit/>
        </w:trPr>
        <w:tc>
          <w:tcPr>
            <w:tcW w:type="dxa" w:w="39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تغطية افتتاحات المحطات الجديدة — تشغيل</w:t>
            </w:r>
          </w:p>
        </w:tc>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100</w:t>
            </w:r>
          </w:p>
        </w:tc>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13</w:t>
            </w:r>
          </w:p>
        </w:tc>
        <w:tc>
          <w:tcPr>
            <w:tcW w:type="dxa" w:w="14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‎13%‎</w:t>
            </w:r>
          </w:p>
        </w:tc>
        <w:tc>
          <w:tcPr>
            <w:tcW w:type="dxa" w:w="1848"/>
            <w:tcBorders>
              <w:top w:val="single" w:color="DEDFE1" w:sz="4"/>
              <w:left w:val="single" w:color="DEDFE1" w:sz="4"/>
              <w:bottom w:val="single" w:color="DEDFE1" w:sz="4"/>
              <w:right w:val="single" w:color="DEDFE1" w:sz="4"/>
            </w:tcBorders>
            <w:shd w:fill="FBE9EE"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C6486B"/>
                <w:sz w:val="18"/>
                <w:szCs w:val="18"/>
                <w:rtl/>
              </w:rPr>
              <w:t xml:space="preserve">✕ متأخر</w:t>
            </w:r>
          </w:p>
        </w:tc>
      </w:tr>
      <w:tr>
        <w:trPr>
          <w:cantSplit/>
        </w:trPr>
        <w:tc>
          <w:tcPr>
            <w:tcW w:type="dxa" w:w="39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دعم افتتاحات المحطات الجديدة — امتياز تجاري</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100</w:t>
            </w:r>
          </w:p>
        </w:tc>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8</w:t>
            </w:r>
          </w:p>
        </w:tc>
        <w:tc>
          <w:tcPr>
            <w:tcW w:type="dxa" w:w="14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5E6265"/>
                <w:sz w:val="18"/>
                <w:szCs w:val="18"/>
                <w:rtl/>
              </w:rPr>
              <w:t xml:space="preserve">‎8%‎</w:t>
            </w:r>
          </w:p>
        </w:tc>
        <w:tc>
          <w:tcPr>
            <w:tcW w:type="dxa" w:w="1848"/>
            <w:tcBorders>
              <w:top w:val="single" w:color="DEDFE1" w:sz="4"/>
              <w:left w:val="single" w:color="DEDFE1" w:sz="4"/>
              <w:bottom w:val="single" w:color="DEDFE1" w:sz="4"/>
              <w:right w:val="single" w:color="DEDFE1" w:sz="4"/>
            </w:tcBorders>
            <w:shd w:fill="FBE9EE"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C6486B"/>
                <w:sz w:val="18"/>
                <w:szCs w:val="18"/>
                <w:rtl/>
              </w:rPr>
              <w:t xml:space="preserve">✕ متأخر</w:t>
            </w:r>
          </w:p>
        </w:tc>
      </w:tr>
    </w:tbl>
    <w:p>
      <w:pPr>
        <w:spacing w:after="200"/>
      </w:pP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single" w:color="F3741F" w:sz="18"/>
            </w:tcBorders>
            <w:shd w:fill="FDEADC" w:color="auto" w:val="clear"/>
            <w:tcMar>
              <w:top w:type="dxa" w:w="170"/>
              <w:left w:type="dxa" w:w="180"/>
              <w:bottom w:type="dxa" w:w="170"/>
              <w:right w:type="dxa" w:w="180"/>
            </w:tcMar>
          </w:tcPr>
          <w:p>
            <w:pPr>
              <w:bidi/>
              <w:spacing w:after="90" w:before="0" w:line="300" w:lineRule="auto"/>
              <w:jc w:val="start"/>
            </w:pPr>
            <w:r>
              <w:rPr>
                <w:rFonts w:ascii="DIN Next LT Arabic" w:cs="DIN Next LT Arabic" w:eastAsia="DIN Next LT Arabic" w:hAnsi="DIN Next LT Arabic"/>
                <w:b/>
                <w:bCs/>
                <w:color w:val="D25C0C"/>
                <w:sz w:val="21"/>
                <w:szCs w:val="21"/>
                <w:rtl/>
              </w:rPr>
              <w:t xml:space="preserve">قراءة سريعة</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مهمة واحدة مكتملة: «ملف المؤثرين مصنفين بالمدن» بنسبة ‎100%‎ — وهي المهمة التأسيسية الوحيدة ضمن القائمة.</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الأقرب للاكتمال: «المشاركة في الأيام العالمية والمناسبات» عند ‎83%‎ (10 من 12).</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أربع مهام دون ‎40%‎، وثلاث منها مرتبطة مباشرة بافتتاحات المحطات: تغطية الافتتاحات — تشغيل (‎13%‎)، ودعم الافتتاحات — امتياز تجاري (‎8%‎)، وعرض البنزين — افتتاحات التشغيل (‎20%‎). وهي مهام يرتبط إنجازها بوتيرة الافتتاحات الفعلية لا بجهد الفريق وحده.</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اجتماعات التشغيل عند ‎33%‎ مقابل اجتماعات الامتياز التجاري عند ‎50%‎ — فجوة تستدعي تثبيت وتيرة اجتماعات التشغيل.</w:t>
            </w:r>
          </w:p>
          <w:p>
            <w:pPr>
              <w:pStyle w:val="ListParagraph"/>
              <w:numPr>
                <w:ilvl w:val="0"/>
                <w:numId w:val="1"/>
              </w:numPr>
              <w:bidi/>
              <w:spacing w:after="70" w:line="290" w:lineRule="auto"/>
            </w:pPr>
            <w:r>
              <w:rPr>
                <w:rFonts w:ascii="Tahoma" w:cs="Tahoma" w:eastAsia="Tahoma" w:hAnsi="Tahoma"/>
                <w:b w:val="false"/>
                <w:bCs w:val="false"/>
                <w:color w:val="2B2E30"/>
                <w:sz w:val="19"/>
                <w:szCs w:val="19"/>
                <w:rtl/>
              </w:rPr>
              <w:t xml:space="preserve">لم تُسجَّل مبررات التأخر في لوحة المهام، ويُوصى بإضافتها لكل مهمة دون ‎40%‎ قبل إقفال الربع.</w:t>
            </w:r>
          </w:p>
        </w:tc>
      </w:tr>
    </w:tbl>
    <w:p>
      <w:pPr>
        <w:keepNext/>
        <w:pageBreakBefore/>
        <w:bidi/>
        <w:spacing w:after="40" w:before="0" w:line="300" w:lineRule="auto"/>
        <w:jc w:val="start"/>
      </w:pPr>
      <w:r>
        <w:rPr>
          <w:rFonts w:ascii="DIN Next LT Arabic" w:cs="DIN Next LT Arabic" w:eastAsia="DIN Next LT Arabic" w:hAnsi="DIN Next LT Arabic"/>
          <w:b/>
          <w:bCs/>
          <w:color w:val="D25C0C"/>
          <w:sz w:val="16"/>
          <w:szCs w:val="16"/>
          <w:rtl/>
        </w:rPr>
        <w:t xml:space="preserve">08 · التحديات</w:t>
      </w:r>
    </w:p>
    <w:p>
      <w:pPr>
        <w:keepNext/>
        <w:pBdr>
          <w:bottom w:val="single" w:color="F3741F" w:sz="10" w:space="6"/>
        </w:pBdr>
        <w:bidi/>
        <w:spacing w:after="120" w:before="0" w:line="300" w:lineRule="auto"/>
        <w:jc w:val="start"/>
      </w:pPr>
      <w:r>
        <w:rPr>
          <w:rFonts w:ascii="DIN Next LT Arabic" w:cs="DIN Next LT Arabic" w:eastAsia="DIN Next LT Arabic" w:hAnsi="DIN Next LT Arabic"/>
          <w:b/>
          <w:bCs/>
          <w:color w:val="2B2E30"/>
          <w:sz w:val="30"/>
          <w:szCs w:val="30"/>
          <w:rtl/>
        </w:rPr>
        <w:t xml:space="preserve">التحديات التي واجهت تنفيذ حملات الربع</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50"/>
        <w:gridCol w:w="3450"/>
        <w:gridCol w:w="2100"/>
        <w:gridCol w:w="2848"/>
      </w:tblGrid>
      <w:tr>
        <w:trPr>
          <w:tblHeader/>
        </w:trPr>
        <w:tc>
          <w:tcPr>
            <w:tcW w:type="dxa" w:w="12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المجال</w:t>
            </w:r>
          </w:p>
        </w:tc>
        <w:tc>
          <w:tcPr>
            <w:tcW w:type="dxa" w:w="345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التحدي</w:t>
            </w:r>
          </w:p>
        </w:tc>
        <w:tc>
          <w:tcPr>
            <w:tcW w:type="dxa" w:w="21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الحملات المتأثرة</w:t>
            </w:r>
          </w:p>
        </w:tc>
        <w:tc>
          <w:tcPr>
            <w:tcW w:type="dxa" w:w="284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الأثر</w:t>
            </w:r>
          </w:p>
        </w:tc>
      </w:tr>
      <w:tr>
        <w:trPr>
          <w:cantSplit/>
        </w:trPr>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تشغيلي</w:t>
            </w:r>
          </w:p>
        </w:tc>
        <w:tc>
          <w:tcPr>
            <w:tcW w:type="dxa" w:w="3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ضعف التنسيق المسبق قبل انطلاق الحملة — مع مدير المحطة والشريك والمؤثرين</w:t>
            </w:r>
          </w:p>
        </w:tc>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NJ219 · HA052 · MK040</w:t>
            </w:r>
          </w:p>
        </w:tc>
        <w:tc>
          <w:tcPr>
            <w:tcW w:type="dxa" w:w="28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تكرر في 3 حملات من 4؛ يرفع مخاطر التنفيذ ويقلّص زمن التجهيز</w:t>
            </w:r>
          </w:p>
        </w:tc>
      </w:tr>
      <w:tr>
        <w:trPr>
          <w:cantSplit/>
        </w:trPr>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تنظيمي</w:t>
            </w:r>
          </w:p>
        </w:tc>
        <w:tc>
          <w:tcPr>
            <w:tcW w:type="dxa" w:w="34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عدم إصدار تصريح الفعالية والتعاقد مع شركة حراسات أمنية قبل التنفيذ</w:t>
            </w:r>
          </w:p>
        </w:tc>
        <w:tc>
          <w:tcPr>
            <w:tcW w:type="dxa" w:w="2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HA052</w:t>
            </w:r>
          </w:p>
        </w:tc>
        <w:tc>
          <w:tcPr>
            <w:tcW w:type="dxa" w:w="28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مخاطرة نظامية وأمنية مباشرة على فعالية جماهيرية</w:t>
            </w:r>
          </w:p>
        </w:tc>
      </w:tr>
      <w:tr>
        <w:trPr>
          <w:cantSplit/>
        </w:trPr>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مالي</w:t>
            </w:r>
          </w:p>
        </w:tc>
        <w:tc>
          <w:tcPr>
            <w:tcW w:type="dxa" w:w="3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تجاوز الميزانية المخصصة دون مبرر موثّق</w:t>
            </w:r>
          </w:p>
        </w:tc>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NJ219</w:t>
            </w:r>
          </w:p>
        </w:tc>
        <w:tc>
          <w:tcPr>
            <w:tcW w:type="dxa" w:w="28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تجاوز 4,000 ر.س (‎119%‎ استهلاك)</w:t>
            </w:r>
          </w:p>
        </w:tc>
      </w:tr>
      <w:tr>
        <w:trPr>
          <w:cantSplit/>
        </w:trPr>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مالي</w:t>
            </w:r>
          </w:p>
        </w:tc>
        <w:tc>
          <w:tcPr>
            <w:tcW w:type="dxa" w:w="34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عدم تسجيل الميزانية المخصصة والفعلية للحملة</w:t>
            </w:r>
          </w:p>
        </w:tc>
        <w:tc>
          <w:tcPr>
            <w:tcW w:type="dxa" w:w="2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JA070</w:t>
            </w:r>
          </w:p>
        </w:tc>
        <w:tc>
          <w:tcPr>
            <w:tcW w:type="dxa" w:w="28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يتعذّر احتساب كفاءة الإنفاق وعائده للحملة</w:t>
            </w:r>
          </w:p>
        </w:tc>
      </w:tr>
      <w:tr>
        <w:trPr>
          <w:cantSplit/>
        </w:trPr>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قياس</w:t>
            </w:r>
          </w:p>
        </w:tc>
        <w:tc>
          <w:tcPr>
            <w:tcW w:type="dxa" w:w="3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المؤشرات التجارية غير مُستهدفة مسبقاً؛ وقيس الأثر لاحقاً لثلاث حملات فقط</w:t>
            </w:r>
          </w:p>
        </w:tc>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ظبيا JA070 · فعالية اليوم الوطني</w:t>
            </w:r>
          </w:p>
        </w:tc>
        <w:tc>
          <w:tcPr>
            <w:tcW w:type="dxa" w:w="28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حملتان من خمس بلا أي قياس تجاري رغم أن الفعالية أكبر بند إنفاق في الربع</w:t>
            </w:r>
          </w:p>
        </w:tc>
      </w:tr>
      <w:tr>
        <w:trPr>
          <w:cantSplit/>
        </w:trPr>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قياس</w:t>
            </w:r>
          </w:p>
        </w:tc>
        <w:tc>
          <w:tcPr>
            <w:tcW w:type="dxa" w:w="34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تسجيل عدد التفاعلات في النظام تحت مسمى «معدل التفاعل %»</w:t>
            </w:r>
          </w:p>
        </w:tc>
        <w:tc>
          <w:tcPr>
            <w:tcW w:type="dxa" w:w="2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JA070 · HA052 · MK040</w:t>
            </w:r>
          </w:p>
        </w:tc>
        <w:tc>
          <w:tcPr>
            <w:tcW w:type="dxa" w:w="28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يُنتج قيماً مضلّلة مثل «‎16,805%‎» ما لم تُصحَّح وحدة القياس</w:t>
            </w:r>
          </w:p>
        </w:tc>
      </w:tr>
      <w:tr>
        <w:trPr>
          <w:cantSplit/>
        </w:trPr>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تخطيطي</w:t>
            </w:r>
          </w:p>
        </w:tc>
        <w:tc>
          <w:tcPr>
            <w:tcW w:type="dxa" w:w="3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مستهدف الوصول الموحّد (100,000 لكل حملة) أقل بكثير من الأداء الفعلي</w:t>
            </w:r>
          </w:p>
        </w:tc>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الحملات الأربع</w:t>
            </w:r>
          </w:p>
        </w:tc>
        <w:tc>
          <w:tcPr>
            <w:tcW w:type="dxa" w:w="28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تجاوز بين 2.7 و26 ضعفاً يُفقد المستهدف قيمته كأداة قياس</w:t>
            </w:r>
          </w:p>
        </w:tc>
      </w:tr>
      <w:tr>
        <w:trPr>
          <w:cantSplit/>
        </w:trPr>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قياس</w:t>
            </w:r>
          </w:p>
        </w:tc>
        <w:tc>
          <w:tcPr>
            <w:tcW w:type="dxa" w:w="34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تنفيذ فعالية اليوم الوطني دون مؤشرات أداء معتمدة ولا قياس وصول أو تفاعل</w:t>
            </w:r>
          </w:p>
        </w:tc>
        <w:tc>
          <w:tcPr>
            <w:tcW w:type="dxa" w:w="2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فعالية اليوم الوطني</w:t>
            </w:r>
          </w:p>
        </w:tc>
        <w:tc>
          <w:tcPr>
            <w:tcW w:type="dxa" w:w="28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أكبر بند إنفاق في الربع (30,007 ر.س · ‎45%‎) وأقلّه قياساً</w:t>
            </w:r>
          </w:p>
        </w:tc>
      </w:tr>
      <w:tr>
        <w:trPr>
          <w:cantSplit/>
        </w:trPr>
        <w:tc>
          <w:tcPr>
            <w:tcW w:type="dxa" w:w="12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مالي</w:t>
            </w:r>
          </w:p>
        </w:tc>
        <w:tc>
          <w:tcPr>
            <w:tcW w:type="dxa" w:w="345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الصرف دون ميزانية مخصصة معتمدة مسبقاً</w:t>
            </w:r>
          </w:p>
        </w:tc>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فعالية اليوم الوطني · JA070</w:t>
            </w:r>
          </w:p>
        </w:tc>
        <w:tc>
          <w:tcPr>
            <w:tcW w:type="dxa" w:w="28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يتعذّر قياس الانضباط المالي على ‎45%‎ من إنفاق الربع</w:t>
            </w:r>
          </w:p>
        </w:tc>
      </w:tr>
      <w:tr>
        <w:trPr>
          <w:cantSplit/>
        </w:trPr>
        <w:tc>
          <w:tcPr>
            <w:tcW w:type="dxa" w:w="12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شراء</w:t>
            </w:r>
          </w:p>
        </w:tc>
        <w:tc>
          <w:tcPr>
            <w:tcW w:type="dxa" w:w="345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تركّز ‎68%‎ من تكلفة الفعالية في بند الليزرات، وزيادة 1,200 ر.س على سعره بعد الاعتماد</w:t>
            </w:r>
          </w:p>
        </w:tc>
        <w:tc>
          <w:tcPr>
            <w:tcW w:type="dxa" w:w="2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فعالية اليوم الوطني</w:t>
            </w:r>
          </w:p>
        </w:tc>
        <w:tc>
          <w:tcPr>
            <w:tcW w:type="dxa" w:w="28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20,520 ر.س بمعدل 641.25 ر.س للوحدة (‎+6.2%‎) دون مرجع سعري موثّق</w:t>
            </w:r>
          </w:p>
        </w:tc>
      </w:tr>
    </w:tbl>
    <w:p>
      <w:pPr>
        <w:keepNext/>
        <w:pageBreakBefore/>
        <w:bidi/>
        <w:spacing w:after="40" w:before="0" w:line="300" w:lineRule="auto"/>
        <w:jc w:val="start"/>
      </w:pPr>
      <w:r>
        <w:rPr>
          <w:rFonts w:ascii="DIN Next LT Arabic" w:cs="DIN Next LT Arabic" w:eastAsia="DIN Next LT Arabic" w:hAnsi="DIN Next LT Arabic"/>
          <w:b/>
          <w:bCs/>
          <w:color w:val="D25C0C"/>
          <w:sz w:val="16"/>
          <w:szCs w:val="16"/>
          <w:rtl/>
        </w:rPr>
        <w:t xml:space="preserve">09 · الفرص</w:t>
      </w:r>
    </w:p>
    <w:p>
      <w:pPr>
        <w:keepNext/>
        <w:pBdr>
          <w:bottom w:val="single" w:color="F3741F" w:sz="10" w:space="6"/>
        </w:pBdr>
        <w:bidi/>
        <w:spacing w:after="120" w:before="0" w:line="300" w:lineRule="auto"/>
        <w:jc w:val="start"/>
      </w:pPr>
      <w:r>
        <w:rPr>
          <w:rFonts w:ascii="DIN Next LT Arabic" w:cs="DIN Next LT Arabic" w:eastAsia="DIN Next LT Arabic" w:hAnsi="DIN Next LT Arabic"/>
          <w:b/>
          <w:bCs/>
          <w:color w:val="2B2E30"/>
          <w:sz w:val="30"/>
          <w:szCs w:val="30"/>
          <w:rtl/>
        </w:rPr>
        <w:t xml:space="preserve">الفرص الممكن الاستفادة منها</w:t>
      </w:r>
    </w:p>
    <w:p>
      <w:pPr>
        <w:bidi/>
        <w:spacing w:after="180" w:before="0" w:line="300" w:lineRule="auto"/>
        <w:jc w:val="start"/>
      </w:pPr>
      <w:r>
        <w:rPr>
          <w:rFonts w:ascii="Tahoma" w:cs="Tahoma" w:eastAsia="Tahoma" w:hAnsi="Tahoma"/>
          <w:b w:val="false"/>
          <w:bCs w:val="false"/>
          <w:color w:val="5E6265"/>
          <w:sz w:val="20"/>
          <w:szCs w:val="20"/>
          <w:rtl/>
        </w:rPr>
        <w:t xml:space="preserve">فرص مستخلصة من أداء الربع نفسه، قابلة للتفعيل خلال الربع الرابع.</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توسيع نموذج أثبت نجاحه</w:t>
      </w:r>
    </w:p>
    <w:p>
      <w:pPr>
        <w:pStyle w:val="ListParagraph"/>
        <w:numPr>
          <w:ilvl w:val="0"/>
          <w:numId w:val="1"/>
        </w:numPr>
        <w:bidi/>
        <w:spacing w:after="50" w:line="280" w:lineRule="auto"/>
      </w:pPr>
      <w:r>
        <w:rPr>
          <w:rFonts w:ascii="Tahoma" w:cs="Tahoma" w:eastAsia="Tahoma" w:hAnsi="Tahoma"/>
          <w:b w:val="false"/>
          <w:bCs w:val="false"/>
          <w:color w:val="5E6265"/>
          <w:sz w:val="19"/>
          <w:szCs w:val="19"/>
          <w:rtl/>
        </w:rPr>
        <w:t xml:space="preserve">تعميم «البنزين المجاني للسيارات الأولى» كنموذج قياسي لكل افتتاح محطة جديدة — كلفة منخفضة ووصول يفوق المستهدف بأضعاف.</w:t>
      </w:r>
    </w:p>
    <w:p>
      <w:pPr>
        <w:pStyle w:val="ListParagraph"/>
        <w:numPr>
          <w:ilvl w:val="0"/>
          <w:numId w:val="1"/>
        </w:numPr>
        <w:bidi/>
        <w:spacing w:after="50" w:line="280" w:lineRule="auto"/>
      </w:pPr>
      <w:r>
        <w:rPr>
          <w:rFonts w:ascii="Tahoma" w:cs="Tahoma" w:eastAsia="Tahoma" w:hAnsi="Tahoma"/>
          <w:b w:val="false"/>
          <w:bCs w:val="false"/>
          <w:color w:val="5E6265"/>
          <w:sz w:val="19"/>
          <w:szCs w:val="19"/>
          <w:rtl/>
        </w:rPr>
        <w:t xml:space="preserve">تمديد مدة حملة الافتتاح إلى ثلاثة أيام كما في الروضة MK040 بدل يوم واحد.</w:t>
      </w:r>
    </w:p>
    <w:p>
      <w:pPr>
        <w:pStyle w:val="ListParagraph"/>
        <w:numPr>
          <w:ilvl w:val="0"/>
          <w:numId w:val="1"/>
        </w:numPr>
        <w:bidi/>
        <w:spacing w:after="50" w:line="280" w:lineRule="auto"/>
      </w:pPr>
      <w:r>
        <w:rPr>
          <w:rFonts w:ascii="Tahoma" w:cs="Tahoma" w:eastAsia="Tahoma" w:hAnsi="Tahoma"/>
          <w:b w:val="false"/>
          <w:bCs w:val="false"/>
          <w:color w:val="5E6265"/>
          <w:sz w:val="19"/>
          <w:szCs w:val="19"/>
          <w:rtl/>
        </w:rPr>
        <w:t xml:space="preserve">نقل النموذج إلى محطات الامتياز التجاري بعد نجاحه في ظبيا JA070.</w:t>
      </w:r>
    </w:p>
    <w:p>
      <w:pPr>
        <w:pStyle w:val="ListParagraph"/>
        <w:numPr>
          <w:ilvl w:val="0"/>
          <w:numId w:val="1"/>
        </w:numPr>
        <w:bidi/>
        <w:spacing w:after="50" w:line="280" w:lineRule="auto"/>
      </w:pPr>
      <w:r>
        <w:rPr>
          <w:rFonts w:ascii="Tahoma" w:cs="Tahoma" w:eastAsia="Tahoma" w:hAnsi="Tahoma"/>
          <w:b w:val="false"/>
          <w:bCs w:val="false"/>
          <w:color w:val="5E6265"/>
          <w:sz w:val="19"/>
          <w:szCs w:val="19"/>
          <w:rtl/>
        </w:rPr>
        <w:t xml:space="preserve">اعتماد حزمة مناسبات قياسية متكررة (اليوم الوطني · يوم التأسيس) بتكلفة وحدة معلومة مسبقاً وسعر مثبَّت تعاقدياً.</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تحويل الوصول إلى قيمة تجارية</w:t>
      </w:r>
    </w:p>
    <w:p>
      <w:pPr>
        <w:pStyle w:val="ListParagraph"/>
        <w:numPr>
          <w:ilvl w:val="0"/>
          <w:numId w:val="1"/>
        </w:numPr>
        <w:bidi/>
        <w:spacing w:after="50" w:line="280" w:lineRule="auto"/>
      </w:pPr>
      <w:r>
        <w:rPr>
          <w:rFonts w:ascii="Tahoma" w:cs="Tahoma" w:eastAsia="Tahoma" w:hAnsi="Tahoma"/>
          <w:b w:val="false"/>
          <w:bCs w:val="false"/>
          <w:color w:val="5E6265"/>
          <w:sz w:val="19"/>
          <w:szCs w:val="19"/>
          <w:rtl/>
        </w:rPr>
        <w:t xml:space="preserve">ربط الحملات ببرنامج الولاء وتحويل الوصول المرتفع إلى تسجيلات وعملاء متكررين.</w:t>
      </w:r>
    </w:p>
    <w:p>
      <w:pPr>
        <w:pStyle w:val="ListParagraph"/>
        <w:numPr>
          <w:ilvl w:val="0"/>
          <w:numId w:val="1"/>
        </w:numPr>
        <w:bidi/>
        <w:spacing w:after="50" w:line="280" w:lineRule="auto"/>
      </w:pPr>
      <w:r>
        <w:rPr>
          <w:rFonts w:ascii="Tahoma" w:cs="Tahoma" w:eastAsia="Tahoma" w:hAnsi="Tahoma"/>
          <w:b w:val="false"/>
          <w:bCs w:val="false"/>
          <w:color w:val="5E6265"/>
          <w:sz w:val="19"/>
          <w:szCs w:val="19"/>
          <w:rtl/>
        </w:rPr>
        <w:t xml:space="preserve">تفعيل قياس الفرص التجارية والعملاء المحوّلين لاحتساب عائد الإنفاق لأول مرة.</w:t>
      </w:r>
    </w:p>
    <w:p>
      <w:pPr>
        <w:pStyle w:val="ListParagraph"/>
        <w:numPr>
          <w:ilvl w:val="0"/>
          <w:numId w:val="1"/>
        </w:numPr>
        <w:bidi/>
        <w:spacing w:after="50" w:line="280" w:lineRule="auto"/>
      </w:pPr>
      <w:r>
        <w:rPr>
          <w:rFonts w:ascii="Tahoma" w:cs="Tahoma" w:eastAsia="Tahoma" w:hAnsi="Tahoma"/>
          <w:b w:val="false"/>
          <w:bCs w:val="false"/>
          <w:color w:val="5E6265"/>
          <w:sz w:val="19"/>
          <w:szCs w:val="19"/>
          <w:rtl/>
        </w:rPr>
        <w:t xml:space="preserve">إشراك شريك الامتياز في تحمّل جزء من كلفة الحملة مقابل التغطية.</w:t>
      </w:r>
    </w:p>
    <w:p>
      <w:pPr>
        <w:pStyle w:val="ListParagraph"/>
        <w:numPr>
          <w:ilvl w:val="0"/>
          <w:numId w:val="1"/>
        </w:numPr>
        <w:bidi/>
        <w:spacing w:after="50" w:line="280" w:lineRule="auto"/>
      </w:pPr>
      <w:r>
        <w:rPr>
          <w:rFonts w:ascii="Tahoma" w:cs="Tahoma" w:eastAsia="Tahoma" w:hAnsi="Tahoma"/>
          <w:b w:val="false"/>
          <w:bCs w:val="false"/>
          <w:color w:val="5E6265"/>
          <w:sz w:val="19"/>
          <w:szCs w:val="19"/>
          <w:rtl/>
        </w:rPr>
        <w:t xml:space="preserve">تحويل 15,000 قطعة موزعة (استكرات وفواحات) إلى نقاط قياس عبر رمز QR يربطها ببرنامج الولاء.</w:t>
      </w:r>
    </w:p>
    <w:p>
      <w:pPr>
        <w:keepNext/>
        <w:bidi/>
        <w:spacing w:after="70" w:before="150" w:line="300" w:lineRule="auto"/>
        <w:jc w:val="start"/>
      </w:pPr>
      <w:r>
        <w:rPr>
          <w:rFonts w:ascii="DIN Next LT Arabic" w:cs="DIN Next LT Arabic" w:eastAsia="DIN Next LT Arabic" w:hAnsi="DIN Next LT Arabic"/>
          <w:b/>
          <w:bCs/>
          <w:color w:val="2B2E30"/>
          <w:sz w:val="22"/>
          <w:szCs w:val="22"/>
          <w:rtl/>
        </w:rPr>
        <w:t xml:space="preserve">رفع جاهزية التنفيذ</w:t>
      </w:r>
    </w:p>
    <w:p>
      <w:pPr>
        <w:pStyle w:val="ListParagraph"/>
        <w:numPr>
          <w:ilvl w:val="0"/>
          <w:numId w:val="1"/>
        </w:numPr>
        <w:bidi/>
        <w:spacing w:after="50" w:line="280" w:lineRule="auto"/>
      </w:pPr>
      <w:r>
        <w:rPr>
          <w:rFonts w:ascii="Tahoma" w:cs="Tahoma" w:eastAsia="Tahoma" w:hAnsi="Tahoma"/>
          <w:b w:val="false"/>
          <w:bCs w:val="false"/>
          <w:color w:val="5E6265"/>
          <w:sz w:val="19"/>
          <w:szCs w:val="19"/>
          <w:rtl/>
        </w:rPr>
        <w:t xml:space="preserve">إعداد دليل تشغيلي موحّد للافتتاحات يغطي التصاريح والحراسات والتنسيق مع مدير المحطة والشريك.</w:t>
      </w:r>
    </w:p>
    <w:p>
      <w:pPr>
        <w:pStyle w:val="ListParagraph"/>
        <w:numPr>
          <w:ilvl w:val="0"/>
          <w:numId w:val="1"/>
        </w:numPr>
        <w:bidi/>
        <w:spacing w:after="50" w:line="280" w:lineRule="auto"/>
      </w:pPr>
      <w:r>
        <w:rPr>
          <w:rFonts w:ascii="Tahoma" w:cs="Tahoma" w:eastAsia="Tahoma" w:hAnsi="Tahoma"/>
          <w:b w:val="false"/>
          <w:bCs w:val="false"/>
          <w:color w:val="5E6265"/>
          <w:sz w:val="19"/>
          <w:szCs w:val="19"/>
          <w:rtl/>
        </w:rPr>
        <w:t xml:space="preserve">بناء قائمة مؤثرين معتمدة لكل منطقة لتقصير زمن التعاقد ورفع جودة التغطية.</w:t>
      </w:r>
    </w:p>
    <w:p>
      <w:pPr>
        <w:pStyle w:val="ListParagraph"/>
        <w:numPr>
          <w:ilvl w:val="0"/>
          <w:numId w:val="1"/>
        </w:numPr>
        <w:bidi/>
        <w:spacing w:after="50" w:line="280" w:lineRule="auto"/>
      </w:pPr>
      <w:r>
        <w:rPr>
          <w:rFonts w:ascii="Tahoma" w:cs="Tahoma" w:eastAsia="Tahoma" w:hAnsi="Tahoma"/>
          <w:b w:val="false"/>
          <w:bCs w:val="false"/>
          <w:color w:val="5E6265"/>
          <w:sz w:val="19"/>
          <w:szCs w:val="19"/>
          <w:rtl/>
        </w:rPr>
        <w:t xml:space="preserve">إعادة معايرة مستهدف الوصول على أساس الأداء الفعلي بدل رقم ثابت لا يعكس حجم المحطة أو المنطقة.</w:t>
      </w:r>
    </w:p>
    <w:p>
      <w:pPr>
        <w:pStyle w:val="ListParagraph"/>
        <w:numPr>
          <w:ilvl w:val="0"/>
          <w:numId w:val="1"/>
        </w:numPr>
        <w:bidi/>
        <w:spacing w:after="50" w:line="280" w:lineRule="auto"/>
      </w:pPr>
      <w:r>
        <w:rPr>
          <w:rFonts w:ascii="Tahoma" w:cs="Tahoma" w:eastAsia="Tahoma" w:hAnsi="Tahoma"/>
          <w:b w:val="false"/>
          <w:bCs w:val="false"/>
          <w:color w:val="5E6265"/>
          <w:sz w:val="19"/>
          <w:szCs w:val="19"/>
          <w:rtl/>
        </w:rPr>
        <w:t xml:space="preserve">التفاوض على سعر الليزر (641.25 ر.س للوحدة بعد الزيادة) عبر عقد موسمي يثبّت السعر بدل الشراء المنفصل لكل فعالية.</w:t>
      </w:r>
    </w:p>
    <w:p>
      <w:pPr>
        <w:keepNext/>
        <w:pageBreakBefore/>
        <w:bidi/>
        <w:spacing w:after="40" w:before="0" w:line="300" w:lineRule="auto"/>
        <w:jc w:val="start"/>
      </w:pPr>
      <w:r>
        <w:rPr>
          <w:rFonts w:ascii="DIN Next LT Arabic" w:cs="DIN Next LT Arabic" w:eastAsia="DIN Next LT Arabic" w:hAnsi="DIN Next LT Arabic"/>
          <w:b/>
          <w:bCs/>
          <w:color w:val="D25C0C"/>
          <w:sz w:val="16"/>
          <w:szCs w:val="16"/>
          <w:rtl/>
        </w:rPr>
        <w:t xml:space="preserve">10 · التوصيات</w:t>
      </w:r>
    </w:p>
    <w:p>
      <w:pPr>
        <w:keepNext/>
        <w:pBdr>
          <w:bottom w:val="single" w:color="F3741F" w:sz="10" w:space="6"/>
        </w:pBdr>
        <w:bidi/>
        <w:spacing w:after="120" w:before="0" w:line="300" w:lineRule="auto"/>
        <w:jc w:val="start"/>
      </w:pPr>
      <w:r>
        <w:rPr>
          <w:rFonts w:ascii="DIN Next LT Arabic" w:cs="DIN Next LT Arabic" w:eastAsia="DIN Next LT Arabic" w:hAnsi="DIN Next LT Arabic"/>
          <w:b/>
          <w:bCs/>
          <w:color w:val="2B2E30"/>
          <w:sz w:val="30"/>
          <w:szCs w:val="30"/>
          <w:rtl/>
        </w:rPr>
        <w:t xml:space="preserve">التوصيات والخطوات التالية للربع الرابع</w:t>
      </w:r>
    </w:p>
    <w:p>
      <w:pPr>
        <w:bidi/>
        <w:spacing w:after="180" w:before="0" w:line="300" w:lineRule="auto"/>
        <w:jc w:val="start"/>
      </w:pPr>
      <w:r>
        <w:rPr>
          <w:rFonts w:ascii="Tahoma" w:cs="Tahoma" w:eastAsia="Tahoma" w:hAnsi="Tahoma"/>
          <w:b w:val="false"/>
          <w:bCs w:val="false"/>
          <w:color w:val="5E6265"/>
          <w:sz w:val="20"/>
          <w:szCs w:val="20"/>
          <w:rtl/>
        </w:rPr>
        <w:t xml:space="preserve">مرتبة بحسب الأولوية — الأثر على جودة القرار أولاً، ثم جاهزية التنفيذ، ثم التوسع.</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4300"/>
        <w:gridCol w:w="2248"/>
      </w:tblGrid>
      <w:tr>
        <w:trPr>
          <w:tblHeader/>
        </w:trPr>
        <w:tc>
          <w:tcPr>
            <w:tcW w:type="dxa" w:w="6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w:t>
            </w:r>
          </w:p>
        </w:tc>
        <w:tc>
          <w:tcPr>
            <w:tcW w:type="dxa" w:w="25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التوصية</w:t>
            </w:r>
          </w:p>
        </w:tc>
        <w:tc>
          <w:tcPr>
            <w:tcW w:type="dxa" w:w="43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التفصيل</w:t>
            </w:r>
          </w:p>
        </w:tc>
        <w:tc>
          <w:tcPr>
            <w:tcW w:type="dxa" w:w="224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التوقيت</w:t>
            </w:r>
          </w:p>
        </w:tc>
      </w:tr>
      <w:tr>
        <w:trPr>
          <w:cantSplit/>
        </w:trPr>
        <w:tc>
          <w:tcPr>
            <w:tcW w:type="dxa" w:w="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1</w:t>
            </w:r>
          </w:p>
        </w:tc>
        <w:tc>
          <w:tcPr>
            <w:tcW w:type="dxa" w:w="2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اعتماد مستهدفات تجارية لكل حملة</w:t>
            </w:r>
          </w:p>
        </w:tc>
        <w:tc>
          <w:tcPr>
            <w:tcW w:type="dxa" w:w="43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تحديد مستهدف للفرص التجارية والعملاء المحوّلين وعائد الإنفاق قبل اعتماد أي حملة، وربط القياس ببرنامج الولاء ونقاط البيع. بدون ذلك يبقى تقييم الحملات مقتصراً على الوصول.</w:t>
            </w:r>
          </w:p>
        </w:tc>
        <w:tc>
          <w:tcPr>
            <w:tcW w:type="dxa" w:w="22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D25C0C"/>
                <w:sz w:val="18"/>
                <w:szCs w:val="18"/>
                <w:rtl/>
              </w:rPr>
              <w:t xml:space="preserve">أولوية عالية · قبل انطلاق حملات الربع الرابع</w:t>
            </w:r>
          </w:p>
        </w:tc>
      </w:tr>
      <w:tr>
        <w:trPr>
          <w:cantSplit/>
        </w:trPr>
        <w:tc>
          <w:tcPr>
            <w:tcW w:type="dxa" w:w="6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2</w:t>
            </w:r>
          </w:p>
        </w:tc>
        <w:tc>
          <w:tcPr>
            <w:tcW w:type="dxa" w:w="2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عدم اعتماد أي فعالية مناسبات دون مؤشرات وميزانية مسبقة</w:t>
            </w:r>
          </w:p>
        </w:tc>
        <w:tc>
          <w:tcPr>
            <w:tcW w:type="dxa" w:w="43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فعالية اليوم الوطني استهلكت ‎45%‎ من إنفاق الربع دون مستهدف معتمد ولا قياس. يلزم اعتماد مؤشرات ومستهدفات وميزانية لكل فعالية قبل الصرف، وإضافة رمز QR على المواد الموزعة لقياس الأثر.</w:t>
            </w:r>
          </w:p>
        </w:tc>
        <w:tc>
          <w:tcPr>
            <w:tcW w:type="dxa" w:w="22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D25C0C"/>
                <w:sz w:val="18"/>
                <w:szCs w:val="18"/>
                <w:rtl/>
              </w:rPr>
              <w:t xml:space="preserve">أولوية عالية · قبل فعالية يوم التأسيس</w:t>
            </w:r>
          </w:p>
        </w:tc>
      </w:tr>
      <w:tr>
        <w:trPr>
          <w:cantSplit/>
        </w:trPr>
        <w:tc>
          <w:tcPr>
            <w:tcW w:type="dxa" w:w="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3</w:t>
            </w:r>
          </w:p>
        </w:tc>
        <w:tc>
          <w:tcPr>
            <w:tcW w:type="dxa" w:w="2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تصحيح وحدة قياس التفاعل في النظام</w:t>
            </w:r>
          </w:p>
        </w:tc>
        <w:tc>
          <w:tcPr>
            <w:tcW w:type="dxa" w:w="43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تسجيل عدد التفاعلات كعدد ومعدل التفاعل كنسبة في حقلين منفصلين، لتفادي قيم مضلّلة مثل «‎16,805%‎» في التقارير المرفوعة للإدارة.</w:t>
            </w:r>
          </w:p>
        </w:tc>
        <w:tc>
          <w:tcPr>
            <w:tcW w:type="dxa" w:w="22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D25C0C"/>
                <w:sz w:val="18"/>
                <w:szCs w:val="18"/>
                <w:rtl/>
              </w:rPr>
              <w:t xml:space="preserve">أولوية عالية · إجراء فوري</w:t>
            </w:r>
          </w:p>
        </w:tc>
      </w:tr>
      <w:tr>
        <w:trPr>
          <w:cantSplit/>
        </w:trPr>
        <w:tc>
          <w:tcPr>
            <w:tcW w:type="dxa" w:w="6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4</w:t>
            </w:r>
          </w:p>
        </w:tc>
        <w:tc>
          <w:tcPr>
            <w:tcW w:type="dxa" w:w="2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قائمة تحقق إلزامية قبل اعتماد أي حملة ميدانية</w:t>
            </w:r>
          </w:p>
        </w:tc>
        <w:tc>
          <w:tcPr>
            <w:tcW w:type="dxa" w:w="43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تشمل تصريح الفعالية، التعاقد الأمني، التنسيق المكتمل مع مدير المحطة والشريك والمؤثرين، واعتماد الميزانية — ولا تنطلق الحملة قبل استيفائها.</w:t>
            </w:r>
          </w:p>
        </w:tc>
        <w:tc>
          <w:tcPr>
            <w:tcW w:type="dxa" w:w="22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D25C0C"/>
                <w:sz w:val="18"/>
                <w:szCs w:val="18"/>
                <w:rtl/>
              </w:rPr>
              <w:t xml:space="preserve">أولوية عالية · قبل أول افتتاح قادم</w:t>
            </w:r>
          </w:p>
        </w:tc>
      </w:tr>
      <w:tr>
        <w:trPr>
          <w:cantSplit/>
        </w:trPr>
        <w:tc>
          <w:tcPr>
            <w:tcW w:type="dxa" w:w="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5</w:t>
            </w:r>
          </w:p>
        </w:tc>
        <w:tc>
          <w:tcPr>
            <w:tcW w:type="dxa" w:w="2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استكمال البيانات الناقصة للربع الثالث</w:t>
            </w:r>
          </w:p>
        </w:tc>
        <w:tc>
          <w:tcPr>
            <w:tcW w:type="dxa" w:w="43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إدخال ميزانية حملة ظبيا JA070، وتوثيق مبرر تجاوز ميزانية نجران NJ219، وتسجيل ميزانية معتمدة لفعالية اليوم الوطني — ثم إعادة اعتماد هذا التقرير بنسخته النهائية.</w:t>
            </w:r>
          </w:p>
        </w:tc>
        <w:tc>
          <w:tcPr>
            <w:tcW w:type="dxa" w:w="22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D25C0C"/>
                <w:sz w:val="18"/>
                <w:szCs w:val="18"/>
                <w:rtl/>
              </w:rPr>
              <w:t xml:space="preserve">أولوية عالية · قبل الاعتماد النهائي</w:t>
            </w:r>
          </w:p>
        </w:tc>
      </w:tr>
      <w:tr>
        <w:trPr>
          <w:cantSplit/>
        </w:trPr>
        <w:tc>
          <w:tcPr>
            <w:tcW w:type="dxa" w:w="6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6</w:t>
            </w:r>
          </w:p>
        </w:tc>
        <w:tc>
          <w:tcPr>
            <w:tcW w:type="dxa" w:w="2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خطة استدراك للمهام الدورية المتأخرة</w:t>
            </w:r>
          </w:p>
        </w:tc>
        <w:tc>
          <w:tcPr>
            <w:tcW w:type="dxa" w:w="43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أربع مهام دون ‎40%‎ من مستهدفها، ثلاث منها مرتبطة بوتيرة افتتاحات المحطات. يلزم ربطها بجدول الافتتاحات المعتمد للربع الرابع، وتسجيل مبرر لكل مهمة متأخرة.</w:t>
            </w:r>
          </w:p>
        </w:tc>
        <w:tc>
          <w:tcPr>
            <w:tcW w:type="dxa" w:w="22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D25C0C"/>
                <w:sz w:val="18"/>
                <w:szCs w:val="18"/>
                <w:rtl/>
              </w:rPr>
              <w:t xml:space="preserve">أولوية عالية · قبل إقفال الربع الثالث</w:t>
            </w:r>
          </w:p>
        </w:tc>
      </w:tr>
      <w:tr>
        <w:trPr>
          <w:cantSplit/>
        </w:trPr>
        <w:tc>
          <w:tcPr>
            <w:tcW w:type="dxa" w:w="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7</w:t>
            </w:r>
          </w:p>
        </w:tc>
        <w:tc>
          <w:tcPr>
            <w:tcW w:type="dxa" w:w="2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إعادة معايرة مستهدف الوصول</w:t>
            </w:r>
          </w:p>
        </w:tc>
        <w:tc>
          <w:tcPr>
            <w:tcW w:type="dxa" w:w="43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استبدال المستهدف الموحّد (100,000) بمستهدف يُبنى على حجم المحطة وكثافة المنطقة وقنوات التنفيذ، مستفيدين من الأداء الفعلي في الربع الثالث كخط أساس.</w:t>
            </w:r>
          </w:p>
        </w:tc>
        <w:tc>
          <w:tcPr>
            <w:tcW w:type="dxa" w:w="22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D25C0C"/>
                <w:sz w:val="18"/>
                <w:szCs w:val="18"/>
                <w:rtl/>
              </w:rPr>
              <w:t xml:space="preserve">أولوية متوسطة · ضمن خطة الربع الرابع</w:t>
            </w:r>
          </w:p>
        </w:tc>
      </w:tr>
      <w:tr>
        <w:trPr>
          <w:cantSplit/>
        </w:trPr>
        <w:tc>
          <w:tcPr>
            <w:tcW w:type="dxa" w:w="6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8</w:t>
            </w:r>
          </w:p>
        </w:tc>
        <w:tc>
          <w:tcPr>
            <w:tcW w:type="dxa" w:w="25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تحديث حالات الحملات في النظام</w:t>
            </w:r>
          </w:p>
        </w:tc>
        <w:tc>
          <w:tcPr>
            <w:tcW w:type="dxa" w:w="43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حملتا حائل HA052 والروضة MK040 ما زالتا بحالة «مخطط لها» رغم تنفيذهما وتسجيل نتائج وإنفاق فعلي لهما.</w:t>
            </w:r>
          </w:p>
        </w:tc>
        <w:tc>
          <w:tcPr>
            <w:tcW w:type="dxa" w:w="22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D25C0C"/>
                <w:sz w:val="18"/>
                <w:szCs w:val="18"/>
                <w:rtl/>
              </w:rPr>
              <w:t xml:space="preserve">أولوية متوسطة · إجراء فوري</w:t>
            </w:r>
          </w:p>
        </w:tc>
      </w:tr>
      <w:tr>
        <w:trPr>
          <w:cantSplit/>
        </w:trPr>
        <w:tc>
          <w:tcPr>
            <w:tcW w:type="dxa" w:w="6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9</w:t>
            </w:r>
          </w:p>
        </w:tc>
        <w:tc>
          <w:tcPr>
            <w:tcW w:type="dxa" w:w="25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توسيع النموذج على الافتتاحات القادمة</w:t>
            </w:r>
          </w:p>
        </w:tc>
        <w:tc>
          <w:tcPr>
            <w:tcW w:type="dxa" w:w="43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اعتماد «البنزين المجاني» كحزمة افتتاح قياسية بثلاثة أيام، مع قائمة مؤثرين معتمدة مسبقاً لكل منطقة.</w:t>
            </w:r>
          </w:p>
        </w:tc>
        <w:tc>
          <w:tcPr>
            <w:tcW w:type="dxa" w:w="22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D25C0C"/>
                <w:sz w:val="18"/>
                <w:szCs w:val="18"/>
                <w:rtl/>
              </w:rPr>
              <w:t xml:space="preserve">أولوية متوسطة · خطة الربع الرابع</w:t>
            </w:r>
          </w:p>
        </w:tc>
      </w:tr>
    </w:tbl>
    <w:p>
      <w:pPr>
        <w:keepNext/>
        <w:pageBreakBefore/>
        <w:bidi/>
        <w:spacing w:after="40" w:before="0" w:line="300" w:lineRule="auto"/>
        <w:jc w:val="start"/>
      </w:pPr>
      <w:r>
        <w:rPr>
          <w:rFonts w:ascii="DIN Next LT Arabic" w:cs="DIN Next LT Arabic" w:eastAsia="DIN Next LT Arabic" w:hAnsi="DIN Next LT Arabic"/>
          <w:b/>
          <w:bCs/>
          <w:color w:val="D25C0C"/>
          <w:sz w:val="16"/>
          <w:szCs w:val="16"/>
          <w:rtl/>
        </w:rPr>
        <w:t xml:space="preserve">11 · الملحق</w:t>
      </w:r>
    </w:p>
    <w:p>
      <w:pPr>
        <w:keepNext/>
        <w:pBdr>
          <w:bottom w:val="single" w:color="F3741F" w:sz="10" w:space="6"/>
        </w:pBdr>
        <w:bidi/>
        <w:spacing w:after="120" w:before="0" w:line="300" w:lineRule="auto"/>
        <w:jc w:val="start"/>
      </w:pPr>
      <w:r>
        <w:rPr>
          <w:rFonts w:ascii="DIN Next LT Arabic" w:cs="DIN Next LT Arabic" w:eastAsia="DIN Next LT Arabic" w:hAnsi="DIN Next LT Arabic"/>
          <w:b/>
          <w:bCs/>
          <w:color w:val="2B2E30"/>
          <w:sz w:val="30"/>
          <w:szCs w:val="30"/>
          <w:rtl/>
        </w:rPr>
        <w:t xml:space="preserve">المنهجية ومصادر البيانات وملاحظات الجودة</w:t>
      </w:r>
    </w:p>
    <w:tbl>
      <w:tblPr>
        <w:bidiVisual/>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100"/>
        <w:gridCol w:w="7548"/>
      </w:tblGrid>
      <w:tr>
        <w:trPr>
          <w:tblHeader/>
        </w:trPr>
        <w:tc>
          <w:tcPr>
            <w:tcW w:type="dxa" w:w="2100"/>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البند</w:t>
            </w:r>
          </w:p>
        </w:tc>
        <w:tc>
          <w:tcPr>
            <w:tcW w:type="dxa" w:w="7548"/>
            <w:tcBorders>
              <w:top w:val="single" w:color="DEDFE1" w:sz="4"/>
              <w:left w:val="single" w:color="DEDFE1" w:sz="4"/>
              <w:bottom w:val="single" w:color="DEDFE1" w:sz="4"/>
              <w:right w:val="single" w:color="DEDFE1" w:sz="4"/>
            </w:tcBorders>
            <w:shd w:fill="F1F2F3" w:color="auto" w:val="clear"/>
            <w:tcMar>
              <w:top w:type="dxa" w:w="74"/>
              <w:left w:type="dxa" w:w="110"/>
              <w:bottom w:type="dxa" w:w="74"/>
              <w:right w:type="dxa" w:w="110"/>
            </w:tcMar>
            <w:vAlign w:val="center"/>
          </w:tcPr>
          <w:p>
            <w:pPr>
              <w:bidi/>
              <w:spacing w:after="0" w:before="0" w:line="300" w:lineRule="auto"/>
              <w:jc w:val="start"/>
            </w:pPr>
            <w:r>
              <w:rPr>
                <w:rFonts w:ascii="DIN Next LT Arabic" w:cs="DIN Next LT Arabic" w:eastAsia="DIN Next LT Arabic" w:hAnsi="DIN Next LT Arabic"/>
                <w:b/>
                <w:bCs/>
                <w:color w:val="5E6265"/>
                <w:sz w:val="17"/>
                <w:szCs w:val="17"/>
                <w:rtl/>
              </w:rPr>
              <w:t xml:space="preserve">التفصيل</w:t>
            </w:r>
          </w:p>
        </w:tc>
      </w:tr>
      <w:tr>
        <w:trPr>
          <w:cantSplit/>
        </w:trPr>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مصدر البيانات</w:t>
            </w:r>
          </w:p>
        </w:tc>
        <w:tc>
          <w:tcPr>
            <w:tcW w:type="dxa" w:w="75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بطاقات تقارير الحملات الصادرة من نظام إدارة الحملات التسويقية — محطات درب، ولوحة «المهام الدورية والشهرية لفريق العمل».</w:t>
            </w:r>
          </w:p>
        </w:tc>
      </w:tr>
      <w:tr>
        <w:trPr>
          <w:cantSplit/>
        </w:trPr>
        <w:tc>
          <w:tcPr>
            <w:tcW w:type="dxa" w:w="2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فترة التغطية</w:t>
            </w:r>
          </w:p>
        </w:tc>
        <w:tc>
          <w:tcPr>
            <w:tcW w:type="dxa" w:w="75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1 يوليو – 30 سبتمبر 2026 م (الربع الثالث).</w:t>
            </w:r>
          </w:p>
        </w:tc>
      </w:tr>
      <w:tr>
        <w:trPr>
          <w:cantSplit/>
        </w:trPr>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نسبة الإنجاز</w:t>
            </w:r>
          </w:p>
        </w:tc>
        <w:tc>
          <w:tcPr>
            <w:tcW w:type="dxa" w:w="75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تُحتسب = المتحقق ÷ المستهدف. «تحقق» عند ‎100%‎ فأكثر، و«تحقق جزئياً» بين ‎80%‎ و‎99%‎، وما دون ذلك «لم يتحقق».</w:t>
            </w:r>
          </w:p>
        </w:tc>
      </w:tr>
      <w:tr>
        <w:trPr>
          <w:cantSplit/>
        </w:trPr>
        <w:tc>
          <w:tcPr>
            <w:tcW w:type="dxa" w:w="2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تكلفة الألف مشاهدة</w:t>
            </w:r>
          </w:p>
        </w:tc>
        <w:tc>
          <w:tcPr>
            <w:tcW w:type="dxa" w:w="75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تُحتسب للحملات المقيسة فقط: 36,142 ÷ 4,519,865 × 1000 ≈ 8.0 هللة. فعالية اليوم الوطني خارج الحساب لعدم قياس وصولها.</w:t>
            </w:r>
          </w:p>
        </w:tc>
      </w:tr>
      <w:tr>
        <w:trPr>
          <w:cantSplit/>
        </w:trPr>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نطاق المجاميع</w:t>
            </w:r>
          </w:p>
        </w:tc>
        <w:tc>
          <w:tcPr>
            <w:tcW w:type="dxa" w:w="75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مجاميع الوصول والتفاعل تخصّ أربع حملات من خمس. مجموع الإنفاق (66,149 ر.س) يشمل الحملات الخمس.</w:t>
            </w:r>
          </w:p>
        </w:tc>
      </w:tr>
      <w:tr>
        <w:trPr>
          <w:cantSplit/>
        </w:trPr>
        <w:tc>
          <w:tcPr>
            <w:tcW w:type="dxa" w:w="2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المحطات المشمولة</w:t>
            </w:r>
          </w:p>
        </w:tc>
        <w:tc>
          <w:tcPr>
            <w:tcW w:type="dxa" w:w="75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أربع محطات في حملات الافتتاح، وتسع محطات في فعالية اليوم الوطني؛ لم يُحدَّد ما إذا كانت التسع تتضمن أياً من الأربع، لذا لم يُجمع العدد في رقم واحد.</w:t>
            </w:r>
          </w:p>
        </w:tc>
      </w:tr>
      <w:tr>
        <w:trPr>
          <w:cantSplit/>
        </w:trPr>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مصادر بيانات المبيعات والرسوم البيانية</w:t>
            </w:r>
          </w:p>
        </w:tc>
        <w:tc>
          <w:tcPr>
            <w:tcW w:type="dxa" w:w="75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ملف تحليل المحطات والمبيعات — درب: معاملات البيع لمحطات المركب NJ219 (10,406 عملية ليونيو ويوليو)، وحائل HA052، والروضة — الخريجي MK040 (2,772 عملية لأغسطس بعد استبعاد 60 عملية معايرة). ومنه بُنيت رسوم هذه الحملات الثلاث (العمليات ساعة بساعة والإيراد اليومي)؛ ورسم ظبيا JA070 من بطاقة تقرير الحملة لعدم توفر ملف معاملاتها، ورسم اليوم الوطني من أوامر الشراء.</w:t>
            </w:r>
          </w:p>
        </w:tc>
      </w:tr>
      <w:tr>
        <w:trPr>
          <w:cantSplit/>
        </w:trPr>
        <w:tc>
          <w:tcPr>
            <w:tcW w:type="dxa" w:w="2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مصدر بيانات سبتمبر</w:t>
            </w:r>
          </w:p>
        </w:tc>
        <w:tc>
          <w:tcPr>
            <w:tcW w:type="dxa" w:w="75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ملف تحليل مبيعات سبتمبر 2026 للمحطات الثلاث (HA052 · MK040 · NJ219). ملفات سبتمبر تنتهي ظهر 28 سبتمبر، لذا كل أرقام سبتمبر هنا هي أول 27 يوماً كاملاً، ولم يُحتسب اليوم الجزئي 28 (26,310 ر.س للمحطات الثلاث). كل المقارنات على المتوسط اليومي لأن أغسطس جزئي في الروضة (16 يوماً) وحائل (25 يوماً).</w:t>
            </w:r>
          </w:p>
        </w:tc>
      </w:tr>
      <w:tr>
        <w:trPr>
          <w:cantSplit/>
        </w:trPr>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استبعاد حركة غير ممكنة في نجران NJ219</w:t>
            </w:r>
          </w:p>
        </w:tc>
        <w:tc>
          <w:tcPr>
            <w:tcW w:type="dxa" w:w="75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حركة بتاريخ 24 سبتمبر الساعة 13:17 على المضخة 10 بمقدار 13,834 لتراً و29,680 ر.س ومدتها صفر ثانية — وهي قراءة عدّاد خزان سُجّلت كعملية بيع. لو بقيت لرفعت إيراد سبتمبر نحو ‎8%‎ وقلبت تراجع المحطة إلى نمو. كما استُبعدت حركات المعايرة (نجران 34 · الروضة 60 · حائل 82) والحركات الصفرية التي لم يُصرف فيها وقود.</w:t>
            </w:r>
          </w:p>
        </w:tc>
      </w:tr>
      <w:tr>
        <w:trPr>
          <w:cantSplit/>
        </w:trPr>
        <w:tc>
          <w:tcPr>
            <w:tcW w:type="dxa" w:w="2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حدود قراءة نمو حائل والروضة في سبتمبر</w:t>
            </w:r>
          </w:p>
        </w:tc>
        <w:tc>
          <w:tcPr>
            <w:tcW w:type="dxa" w:w="75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المحطتان انضمتا للشبكة في أغسطس، فجزء من نمو سبتمبر تعافٍ من ضعف أسابيع الافتتاح لا نمو عضوي ولا أثر حملة. المقياس الأصدق هو مستوى آخر أسبوعين: حائل 19.4 إلى 24.5 ألف ر.س/يوم، والروضة 16.8 إلى 18.8، ونجران 13.3 إلى 13.8.</w:t>
            </w:r>
          </w:p>
        </w:tc>
      </w:tr>
      <w:tr>
        <w:trPr>
          <w:cantSplit/>
        </w:trPr>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مصدر بيانات البريد الإلكتروني</w:t>
            </w:r>
          </w:p>
        </w:tc>
        <w:tc>
          <w:tcPr>
            <w:tcW w:type="dxa" w:w="75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لوحة متابعة أداء البريد للفترة 1 يوليو – 30 سبتمبر 2026 مقارنةً بالـ92 يوماً السابقة. تعرض اللوحة أربعة مؤشرات فقط (المُرسَل 235 · المُسلَّم 219 · معدل الفتح ‎7.3%‎ · إجمالي الفتحات 39)، وكل رقم آخر في قسم البريد محتسب منها بالمعادلة المبيّنة داخل القسم. معدل الفتح يُحتسب على الرسائل المُسلَّمة لا المُرسَلة.</w:t>
            </w:r>
          </w:p>
        </w:tc>
      </w:tr>
      <w:tr>
        <w:trPr>
          <w:cantSplit/>
        </w:trPr>
        <w:tc>
          <w:tcPr>
            <w:tcW w:type="dxa" w:w="2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عدم اتساق نسب المقارنة في لوحة البريد</w:t>
            </w:r>
          </w:p>
        </w:tc>
        <w:tc>
          <w:tcPr>
            <w:tcW w:type="dxa" w:w="75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انخفاض معدل الفتح ‎81.7%‎ مع ارتفاع التسليم ‎265%‎ يوجب أن يكون إجمالي الفتحات في الفترة السابقة نحو 24 على الأقل، بينما ارتفاع إجمالي الفتحات ‎9,650%‎ يوجب أن يكون أقل من واحد. لذلك اعتُمدت الأرقام المطلقة للربع الثالث وحدها أساساً للقراءة، وعوملت أرقام الفترة السابقة كتقدير يحتاج تحققاً مع مزوّد الخدمة.</w:t>
            </w:r>
          </w:p>
        </w:tc>
      </w:tr>
      <w:tr>
        <w:trPr>
          <w:cantSplit/>
        </w:trPr>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مصدر بيانات مبيعات درب صبيا JA070</w:t>
            </w:r>
          </w:p>
        </w:tc>
        <w:tc>
          <w:tcPr>
            <w:tcW w:type="dxa" w:w="75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كشف معاملات المحطة لشهر أغسطس 2026 (14,066 حركة، منها 51 حركة معايرة و377 حركة صفرية استُبعدت، فبقيت 13,638 عملية). يحمل الكشف المحطة باسم AL-zabya-JA070. اعتُمد حقل StartTime لا DateOfBusiness لأن الثاني غير متسق مع الأول بفارق يوم إلى ثلاثة أيام.</w:t>
            </w:r>
          </w:p>
        </w:tc>
      </w:tr>
      <w:tr>
        <w:trPr>
          <w:cantSplit/>
        </w:trPr>
        <w:tc>
          <w:tcPr>
            <w:tcW w:type="dxa" w:w="2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انقطاع تسجيل المعاملات في درب صبيا JA070</w:t>
            </w:r>
          </w:p>
        </w:tc>
        <w:tc>
          <w:tcPr>
            <w:tcW w:type="dxa" w:w="75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لا توجد أي حركة مسجّلة في 6 و7 و8 أغسطس، ويوم الحملة (السبت 8 أغسطس) ضمنها. كما أن 4 أغسطس ثلاث حركات فقط، و1 و3 و5 و9 أغسطس ناقصة (15 و21 و16 و17 ساعة من 24). لذلك بُنيت المقارنة على الأيام مكتملة التسجيل وحدها (23 يوماً)، وخط الأساس قبل الحملة يوم واحد (2 أغسطس).</w:t>
            </w:r>
          </w:p>
        </w:tc>
      </w:tr>
      <w:tr>
        <w:trPr>
          <w:cantSplit/>
        </w:trPr>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احتساب الإيراد الإضافي</w:t>
            </w:r>
          </w:p>
        </w:tc>
        <w:tc>
          <w:tcPr>
            <w:tcW w:type="dxa" w:w="75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 (إيراد يوم الحملة − متوسط خط الأساس اليومي) + (متوسط الإيراد اليومي بعد الحملة − خط الأساس) × عدد أيام ما بعد الحملة. الناتج إيراد إضافي وليس ربحاً.</w:t>
            </w:r>
          </w:p>
        </w:tc>
      </w:tr>
      <w:tr>
        <w:trPr>
          <w:cantSplit/>
        </w:trPr>
        <w:tc>
          <w:tcPr>
            <w:tcW w:type="dxa" w:w="2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وحدة التفاعل</w:t>
            </w:r>
          </w:p>
        </w:tc>
        <w:tc>
          <w:tcPr>
            <w:tcW w:type="dxa" w:w="75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صُحّحت في هذه النسخة: القيم التي كانت تظهر في لوحة المؤشرات (مثل 16,805) هي معدل التفاعل مضروباً في 1000 — أي ‎16.8%‎. اعتُمدت المعدلات كما وردت في ملف تحليل المحطات.</w:t>
            </w:r>
          </w:p>
        </w:tc>
      </w:tr>
      <w:tr>
        <w:trPr>
          <w:cantSplit/>
        </w:trPr>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تصحيح وصول حائل HA052</w:t>
            </w:r>
          </w:p>
        </w:tc>
        <w:tc>
          <w:tcPr>
            <w:tcW w:type="dxa" w:w="75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كان مسجّلاً 469,000 مشاهدة في لوحة المؤشرات السابقة، وورد 632,353 في ملف تحليل المحطات المعتمد هنا (‎632.4%‎ من المستهدف).</w:t>
            </w:r>
          </w:p>
        </w:tc>
      </w:tr>
      <w:tr>
        <w:trPr>
          <w:cantSplit/>
        </w:trPr>
        <w:tc>
          <w:tcPr>
            <w:tcW w:type="dxa" w:w="2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حالات الحملات</w:t>
            </w:r>
          </w:p>
        </w:tc>
        <w:tc>
          <w:tcPr>
            <w:tcW w:type="dxa" w:w="75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حملتا HA052 وMK040 مسجّلتان في النظام بحالة «مخطط لها» رغم مرور تاريخ تنفيذهما وتسجيل نتائج وإنفاق فعلي؛ عُوملتا في هذا التقرير كحملتين منتهيتين.</w:t>
            </w:r>
          </w:p>
        </w:tc>
      </w:tr>
      <w:tr>
        <w:trPr>
          <w:cantSplit/>
        </w:trPr>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مستهدفات فريق العمل</w:t>
            </w:r>
          </w:p>
        </w:tc>
        <w:tc>
          <w:tcPr>
            <w:tcW w:type="dxa" w:w="75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الفترة الزمنية التي يغطيها كل مستهدف (سنوية أم ربعية) لم تُحدَّد في لوحة المتابعة، لذا عُرضت النسب كما هي دون مقارنتها بنسبة الزمن المنقضي.</w:t>
            </w:r>
          </w:p>
        </w:tc>
      </w:tr>
      <w:tr>
        <w:trPr>
          <w:cantSplit/>
        </w:trPr>
        <w:tc>
          <w:tcPr>
            <w:tcW w:type="dxa" w:w="2100"/>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البيانات الناقصة</w:t>
            </w:r>
          </w:p>
        </w:tc>
        <w:tc>
          <w:tcPr>
            <w:tcW w:type="dxa" w:w="7548"/>
            <w:tcBorders>
              <w:top w:val="single" w:color="DEDFE1" w:sz="4"/>
              <w:left w:val="single" w:color="DEDFE1" w:sz="4"/>
              <w:bottom w:val="single" w:color="DEDFE1" w:sz="4"/>
              <w:right w:val="single" w:color="DEDFE1" w:sz="4"/>
            </w:tcBorders>
            <w:shd w:fill="FAFAFB" w:color="auto" w:val="clear"/>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ميزانية JA070 غير مسجّلة · معاملات 6 – 8 أغسطس في JA070 غير مسجّلة · مبرر تجاوز ميزانية NJ219 غير موثّق · فعالية اليوم الوطني بلا ميزانية معتمدة ولا مؤشرات قياس ولا تواريخ تنفيذ محددة · المؤشرات التجارية غير مقيسة في الحملات الخمس.</w:t>
            </w:r>
          </w:p>
        </w:tc>
      </w:tr>
      <w:tr>
        <w:trPr>
          <w:cantSplit/>
        </w:trPr>
        <w:tc>
          <w:tcPr>
            <w:tcW w:type="dxa" w:w="2100"/>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bCs/>
                <w:color w:val="2B2E30"/>
                <w:sz w:val="18"/>
                <w:szCs w:val="18"/>
                <w:rtl/>
              </w:rPr>
              <w:t xml:space="preserve">حدود التقرير</w:t>
            </w:r>
          </w:p>
        </w:tc>
        <w:tc>
          <w:tcPr>
            <w:tcW w:type="dxa" w:w="7548"/>
            <w:tcBorders>
              <w:top w:val="single" w:color="DEDFE1" w:sz="4"/>
              <w:left w:val="single" w:color="DEDFE1" w:sz="4"/>
              <w:bottom w:val="single" w:color="DEDFE1" w:sz="4"/>
              <w:right w:val="single" w:color="DEDFE1" w:sz="4"/>
            </w:tcBorders>
            <w:tcMar>
              <w:top w:type="dxa" w:w="74"/>
              <w:left w:type="dxa" w:w="110"/>
              <w:bottom w:type="dxa" w:w="74"/>
              <w:right w:type="dxa" w:w="110"/>
            </w:tcMar>
            <w:vAlign w:val="center"/>
          </w:tcPr>
          <w:p>
            <w:pPr>
              <w:bidi/>
              <w:spacing w:after="0" w:before="0" w:line="300" w:lineRule="auto"/>
              <w:jc w:val="start"/>
            </w:pPr>
            <w:r>
              <w:rPr>
                <w:rFonts w:ascii="Tahoma" w:cs="Tahoma" w:eastAsia="Tahoma" w:hAnsi="Tahoma"/>
                <w:b w:val="false"/>
                <w:bCs w:val="false"/>
                <w:color w:val="5E6265"/>
                <w:sz w:val="18"/>
                <w:szCs w:val="18"/>
                <w:rtl/>
              </w:rPr>
              <w:t xml:space="preserve">قياس الأثر التجاري متاح لثلاث حملات فقط؛ ولا يتضمن التقرير أثر فعالية اليوم الوطني ولا حملة ظبيا JA070 لعدم توفر بيانات مبيعات لهما.</w:t>
            </w:r>
          </w:p>
        </w:tc>
      </w:tr>
    </w:tbl>
    <w:p>
      <w:pPr>
        <w:spacing w:after="300"/>
      </w:pPr>
    </w:p>
    <w:p>
      <w:pPr>
        <w:pBdr>
          <w:top w:val="single" w:color="DEDFE1" w:sz="6" w:space="8"/>
        </w:pBdr>
        <w:bidi/>
        <w:spacing w:after="60" w:before="0" w:line="300" w:lineRule="auto"/>
        <w:jc w:val="center"/>
      </w:pPr>
      <w:r>
        <w:rPr>
          <w:rFonts w:ascii="Tahoma" w:cs="Tahoma" w:eastAsia="Tahoma" w:hAnsi="Tahoma"/>
          <w:b w:val="false"/>
          <w:bCs w:val="false"/>
          <w:color w:val="8E9295"/>
          <w:sz w:val="17"/>
          <w:szCs w:val="17"/>
          <w:rtl/>
        </w:rPr>
        <w:t xml:space="preserve">إعداد: إدارة التسويق · أخصائي الحملات التسويقية        تاريخ الإصدار: 28 سبتمبر 2026 م</w:t>
      </w:r>
    </w:p>
    <w:p>
      <w:pPr>
        <w:bidi/>
        <w:spacing w:after="120" w:before="0" w:line="300" w:lineRule="auto"/>
        <w:jc w:val="center"/>
      </w:pPr>
      <w:r>
        <w:rPr>
          <w:rFonts w:ascii="Tahoma" w:cs="Tahoma" w:eastAsia="Tahoma" w:hAnsi="Tahoma"/>
          <w:b w:val="false"/>
          <w:bCs w:val="false"/>
          <w:color w:val="8E9295"/>
          <w:sz w:val="15"/>
          <w:szCs w:val="15"/>
          <w:rtl/>
        </w:rPr>
        <w:t xml:space="preserve">محطات درب © 2026 م — وثيقة داخلية لأغراض المتابعة الإدارية</w:t>
      </w:r>
    </w:p>
    <w:sectPr>
      <w:headerReference w:type="default" r:id="rId7"/>
      <w:headerReference w:type="first" r:id="rId8"/>
      <w:headerReference w:type="even" r:id="rId9"/>
      <w:pgSz w:w="12240" w:h="15840" w:orient="portrait"/>
      <w:pgMar w:top="1950" w:right="1296" w:bottom="1150" w:left="1296" w:header="0" w:footer="3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10058400">
          <wp:simplePos x="0" y="0"/>
          <wp:positionH relativeFrom="page">
            <wp:posOffset>0</wp:posOffset>
          </wp:positionH>
          <wp:positionV relativeFrom="page">
            <wp:posOffset>0</wp:posOffset>
          </wp:positionV>
          <wp:extent cx="7772400" cy="10058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00584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10058400">
          <wp:simplePos x="0" y="0"/>
          <wp:positionH relativeFrom="page">
            <wp:posOffset>0</wp:posOffset>
          </wp:positionH>
          <wp:positionV relativeFrom="page">
            <wp:posOffset>0</wp:posOffset>
          </wp:positionV>
          <wp:extent cx="7772400" cy="10058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0058400"/>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10058400">
          <wp:simplePos x="0" y="0"/>
          <wp:positionH relativeFrom="page">
            <wp:posOffset>0</wp:posOffset>
          </wp:positionH>
          <wp:positionV relativeFrom="page">
            <wp:posOffset>0</wp:posOffset>
          </wp:positionV>
          <wp:extent cx="7772400" cy="10058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00584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B2E30"/>
        <w:sz w:val="20"/>
        <w:szCs w:val="20"/>
        <w:rtl/>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image" Target="media/8416e4092a296384a1bbd9219db8720b4bb1b9c2.png"/><Relationship Id="rId11" Type="http://schemas.openxmlformats.org/officeDocument/2006/relationships/image" Target="media/434d283ab7fda37afade328a9f5bee65ca3a305a.png"/><Relationship Id="rId12" Type="http://schemas.openxmlformats.org/officeDocument/2006/relationships/image" Target="media/f9d30ebea58f0e52e59cc0f62cbde46a8615d0e5.png"/><Relationship Id="rId13" Type="http://schemas.openxmlformats.org/officeDocument/2006/relationships/image" Target="media/ad09e3c9935cc27fb8d26985c718429f2df688dc.png"/><Relationship Id="rId14" Type="http://schemas.openxmlformats.org/officeDocument/2006/relationships/image" Target="media/fde075fef0913602d5ced55729e96a8436f83c70.png"/><Relationship Id="rId15" Type="http://schemas.openxmlformats.org/officeDocument/2006/relationships/image" Target="media/0e94c6a39d3809255fbcf9d4aef000d791d093e6.png"/><Relationship Id="rId16" Type="http://schemas.openxmlformats.org/officeDocument/2006/relationships/image" Target="media/7e049f8f972cf8957b482d4240e5ac40fccd1cc0.png"/><Relationship Id="rId17" Type="http://schemas.openxmlformats.org/officeDocument/2006/relationships/image" Target="media/8134dcdcbb8de8211372dc9ac72835f1c6787915.png"/><Relationship Id="rId18" Type="http://schemas.openxmlformats.org/officeDocument/2006/relationships/image" Target="media/95d932ef538125ce651d24d131f445ae9e50846a.png"/><Relationship Id="rId19" Type="http://schemas.openxmlformats.org/officeDocument/2006/relationships/image" Target="media/5ea35820f15840704d4223f22a4af89cb1f0efb9.png"/><Relationship Id="rId20" Type="http://schemas.openxmlformats.org/officeDocument/2006/relationships/image" Target="media/52e463c1e241eafb5b82eebeceaa1a4a0f23c1b6.png"/><Relationship Id="rId21" Type="http://schemas.openxmlformats.org/officeDocument/2006/relationships/image" Target="media/b34629c552ef27f77466203e3524056897eff525.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345cdf00b32293dcda61d3a15063690eb342058.png"/></Relationships>
</file>

<file path=word/_rels/header2.xml.rels><?xml version="1.0" encoding="UTF-8"?><Relationships xmlns="http://schemas.openxmlformats.org/package/2006/relationships"><Relationship Id="rId0" Type="http://schemas.openxmlformats.org/officeDocument/2006/relationships/image" Target="media/6345cdf00b32293dcda61d3a15063690eb342058.png"/></Relationships>
</file>

<file path=word/_rels/header3.xml.rels><?xml version="1.0" encoding="UTF-8"?><Relationships xmlns="http://schemas.openxmlformats.org/package/2006/relationships"><Relationship Id="rId0" Type="http://schemas.openxmlformats.org/officeDocument/2006/relationships/image" Target="media/6345cdf00b32293dcda61d3a15063690eb34205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الربع الثالث 2026 م — الحملات التسويقية</dc:title>
  <dc:creator>إدارة التسويق · محطات درب</dc:creator>
  <dc:description>تقرير الربع الثالث 2026 للحملات التسويقية في محطات درب (يوليو · أغسطس · سبتمبر).</dc:description>
  <cp:lastModifiedBy>Un-named</cp:lastModifiedBy>
  <cp:revision>1</cp:revision>
  <dcterms:created xsi:type="dcterms:W3CDTF">2026-10-04T06:34:19.872Z</dcterms:created>
  <dcterms:modified xsi:type="dcterms:W3CDTF">2026-10-04T06:34:19.872Z</dcterms:modified>
</cp:coreProperties>
</file>

<file path=docProps/custom.xml><?xml version="1.0" encoding="utf-8"?>
<Properties xmlns="http://schemas.openxmlformats.org/officeDocument/2006/custom-properties" xmlns:vt="http://schemas.openxmlformats.org/officeDocument/2006/docPropsVTypes"/>
</file>