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before="200" w:line="300" w:lineRule="auto"/>
        <w:jc w:val="start"/>
      </w:pPr>
      <w:r>
        <w:rPr>
          <w:rFonts w:ascii="DIN Next LT Arabic" w:cs="DIN Next LT Arabic" w:eastAsia="DIN Next LT Arabic" w:hAnsi="DIN Next LT Arabic"/>
          <w:b/>
          <w:bCs/>
          <w:color w:val="66686A"/>
          <w:sz w:val="17"/>
          <w:szCs w:val="17"/>
          <w:rtl/>
        </w:rPr>
        <w:t xml:space="preserve">تقرير ربعي للحملات التسويقية</w:t>
      </w:r>
    </w:p>
    <w:p>
      <w:pPr>
        <w:bidi/>
        <w:spacing w:after="40" w:before="0" w:line="300" w:lineRule="auto"/>
        <w:jc w:val="start"/>
      </w:pPr>
      <w:r>
        <w:rPr>
          <w:rFonts w:ascii="DIN Next LT Arabic" w:cs="DIN Next LT Arabic" w:eastAsia="DIN Next LT Arabic" w:hAnsi="DIN Next LT Arabic"/>
          <w:b/>
          <w:bCs/>
          <w:color w:val="2B2E30"/>
          <w:sz w:val="52"/>
          <w:szCs w:val="52"/>
          <w:rtl/>
        </w:rPr>
        <w:t xml:space="preserve">تقرير الربع الثالث 2026 م</w:t>
      </w:r>
    </w:p>
    <w:p>
      <w:pPr>
        <w:pBdr>
          <w:bottom w:val="single" w:color="F3741F" w:sz="14" w:space="10"/>
        </w:pBdr>
        <w:bidi/>
        <w:spacing w:after="200" w:before="0" w:line="300" w:lineRule="auto"/>
        <w:jc w:val="start"/>
      </w:pPr>
      <w:r>
        <w:rPr>
          <w:rFonts w:ascii="DIN Next LT Arabic" w:cs="DIN Next LT Arabic" w:eastAsia="DIN Next LT Arabic" w:hAnsi="DIN Next LT Arabic"/>
          <w:b/>
          <w:bCs/>
          <w:color w:val="D25C0C"/>
          <w:sz w:val="34"/>
          <w:szCs w:val="34"/>
          <w:rtl/>
        </w:rPr>
        <w:t xml:space="preserve">يوليو · أغسطس · سبتمبر</w:t>
      </w:r>
    </w:p>
    <w:p>
      <w:pPr>
        <w:bidi/>
        <w:spacing w:after="220" w:before="0" w:line="300" w:lineRule="auto"/>
        <w:jc w:val="start"/>
      </w:pPr>
      <w:r>
        <w:rPr>
          <w:rFonts w:ascii="Tahoma" w:cs="Tahoma" w:eastAsia="Tahoma" w:hAnsi="Tahoma"/>
          <w:b w:val="false"/>
          <w:bCs w:val="false"/>
          <w:color w:val="5E6265"/>
          <w:sz w:val="21"/>
          <w:szCs w:val="21"/>
          <w:rtl/>
        </w:rPr>
        <w:t xml:space="preserve">يغطي هذا التقرير أداء الحملات التسويقية في محطات درب خلال الربع الثالث من عام 2026 م، ويعرض لكل حملة قسماً مستقلاً يوضّح أداءها ومستهدفاتها وما تحقق منها وما لم يتحقق مع بيان المبررات، إضافة إلى مستهدفات فريق العمل الدورية، والتحديات التي واجهت التنفيذ والفرص الممكن الاستفادة منها في الربع القادم.</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500"/>
        <w:gridCol w:w="1900"/>
        <w:gridCol w:w="2148"/>
      </w:tblGrid>
      <w:tr>
        <w:trPr>
          <w:tblHeader/>
        </w:trPr>
        <w:tc>
          <w:tcPr>
            <w:tcW w:type="dxa" w:w="2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التقرير</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المحطات المشمولة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تاريخ الإصدار</w:t>
            </w:r>
          </w:p>
        </w:tc>
        <w:tc>
          <w:tcPr>
            <w:tcW w:type="dxa" w:w="21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الجهة المعدّة</w:t>
            </w:r>
          </w:p>
        </w:tc>
      </w:tr>
      <w:tr>
        <w:tc>
          <w:tcPr>
            <w:tcW w:type="dxa" w:w="2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 يوليو – 30 سبتمبر 2026 م</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 + 9 محطات</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 حملات</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28 سبتمبر 2026 م</w:t>
            </w:r>
          </w:p>
        </w:tc>
        <w:tc>
          <w:tcPr>
            <w:tcW w:type="dxa" w:w="21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إدارة التسويق</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4,519,865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الوصول</w:t>
            </w:r>
          </w:p>
          <w:p>
            <w:pPr>
              <w:bidi/>
              <w:spacing w:after="0" w:before="0" w:line="300" w:lineRule="auto"/>
              <w:jc w:val="center"/>
            </w:pPr>
            <w:r>
              <w:rPr>
                <w:rFonts w:ascii="Tahoma" w:cs="Tahoma" w:eastAsia="Tahoma" w:hAnsi="Tahoma"/>
                <w:b w:val="false"/>
                <w:bCs w:val="false"/>
                <w:color w:val="8E9295"/>
                <w:sz w:val="15"/>
                <w:szCs w:val="15"/>
                <w:rtl/>
              </w:rPr>
              <w:t xml:space="preserve">مقابل مستهدف 400,000 — ‎1,089%‎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3 حملات مقيسة — 6.1× تكلفتها</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66,149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الإنفاق (ر.س)</w:t>
            </w:r>
          </w:p>
          <w:p>
            <w:pPr>
              <w:bidi/>
              <w:spacing w:after="0" w:before="0" w:line="300" w:lineRule="auto"/>
              <w:jc w:val="center"/>
            </w:pPr>
            <w:r>
              <w:rPr>
                <w:rFonts w:ascii="Tahoma" w:cs="Tahoma" w:eastAsia="Tahoma" w:hAnsi="Tahoma"/>
                <w:b w:val="false"/>
                <w:bCs w:val="false"/>
                <w:color w:val="8E9295"/>
                <w:sz w:val="15"/>
                <w:szCs w:val="15"/>
                <w:rtl/>
              </w:rPr>
              <w:t xml:space="preserve">منها 36,142 ر.س على الحملات ذات الميزانية المعتمدة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منفّذة</w:t>
            </w:r>
          </w:p>
          <w:p>
            <w:pPr>
              <w:bidi/>
              <w:spacing w:after="0" w:before="0" w:line="300" w:lineRule="auto"/>
              <w:jc w:val="center"/>
            </w:pPr>
            <w:r>
              <w:rPr>
                <w:rFonts w:ascii="Tahoma" w:cs="Tahoma" w:eastAsia="Tahoma" w:hAnsi="Tahoma"/>
                <w:b w:val="false"/>
                <w:bCs w:val="false"/>
                <w:color w:val="8E9295"/>
                <w:sz w:val="15"/>
                <w:szCs w:val="15"/>
                <w:rtl/>
              </w:rPr>
              <w:t xml:space="preserve">يوليو 1 · أغسطس 3 · سبتمبر 1</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01 · الملخص التنفيذي</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المستهدفات · ما تحقق منها وما لم يتحقق</w:t>
      </w:r>
    </w:p>
    <w:p>
      <w:pPr>
        <w:bidi/>
        <w:spacing w:after="180" w:before="0" w:line="300" w:lineRule="auto"/>
        <w:jc w:val="start"/>
      </w:pPr>
      <w:r>
        <w:rPr>
          <w:rFonts w:ascii="Tahoma" w:cs="Tahoma" w:eastAsia="Tahoma" w:hAnsi="Tahoma"/>
          <w:b w:val="false"/>
          <w:bCs w:val="false"/>
          <w:color w:val="5E6265"/>
          <w:sz w:val="20"/>
          <w:szCs w:val="20"/>
          <w:rtl/>
        </w:rPr>
        <w:t xml:space="preserve">نُفّذت خلال الربع الثالث خمس حملات: أربع حملات «البنزين المجاني للسيارات الأولى» المرتبطة بافتتاح المحطات في يوليو وأغسطس، وفعالية اليوم الوطني في تسع محطات خلال سبتمبر. تجاوز الأداء الإعلامي للحملات الأربع مستهدفاته بفارق كبير — الوصول بلغ عشرة أضعاف المستهدف — وظل إنفاقها ضمن المخصص بفارق ‎0.4%‎. في المقابل نُفّذت فعالية اليوم الوطني بتكلفة 30,007 ر.س دون مستهدف معتمد ودون قياس وصول أو تفاعل، ولم يُقَس أي أثر تجاري لأي من الحملات الخمس.</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50"/>
        <w:gridCol w:w="1250"/>
        <w:gridCol w:w="1250"/>
        <w:gridCol w:w="1100"/>
        <w:gridCol w:w="1350"/>
        <w:gridCol w:w="2448"/>
      </w:tblGrid>
      <w:tr>
        <w:trPr>
          <w:tblHeader/>
        </w:trPr>
        <w:tc>
          <w:tcPr>
            <w:tcW w:type="dxa" w:w="2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c>
          <w:tcPr>
            <w:tcW w:type="dxa" w:w="2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ملاحظة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400,000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4,519,865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‎1,130%‎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لأربع حملات من خمس — فعالية اليوم الوطني غير مقيسة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معدلات لكل حملة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~263,950 تفاعل</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 و‎16.8%‎ و‎7.0%‎ مقابل ‎10%‎ و‎5%‎ و‎1%‎</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36,000 ر.س</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36,142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للحملات الأربع ذات الميزانية المعتمدة فقط</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الإنفاق على حملات الربع</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يُعتمد مستهدف شامل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66,149 ر.س</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مُقارَن</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منها 30,007 ر.س لفعالية اليوم الوطني دون ميزانية معتمدة</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أشهر الربع بالحملات</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 أشهر</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يوليو 1 · أغسطس 3 · سبتمبر 1</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مهام الفريق الدورية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مهام</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مكتملة</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‎44%‎</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تحقق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متوسط الإنجاز · التفصيل في القسم 06</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الإيراد الإضافي المقدَّر</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220,431 ر.س</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لثلاث حملات — التفصيل في القسم 04</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عائد الإنفاق (إيراد ÷ تكلفة)</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مُقاس جزئياً</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إيراد إضافي لا ربح · 3 حملات من 5</w:t>
            </w:r>
          </w:p>
        </w:tc>
      </w:tr>
      <w:tr>
        <w:tc>
          <w:tcPr>
            <w:tcW w:type="dxa" w:w="2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الفرص التجارية</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r>
        <w:tc>
          <w:tcPr>
            <w:tcW w:type="dxa" w:w="2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العملاء المحوّلون</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8E9295"/>
                <w:sz w:val="18"/>
                <w:szCs w:val="18"/>
                <w:rtl/>
              </w:rPr>
              <w:t xml:space="preserve">غير مُقاس</w:t>
            </w:r>
          </w:p>
        </w:tc>
        <w:tc>
          <w:tcPr>
            <w:tcW w:type="dxa" w:w="2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يُفعَّل القياس في أي حملة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خلاصة ما تحقق</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الوصول: 4,356,512 مشاهدة مقابل مستهدف 400,000 — أي ‎1,089%‎ من المستهدف، وبتجاوز في كل حملة على حدة.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التفاعل: 37,805 تفاعلاً مقابل مستهدف 16,000 (‎236%‎)، بمعدلات تفاعل فعلية تراوحت بين ‎1.4%‎ و‎3.6%‎ من الوصول.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الانضباط المالي: 36,142 ر.س من مخصص 36,000 ر.س للحملات ذات الميزانية المعتمدة — انحراف ‎0.4%‎ فقط.</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كفاءة التكلفة: متوسط تكلفة الألف مشاهدة للحملات المقيسة بلغ نحو 8.0 هللة.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نموذج «البنزين المجاني للسيارات الأولى» أثبت فاعليته كأداة افتتاح وتعريف بالمحطات الجديدة في أربع مناطق مختلفة.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تغطية المناسبات الوطنية: فعالية اليوم الوطني نُفّذت في تسع محطات بـ32 ليزراً و5,000 استكر و10,000 فواحة، وأكملت تغطية أشهر الربع الثلاثة.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02 · ما لم يتحقق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البنود التي لم تتحقق · المبررات والإجراء التصحيحي</w:t>
      </w:r>
    </w:p>
    <w:p>
      <w:pPr>
        <w:bidi/>
        <w:spacing w:after="180" w:before="0" w:line="300" w:lineRule="auto"/>
        <w:jc w:val="start"/>
      </w:pPr>
      <w:r>
        <w:rPr>
          <w:rFonts w:ascii="Tahoma" w:cs="Tahoma" w:eastAsia="Tahoma" w:hAnsi="Tahoma"/>
          <w:b w:val="false"/>
          <w:bCs w:val="false"/>
          <w:color w:val="5E6265"/>
          <w:sz w:val="20"/>
          <w:szCs w:val="20"/>
          <w:rtl/>
        </w:rPr>
        <w:t xml:space="preserve">حيث لم يَرِد مبرر موثّق في تقرير الحملة أو لوحة المتابعة، يُذكر ذلك صراحةً بدلاً من افتراضه.</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50"/>
        <w:gridCol w:w="1200"/>
        <w:gridCol w:w="1200"/>
        <w:gridCol w:w="2799"/>
        <w:gridCol w:w="2599"/>
      </w:tblGrid>
      <w:tr>
        <w:trPr>
          <w:tblHeader/>
        </w:trPr>
        <w:tc>
          <w:tcPr>
            <w:tcW w:type="dxa" w:w="18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7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 مستهدف</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نُفّذت الفعالية في تسع محطات بتكلفة 30,007 ر.س — ‎45%‎ من إجمالي إنفاق الربع — دون تسجيل وصول أو تفاعل أو أي مؤشر أداء.</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 وقياس لكل فعالية مناسبات قادمة، وربط المواد الموزعة برمز QR لقياس التفاعل.</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زيادة 1,200 ر.س (‎+6.2%‎) على بند الليزرات بعد اعتماده رفعت سعر الوحدة من 603.75 إلى 641.25 ر.س، دون توثيق السبب.</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 لفعالية اليوم الوطني</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فعلي</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 المبلغ دون ميزانية مخصصة معتمدة مسجّلة، فتعذّرت مقارنة المصروف بالمخطط.</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بميزانية حملة نجران NJ219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للتجاوز في تقرير الحملة.</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مبرر التجاوز واعتماده، وضبط تقدير ميزانية الحملات الميدانية اليومية.</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حملة ظبيا JA070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للحملة في النظام.</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لاحتساب عائد الإنفاق، ومراجعة تحمّل الكلفة مع شريك الامتياز.</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الأثر التجاري للحملات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مستهدفات</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الفرص التجارية والعملاء المحوّلون وعائد الإنفاق وتكلفة الفرصة ونسبة التحويل غير مُستهدفة وغير مقيسة في الحملات الأربع.</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مستهدفات تجارية لكل حملة قادمة، وربط القياس ببرنامج الولاء ونقاط البيع.</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أربع مهام دورية دون ‎40%‎ من مستهدفها</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المستهدف المعتمد</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 ‎33%‎</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دعم افتتاحات المحطات — امتياز تجاري (‎8%‎)، تغطية الافتتاحات — تشغيل (‎13%‎)، عرض البنزين — افتتاحات التشغيل (‎20%‎)، اجتماعات التشغيل (‎33%‎). لم تُسجَّل مبررات التأخر في لوحة المتابعة.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مبرر لكل مهمة متأخرة، وربط مهام الافتتاحات بجدول الافتتاحات المعتمد.</w:t>
            </w:r>
          </w:p>
        </w:tc>
      </w:tr>
      <w:tr>
        <w:tc>
          <w:tcPr>
            <w:tcW w:type="dxa" w:w="18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 حائل HA052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7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تصريح الفعالية مسبقاً ولم يُتعاقد مع شركة حراسات أمنية قبل التنفيذ.</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r>
        <w:tc>
          <w:tcPr>
            <w:tcW w:type="dxa" w:w="18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التنسيق المسبق قبل التنفيذ</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تنسيق مكتمل</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 في 3 حملات</w:t>
            </w:r>
          </w:p>
        </w:tc>
        <w:tc>
          <w:tcPr>
            <w:tcW w:type="dxa" w:w="27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تكررت الملاحظة في نجران NJ219، وحائل HA052 (مع مدير المحطة)، والروضة MK040 (مع الشريك والمؤثرين).</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إقفال التنسيق قبل أسبوعين من موعد التنفيذ كشرط لانطلاق الحملة.</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03 · أداء الربع</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الوصول المتحقق لكل حملة وتوزيع الأداء على الأشهر</w:t>
      </w:r>
    </w:p>
    <w:p>
      <w:pPr>
        <w:spacing w:after="120"/>
      </w:pPr>
    </w:p>
    <w:p>
      <w:pPr>
        <w:bidi/>
        <w:spacing w:after="60" w:before="0"/>
        <w:jc w:val="center"/>
      </w:pPr>
      <w:r>
        <w:drawing>
          <wp:inline distT="0" distB="0" distL="0" distR="0">
            <wp:extent cx="5905500" cy="2324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24100"/>
                    </a:xfrm>
                    <a:prstGeom prst="rect">
                      <a:avLst/>
                    </a:prstGeom>
                  </pic:spPr>
                </pic:pic>
              </a:graphicData>
            </a:graphic>
          </wp:inline>
        </w:drawing>
      </w:r>
    </w:p>
    <w:p>
      <w:pPr>
        <w:bidi/>
        <w:spacing w:after="220" w:before="0" w:line="300" w:lineRule="auto"/>
        <w:jc w:val="center"/>
      </w:pPr>
      <w:r>
        <w:rPr>
          <w:rFonts w:ascii="Tahoma" w:cs="Tahoma" w:eastAsia="Tahoma" w:hAnsi="Tahoma"/>
          <w:b w:val="false"/>
          <w:bCs w:val="false"/>
          <w:color w:val="8E9295"/>
          <w:sz w:val="16"/>
          <w:szCs w:val="16"/>
          <w:rtl/>
        </w:rPr>
        <w:t xml:space="preserve">الحملات الأربع ذات الوصول المقيس. فعالية اليوم الوطني غير مدرجة لعدم قياس وصولها.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توزيع الأداء على أشهر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1150"/>
        <w:gridCol w:w="1600"/>
        <w:gridCol w:w="1300"/>
        <w:gridCol w:w="1500"/>
        <w:gridCol w:w="1500"/>
        <w:gridCol w:w="1098"/>
      </w:tblGrid>
      <w:tr>
        <w:trPr>
          <w:tblHeader/>
        </w:trPr>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عدد الحملات</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الوصول</w:t>
            </w:r>
          </w:p>
        </w:tc>
        <w:tc>
          <w:tcPr>
            <w:tcW w:type="dxa" w:w="1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التفاعلات</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الميزانية المخصصة</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الإنفاق الفعلي</w:t>
            </w:r>
          </w:p>
        </w:tc>
        <w:tc>
          <w:tcPr>
            <w:tcW w:type="dxa" w:w="10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الحالة</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2,626,300</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21,000 ر.س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1,730,212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11,142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مُقاس</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غير مسجّلة</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30,007 ر.س</w:t>
            </w:r>
          </w:p>
        </w:tc>
        <w:tc>
          <w:tcPr>
            <w:tcW w:type="dxa" w:w="109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منفّذ</w:t>
            </w:r>
          </w:p>
        </w:tc>
      </w:tr>
      <w:tr>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5</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4,356,512</w:t>
            </w:r>
          </w:p>
        </w:tc>
        <w:tc>
          <w:tcPr>
            <w:tcW w:type="dxa" w:w="1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37,805</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36,000 ر.س</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66,149 ر.س</w:t>
            </w:r>
          </w:p>
        </w:tc>
        <w:tc>
          <w:tcPr>
            <w:tcW w:type="dxa" w:w="10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تنبيه على نطاق الأرقام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أرقام الوصول والتفاعل تمثّل أربع حملات من خمس؛ فعالية اليوم الوطني نُفّذت دون قياس وصول أو تفاعل فلا تدخل في تلك المجاميع.</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مجموع الإنفاق (66,149 ر.س) يشمل الحملات الخمس، وتمثّل فعالية اليوم الوطني ‎45%‎ منه — أكبر بند إنفاق في الربع وأقلّه قياساً.</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04 · الأثر على المبيعات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ما الذي أعادته الحملات على المبيعات فعلياً</w:t>
      </w:r>
    </w:p>
    <w:p>
      <w:pPr>
        <w:bidi/>
        <w:spacing w:after="180" w:before="0" w:line="300" w:lineRule="auto"/>
        <w:jc w:val="start"/>
      </w:pPr>
      <w:r>
        <w:rPr>
          <w:rFonts w:ascii="Tahoma" w:cs="Tahoma" w:eastAsia="Tahoma" w:hAnsi="Tahoma"/>
          <w:b w:val="false"/>
          <w:bCs w:val="false"/>
          <w:color w:val="5E6265"/>
          <w:sz w:val="20"/>
          <w:szCs w:val="20"/>
          <w:rtl/>
        </w:rPr>
        <w:t xml:space="preserve">لأول مرة يُقاس الأثر التجاري للحملات. المصدر بيانات معاملات البيع للمحطات الثلاث، بمقارنة متوسط الإيراد اليومي قبل كل حملة بيومها وبالفترة التالية لها.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220,431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إيراد إضافي مقدَّر (ر.س)</w:t>
            </w:r>
          </w:p>
          <w:p>
            <w:pPr>
              <w:bidi/>
              <w:spacing w:after="0" w:before="0" w:line="300" w:lineRule="auto"/>
              <w:jc w:val="center"/>
            </w:pPr>
            <w:r>
              <w:rPr>
                <w:rFonts w:ascii="Tahoma" w:cs="Tahoma" w:eastAsia="Tahoma" w:hAnsi="Tahoma"/>
                <w:b w:val="false"/>
                <w:bCs w:val="false"/>
                <w:color w:val="8E9295"/>
                <w:sz w:val="15"/>
                <w:szCs w:val="15"/>
                <w:rtl/>
              </w:rPr>
              <w:t xml:space="preserve">من ثلاث حملات مقيسة في يوليو وأغسطس</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الإيراد الإضافي ÷ الإنفاق</w:t>
            </w:r>
          </w:p>
          <w:p>
            <w:pPr>
              <w:bidi/>
              <w:spacing w:after="0" w:before="0" w:line="300" w:lineRule="auto"/>
              <w:jc w:val="center"/>
            </w:pPr>
            <w:r>
              <w:rPr>
                <w:rFonts w:ascii="Tahoma" w:cs="Tahoma" w:eastAsia="Tahoma" w:hAnsi="Tahoma"/>
                <w:b w:val="false"/>
                <w:bCs w:val="false"/>
                <w:color w:val="8E9295"/>
                <w:sz w:val="15"/>
                <w:szCs w:val="15"/>
                <w:rtl/>
              </w:rPr>
              <w:t xml:space="preserve">220,431 ر.س مقابل 36,142 ر.س تكلفة</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‎+50%‎</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ارتفاع الإيراد اليومي</w:t>
            </w:r>
          </w:p>
          <w:p>
            <w:pPr>
              <w:bidi/>
              <w:spacing w:after="0" w:before="0" w:line="300" w:lineRule="auto"/>
              <w:jc w:val="center"/>
            </w:pPr>
            <w:r>
              <w:rPr>
                <w:rFonts w:ascii="Tahoma" w:cs="Tahoma" w:eastAsia="Tahoma" w:hAnsi="Tahoma"/>
                <w:b w:val="false"/>
                <w:bCs w:val="false"/>
                <w:color w:val="8E9295"/>
                <w:sz w:val="15"/>
                <w:szCs w:val="15"/>
                <w:rtl/>
              </w:rPr>
              <w:t xml:space="preserve">بعد الحملات: ‎38%‎ · ‎54%‎ · ‎59%‎</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3 من 5</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حملات قيس أثرها التجاري</w:t>
            </w:r>
          </w:p>
          <w:p>
            <w:pPr>
              <w:bidi/>
              <w:spacing w:after="0" w:before="0" w:line="300" w:lineRule="auto"/>
              <w:jc w:val="center"/>
            </w:pPr>
            <w:r>
              <w:rPr>
                <w:rFonts w:ascii="Tahoma" w:cs="Tahoma" w:eastAsia="Tahoma" w:hAnsi="Tahoma"/>
                <w:b w:val="false"/>
                <w:bCs w:val="false"/>
                <w:color w:val="8E9295"/>
                <w:sz w:val="15"/>
                <w:szCs w:val="15"/>
                <w:rtl/>
              </w:rPr>
              <w:t xml:space="preserve">ظبيا وفعالية اليوم الوطني بلا بيانات مبيعات</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100"/>
        <w:gridCol w:w="1150"/>
        <w:gridCol w:w="1050"/>
        <w:gridCol w:w="1200"/>
        <w:gridCol w:w="1000"/>
        <w:gridCol w:w="898"/>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الحملة</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خط الأساس (ر.س/يوم)</w:t>
            </w:r>
          </w:p>
        </w:tc>
        <w:tc>
          <w:tcPr>
            <w:tcW w:type="dxa" w:w="1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يوم الحملة</w:t>
            </w:r>
          </w:p>
        </w:tc>
        <w:tc>
          <w:tcPr>
            <w:tcW w:type="dxa" w:w="11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بعد الحملة</w:t>
            </w:r>
          </w:p>
        </w:tc>
        <w:tc>
          <w:tcPr>
            <w:tcW w:type="dxa" w:w="10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الأثر الباقي</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 إضافي</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التكلفة</w:t>
            </w:r>
          </w:p>
        </w:tc>
        <w:tc>
          <w:tcPr>
            <w:tcW w:type="dxa" w:w="8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المضاعف</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نجران المركب NJ219</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121,951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25,000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4.9×</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حائل الأمير سعود HA052</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68,419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7,002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9.8×</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افتتاح الروضة MK040</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1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30,061</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4,140</w:t>
            </w:r>
          </w:p>
        </w:tc>
        <w:tc>
          <w:tcPr>
            <w:tcW w:type="dxa" w:w="8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7.3×</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1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0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220,431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36,142</w:t>
            </w:r>
          </w:p>
        </w:tc>
        <w:tc>
          <w:tcPr>
            <w:tcW w:type="dxa" w:w="8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5E6265"/>
                <w:sz w:val="18"/>
                <w:szCs w:val="18"/>
                <w:rtl/>
              </w:rPr>
              <w:t xml:space="preserve">6.1×</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1B7A4B" w:sz="18"/>
            </w:tcBorders>
            <w:shd w:fill="E7F3E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1B7A4B"/>
                <w:sz w:val="21"/>
                <w:szCs w:val="21"/>
                <w:rtl/>
              </w:rPr>
              <w:t xml:space="preserve">قراءة النتائج</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الأثر لم يكن ليوم واحد: استمر ارتفاع الإيراد اليومي ‎+38%‎ لـ27 يوماً في نجران، و‎+54%‎ لتسعة أيام في حائل، و‎+59%‎ لخمسة أيام في الروضة.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أعلى مردود: حائل الأمير سعود 9.8× (68,419 ر.س مقابل 7,002 ر.س)، تليها الروضة 7.3× ثم نجران 4.9×.</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متوسط الفاتورة لم يتأثر سلباً (نجران: 45.8 يوم الحملة مقابل 45.2 قبلها و47.3 بعدها)، و332 عملية بقيمة 50 ر.س بالضبط تؤكد انضباط تنفيذ العرض.</w:t>
            </w:r>
          </w:p>
        </w:tc>
      </w:tr>
    </w:tbl>
    <w:p>
      <w:pPr>
        <w:spacing w:after="14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C6486B" w:sz="18"/>
            </w:tcBorders>
            <w:shd w:fill="FBE9EE"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C6486B"/>
                <w:sz w:val="21"/>
                <w:szCs w:val="21"/>
                <w:rtl/>
              </w:rPr>
              <w:t xml:space="preserve">حدود القراءة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الرقم إيراد إضافي وليس ربحاً — لم تُخصم كلفة الوقود المُباع ولا قيمة القسائم.</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حائل والروضة محطتان جديدتان، فيتضمن نموهما أثر التوسّع الطبيعي إلى جانب الحملة؛ الإسناد أنظف في نجران لأنها قائمة. وخطوط الأساس قصيرة (3 و7 و11 يوماً).</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لا تتوفر بيانات مبيعات لحملة ظبيا JA070 ولا لفعالية اليوم الوطني، فبقي أثرهما التجاري غير مقيس.</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05 · أقسام الحملات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قسم مستقل لكل حملة</w:t>
      </w:r>
    </w:p>
    <w:p>
      <w:pPr>
        <w:bidi/>
        <w:spacing w:after="120" w:before="0" w:line="300" w:lineRule="auto"/>
        <w:jc w:val="start"/>
      </w:pPr>
      <w:r>
        <w:rPr>
          <w:rFonts w:ascii="Tahoma" w:cs="Tahoma" w:eastAsia="Tahoma" w:hAnsi="Tahoma"/>
          <w:b w:val="false"/>
          <w:bCs w:val="false"/>
          <w:color w:val="5E6265"/>
          <w:sz w:val="20"/>
          <w:szCs w:val="20"/>
          <w:rtl/>
        </w:rPr>
        <w:t xml:space="preserve">لكل حملة قسم يوضّح بياناتها التعريفية، ومستهدفاتها وما تحقق منها، وميزانيتها، ثم أبرز النتائج والتحديات والفرص والتوصيات الخاصة بها.</w:t>
      </w:r>
    </w:p>
    <w:p>
      <w:pPr>
        <w:keepNext/>
        <w:pBdr>
          <w:bottom w:val="single" w:color="F3741F" w:sz="10" w:space="6"/>
        </w:pBdr>
        <w:bidi/>
        <w:spacing w:after="110" w:before="180" w:line="300" w:lineRule="auto"/>
        <w:jc w:val="start"/>
      </w:pPr>
      <w:r>
        <w:rPr>
          <w:rFonts w:ascii="DIN Next LT Arabic" w:cs="DIN Next LT Arabic" w:eastAsia="DIN Next LT Arabic" w:hAnsi="DIN Next LT Arabic"/>
          <w:b/>
          <w:bCs/>
          <w:color w:val="2B2E30"/>
          <w:sz w:val="26"/>
          <w:szCs w:val="26"/>
          <w:rtl/>
        </w:rPr>
        <w:t xml:space="preserve">01 · البنزين المجاني لأول 300 سيارة — نجران  </w:t>
      </w:r>
      <w:r>
        <w:rPr>
          <w:rFonts w:ascii="DIN Next LT Arabic" w:cs="DIN Next LT Arabic" w:eastAsia="DIN Next LT Arabic" w:hAnsi="DIN Next LT Arabic"/>
          <w:b/>
          <w:bCs/>
          <w:color w:val="D25C0C"/>
          <w:sz w:val="20"/>
          <w:szCs w:val="20"/>
          <w:rtl/>
        </w:rPr>
        <w:t xml:space="preserve">[NJ219]</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يوليو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 يوليو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نجران NJ219</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21,000 ر.س · فعلي 25,000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قبل الحملة (1–3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230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4,802</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10,415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45.2</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4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11,923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26,175</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45.8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‎+151%‎</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الأسبوع التالي (5–11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323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7,134</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15,419</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‎+48%‎</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بقية الشهر (12–31 يوليو)</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296</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6,478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13,973</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47.2</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‎+34%‎</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كامل ما بعد الحملة (5–31 يوليو)</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303</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6,648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14,348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47.3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‎+38%‎</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121,951 ر.س مقابل تكلفة 25,000 ر.س — أي 4.9 أضعاف. القسائم المقدّرة ~309 (332 عملية بقيمة 50 ر.س و19 مجانية) مقابل سقف 300 سيارة.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2,626,300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‎2,626%‎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‎119%‎ استهلاك</w:t>
            </w:r>
          </w:p>
        </w:tc>
        <w:tc>
          <w:tcPr>
            <w:tcW w:type="dxa" w:w="17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تجاوز</w:t>
            </w:r>
          </w:p>
        </w:tc>
      </w:tr>
    </w:tbl>
    <w:p>
      <w:pPr>
        <w:bidi/>
        <w:spacing w:after="150" w:before="90" w:line="300" w:lineRule="auto"/>
        <w:jc w:val="start"/>
      </w:pPr>
      <w:r>
        <w:rPr>
          <w:rFonts w:ascii="Tahoma" w:cs="Tahoma" w:eastAsia="Tahoma" w:hAnsi="Tahoma"/>
          <w:b w:val="false"/>
          <w:bCs w:val="false"/>
          <w:color w:val="8E9295"/>
          <w:sz w:val="16"/>
          <w:szCs w:val="16"/>
          <w:rtl/>
        </w:rPr>
        <w:t xml:space="preserve">لم يُرصد مستهدف تفاعل لهذه الحملة ولم يُسجَّل تفاعل فعلي.</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907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عمليات يوم الحملة ساعة بساعة — 4 يوليو 2026.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21,000 ر.س</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25,000 ر.س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باستهلاك ‎119%‎ — لم يُسجَّل مبرر في تقرير الحملة</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توثيق المبرر واعتماده، وضبط تقدير ميزانية الحملات الميدانية اليومية</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2,526,300 مشاهدة — ‎2,626%‎ من المستهدف، وهو أعلى أداء وصول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رفع الوعي بالعلامة التجارية في سوق نجران</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حضور ميداني قوي رافقه انتشار واسع في منصات التواصل الاجتماعي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قبل انطلاق الحملة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الإنفاق الفعلي للميزانية المخصصة بمقدار 4,000 ر.س (استهلاك ‎119%‎) دون مبرر موثّق</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تكرار النموذج في محطات أخرى بنفس المزيج الإعلاني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تحويل حجم الوصول المرتفع إلى تسجيلات في برنامج الولاء</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التنسيق المسبق كبند إلزامي قبل انطلاق أي حملة ميدانية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مبرر تجاوز الميزانية واعتماده</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 لقياس الأثر التجاري لا الوصول فقط</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02 · البنزين المجاني لأول 200 سيارة — الامتياز التجاري ظبيا  </w:t>
      </w:r>
      <w:r>
        <w:rPr>
          <w:rFonts w:ascii="DIN Next LT Arabic" w:cs="DIN Next LT Arabic" w:eastAsia="DIN Next LT Arabic" w:hAnsi="DIN Next LT Arabic"/>
          <w:b/>
          <w:bCs/>
          <w:color w:val="D25C0C"/>
          <w:sz w:val="20"/>
          <w:szCs w:val="20"/>
          <w:rtl/>
        </w:rPr>
        <w:t xml:space="preserve">[JA070]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ظبيا JA070 — امتياز تجاري</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تُسجَّل</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991,400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‎991%‎</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‎14.0%‎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‎140%‎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مسجّلة</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‎14.0%‎ مقابل مخطط ‎10.0%‎ — نحو 138,796 تفاعلاً على وصول 991,400.</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1485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4859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الأداء المتحقق لكل مؤشر كنسبة من المستهدف. المصدر: بطاقة تقرير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تسجيل ميزانية الحملة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تُدخل الميزانية المخصصة ولا الإنفاق الفعلي في تقرير الحملة — كلاهما صفر</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استكمال الإدخال ومراجعة ترتيب تحمّل الكلفة مع شريك الامتياز</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891,400 مشاهدة — ‎991%‎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‎14.0%‎ مقابل مخطط ‎10.0%‎ — نحو 138,796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إثبات صلاحية النموذج في محطات الامتياز التجاري لا المحطات المملوكة فقط</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لم تُسجَّل ميزانية مخصصة ولا إنفاق فعلي للحملة في النظام، فتعذّر احتساب كفاءة الإنفاق وعائده</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توسيع النموذج على محطات الامتياز التجاري الأخرى</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إشراك شريك الامتياز في تحمّل جزء من كلفة الحملة مقابل التغطية</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استكمال تسجيل الميزانية المخصصة والفعلية لاحتساب عائد الإنفاق وتكلفة الوصول</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03 · البنزين المجاني لأول 100 سيارة — افتتاح حائل  </w:t>
      </w:r>
      <w:r>
        <w:rPr>
          <w:rFonts w:ascii="DIN Next LT Arabic" w:cs="DIN Next LT Arabic" w:eastAsia="DIN Next LT Arabic" w:hAnsi="DIN Next LT Arabic"/>
          <w:b/>
          <w:bCs/>
          <w:color w:val="D25C0C"/>
          <w:sz w:val="20"/>
          <w:szCs w:val="20"/>
          <w:rtl/>
        </w:rPr>
        <w:t xml:space="preserve">[HA052]</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22 أغسطس 2026 (يوم واحد)</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حائل HA052</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10,000 ر.س · فعلي 7,002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الافتتاح والتهيئة (6–14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185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4,813</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10,682</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57.7</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أسبوع ما قبل الحملة (15–21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248</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5,983</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13,231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53.4</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الحملة (السبت 22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335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7,606</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17,048</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50.9</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‎+29%‎</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الحملة (23–31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379</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9,197</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20,409</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53.8</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‎+54%‎</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68,419 ر.س مقابل تكلفة 7,002 ر.س — أي 9.8 أضعاف، الأعلى في الربع. إجمالي إيراد أغسطس 389 ألف ر.س (7,147 عملية · 175,575 لتراً). المحطة جديدة، فيتضمن النمو أثر التوسّع الطبيعي إلى جانب الحملة.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632,353</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‎632%‎</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‎16.8%‎</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‎336%‎</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7,002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‎16.8%‎ مقابل مخطط ‎5.0%‎ — نحو 106,267 تفاعلاً، الأعلى في الربع.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9075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الإيراد اليومي عبر أغسطس وموقع الحملة منه. المصدر: بيانات معاملات المحطة.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التصاريح والترتيبات الأمنية المسبقة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تصريح + تعاقد أمني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يُستوفَ</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يُصدر التصريح ولم يُتعاقد مع شركة حراسات قبل التنفيذ</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قائمة تحقق إلزامية لا تُعتمد الحملة قبل استيفائها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532,353 مشاهدة — ‎632%‎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‎16.8%‎ مقابل مخطط ‎5.0%‎ — نحو 106,267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2,998 ر.س من الميزانية المخصصة (استهلاك ‎70%‎)</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إصدار تصريح الفعالية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التعاقد المسبق مع شركة حراسات أمنية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مدير المحطة</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الحملة كنموذج قياسي لافتتاحات المحطات الجديدة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توجيه الوفر في الميزانية لتوسيع التغطية بالمؤثرين</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التنسيق والتنظيم المسبق مع مدير المحطة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إدراج تصريح الفعالية والتعاقد الأمني ضمن قائمة تحقق إلزامية قبل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04 · افتتاح محطة درب — الروضة  </w:t>
      </w:r>
      <w:r>
        <w:rPr>
          <w:rFonts w:ascii="DIN Next LT Arabic" w:cs="DIN Next LT Arabic" w:eastAsia="DIN Next LT Arabic" w:hAnsi="DIN Next LT Arabic"/>
          <w:b/>
          <w:bCs/>
          <w:color w:val="D25C0C"/>
          <w:sz w:val="20"/>
          <w:szCs w:val="20"/>
          <w:rtl/>
        </w:rPr>
        <w:t xml:space="preserve">[MK040]</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أغسطس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 – 29 أغسطس 2026 (3 أيام)</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محطة الروضة MK040</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مخطط 5,000 ر.س · فعلي 4,140 ر.س</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ميداني · إنستقرام · تيك توك · X · مؤثرين   |   الجهة المنفذة: مودة أمبون   |   التصنيف: الحملات التسويقية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الأثر على المبيعات — من بيانات المعاملات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1200"/>
        <w:gridCol w:w="1200"/>
        <w:gridCol w:w="1500"/>
        <w:gridCol w:w="1000"/>
        <w:gridCol w:w="1448"/>
      </w:tblGrid>
      <w:tr>
        <w:trPr>
          <w:tblHeader/>
        </w:trPr>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الفترة</w:t>
            </w:r>
          </w:p>
        </w:tc>
        <w:tc>
          <w:tcPr>
            <w:tcW w:type="dxa" w:w="8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الأيام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عمليات/يوم</w:t>
            </w:r>
          </w:p>
        </w:tc>
        <w:tc>
          <w:tcPr>
            <w:tcW w:type="dxa" w:w="12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لترات/يوم</w:t>
            </w:r>
          </w:p>
        </w:tc>
        <w:tc>
          <w:tcPr>
            <w:tcW w:type="dxa" w:w="1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إيراد/يوم (ر.س)</w:t>
            </w:r>
          </w:p>
        </w:tc>
        <w:tc>
          <w:tcPr>
            <w:tcW w:type="dxa" w:w="10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الفاتورة</w:t>
            </w:r>
          </w:p>
        </w:tc>
        <w:tc>
          <w:tcPr>
            <w:tcW w:type="dxa" w:w="14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center"/>
            </w:pPr>
            <w:r>
              <w:rPr>
                <w:rFonts w:ascii="DIN Next LT Arabic" w:cs="DIN Next LT Arabic" w:eastAsia="DIN Next LT Arabic" w:hAnsi="DIN Next LT Arabic"/>
                <w:b/>
                <w:bCs/>
                <w:color w:val="5E6265"/>
                <w:sz w:val="17"/>
                <w:szCs w:val="17"/>
                <w:rtl/>
              </w:rPr>
              <w:t xml:space="preserve">تغير الإيراد</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التشغيل التجريبي (15–25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11</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3,871</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8,625</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62.8</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الأساس</w:t>
            </w:r>
          </w:p>
        </w:tc>
      </w:tr>
      <w:tr>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يوم الافتتاح (الأربعاء 26 أغسطس)</w:t>
            </w:r>
          </w:p>
        </w:tc>
        <w:tc>
          <w:tcPr>
            <w:tcW w:type="dxa" w:w="8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212</w:t>
            </w:r>
          </w:p>
        </w:tc>
        <w:tc>
          <w:tcPr>
            <w:tcW w:type="dxa" w:w="12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5,978</w:t>
            </w:r>
          </w:p>
        </w:tc>
        <w:tc>
          <w:tcPr>
            <w:tcW w:type="dxa" w:w="1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13,211</w:t>
            </w:r>
          </w:p>
        </w:tc>
        <w:tc>
          <w:tcPr>
            <w:tcW w:type="dxa" w:w="10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62.3</w:t>
            </w:r>
          </w:p>
        </w:tc>
        <w:tc>
          <w:tcPr>
            <w:tcW w:type="dxa" w:w="14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‎+53%‎</w:t>
            </w:r>
          </w:p>
        </w:tc>
      </w:tr>
      <w:tr>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بعد الافتتاح (27–31 أغسطس)</w:t>
            </w:r>
          </w:p>
        </w:tc>
        <w:tc>
          <w:tcPr>
            <w:tcW w:type="dxa" w:w="8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5</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210</w:t>
            </w:r>
          </w:p>
        </w:tc>
        <w:tc>
          <w:tcPr>
            <w:tcW w:type="dxa" w:w="12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6,158</w:t>
            </w:r>
          </w:p>
        </w:tc>
        <w:tc>
          <w:tcPr>
            <w:tcW w:type="dxa" w:w="1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13,720</w:t>
            </w:r>
          </w:p>
        </w:tc>
        <w:tc>
          <w:tcPr>
            <w:tcW w:type="dxa" w:w="10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val="false"/>
                <w:bCs w:val="false"/>
                <w:color w:val="5E6265"/>
                <w:sz w:val="18"/>
                <w:szCs w:val="18"/>
                <w:rtl/>
              </w:rPr>
              <w:t xml:space="preserve">65.3</w:t>
            </w:r>
          </w:p>
        </w:tc>
        <w:tc>
          <w:tcPr>
            <w:tcW w:type="dxa" w:w="14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center"/>
            </w:pPr>
            <w:r>
              <w:rPr>
                <w:rFonts w:ascii="Tahoma" w:cs="Tahoma" w:eastAsia="Tahoma" w:hAnsi="Tahoma"/>
                <w:b/>
                <w:bCs/>
                <w:color w:val="1B7A4B"/>
                <w:sz w:val="18"/>
                <w:szCs w:val="18"/>
                <w:rtl/>
              </w:rPr>
              <w:t xml:space="preserve">‎+59%‎</w:t>
            </w:r>
          </w:p>
        </w:tc>
      </w:tr>
    </w:tbl>
    <w:p>
      <w:pPr>
        <w:bidi/>
        <w:spacing w:after="150" w:before="90" w:line="300" w:lineRule="auto"/>
        <w:jc w:val="start"/>
      </w:pPr>
      <w:r>
        <w:rPr>
          <w:rFonts w:ascii="Tahoma" w:cs="Tahoma" w:eastAsia="Tahoma" w:hAnsi="Tahoma"/>
          <w:b w:val="false"/>
          <w:bCs w:val="false"/>
          <w:color w:val="8E9295"/>
          <w:sz w:val="16"/>
          <w:szCs w:val="16"/>
          <w:rtl/>
        </w:rPr>
        <w:t xml:space="preserve">إيراد إضافي مقدَّر 30,061 ر.س مقابل تكلفة 4,140 ر.س — أي 7.3 أضعاف. خط الأساس هو التشغيل التجريبي، فيعكس النمو أثر الإعلان إلى جانب التوسّع الطبيعي لمحطة جديدة.</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 (مشاهدة)</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269,812</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‎270%‎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معدل التفاعل (%)</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‎7.0%‎</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‎700%‎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 (ر.س)</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4,140</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 استهلاك</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ضمن المخصص</w:t>
            </w:r>
          </w:p>
        </w:tc>
      </w:tr>
    </w:tbl>
    <w:p>
      <w:pPr>
        <w:bidi/>
        <w:spacing w:after="150" w:before="90" w:line="300" w:lineRule="auto"/>
        <w:jc w:val="start"/>
      </w:pPr>
      <w:r>
        <w:rPr>
          <w:rFonts w:ascii="Tahoma" w:cs="Tahoma" w:eastAsia="Tahoma" w:hAnsi="Tahoma"/>
          <w:b w:val="false"/>
          <w:bCs w:val="false"/>
          <w:color w:val="8E9295"/>
          <w:sz w:val="16"/>
          <w:szCs w:val="16"/>
          <w:rtl/>
        </w:rPr>
        <w:t xml:space="preserve">معدل التفاعل الفعلي ‎7.0%‎ مقابل مخطط ‎1.0%‎ — نحو 18,887 تفاعلاً. الحملة الوحيدة الممتدة على ثلاثة أيام.</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عمليات يوم الافتتاح ساعة بساعة — 26 أغسطس 2026. المصدر: بيانات معاملات المحطة.</w:t>
      </w:r>
    </w:p>
    <w:p>
      <w:pPr>
        <w:bidi/>
        <w:spacing w:after="50" w:before="60" w:line="240" w:lineRule="auto"/>
        <w:jc w:val="center"/>
      </w:pPr>
      <w:r>
        <w:drawing>
          <wp:inline distT="0" distB="0" distL="0" distR="0">
            <wp:extent cx="59055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2133600"/>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الإيراد اليومي حسب مرحلتي الافتتاح (15 – 31 أغسطس). المصدر: بيانات معاملات المحطة.</w:t>
      </w: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تجاوز مستهدف الوصول بمقدار 169,812 مشاهدة — ‎270%‎ من المستهدف</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معدل تفاعل ‎7.0%‎ مقابل مخطط ‎1.0%‎ — نحو 18,887 تفاعلاً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توفير 860 ر.س من الميزانية المخصصة (استهلاك ‎83%‎)</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الشريك</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ضعف التنسيق المسبق مع المؤثرين</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تمديد مدة حملات الافتتاح إلى 3 أيام أثبت فاعليته — تعميمه على الافتتاحات القادمة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بناء قائمة مؤثرين معتمدة مسبقاً لكل منطقة لتسريع التعاقد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إقفال التنسيق مع الشريك والمؤثرين قبل أسبوعين من موعد الافتتاح</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تفعيل قياس الفرص التجارية والعملاء المحوّلين</w:t>
            </w:r>
          </w:p>
        </w:tc>
      </w:tr>
    </w:tbl>
    <w:p>
      <w:pPr>
        <w:keepNext/>
        <w:pageBreakBefore/>
        <w:pBdr>
          <w:bottom w:val="single" w:color="F3741F" w:sz="10" w:space="6"/>
        </w:pBdr>
        <w:bidi/>
        <w:spacing w:after="110" w:before="0" w:line="300" w:lineRule="auto"/>
        <w:jc w:val="start"/>
      </w:pPr>
      <w:r>
        <w:rPr>
          <w:rFonts w:ascii="DIN Next LT Arabic" w:cs="DIN Next LT Arabic" w:eastAsia="DIN Next LT Arabic" w:hAnsi="DIN Next LT Arabic"/>
          <w:b/>
          <w:bCs/>
          <w:color w:val="2B2E30"/>
          <w:sz w:val="26"/>
          <w:szCs w:val="26"/>
          <w:rtl/>
        </w:rPr>
        <w:t xml:space="preserve">05 · فعالية اليوم الوطني في المحطات  </w:t>
      </w:r>
      <w:r>
        <w:rPr>
          <w:rFonts w:ascii="DIN Next LT Arabic" w:cs="DIN Next LT Arabic" w:eastAsia="DIN Next LT Arabic" w:hAnsi="DIN Next LT Arabic"/>
          <w:b/>
          <w:bCs/>
          <w:color w:val="D25C0C"/>
          <w:sz w:val="20"/>
          <w:szCs w:val="20"/>
          <w:rtl/>
        </w:rPr>
        <w:t xml:space="preserve">[9 محطات]</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2300"/>
        <w:gridCol w:w="1900"/>
        <w:gridCol w:w="1998"/>
      </w:tblGrid>
      <w:tr>
        <w:trPr>
          <w:tblHeader/>
        </w:trPr>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الشهر</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فترة التنفيذ</w:t>
            </w:r>
          </w:p>
        </w:tc>
        <w:tc>
          <w:tcPr>
            <w:tcW w:type="dxa" w:w="2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المحطة المشمولة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الهدف التسويقي</w:t>
            </w:r>
          </w:p>
        </w:tc>
        <w:tc>
          <w:tcPr>
            <w:tcW w:type="dxa" w:w="19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الميزانية</w:t>
            </w:r>
          </w:p>
        </w:tc>
      </w:tr>
      <w:tr>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سبتمبر 2026</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سبتمبر 2026 — موسم اليوم الوطني</w:t>
            </w:r>
          </w:p>
        </w:tc>
        <w:tc>
          <w:tcPr>
            <w:tcW w:type="dxa" w:w="2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 محطات محدّدة</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وعي بالعلامة التجارية · المشاركة في المناسبات الوطنية</w:t>
            </w:r>
          </w:p>
        </w:tc>
        <w:tc>
          <w:tcPr>
            <w:tcW w:type="dxa" w:w="19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 · دون ميزانية مخصصة مسجّلة</w:t>
            </w:r>
          </w:p>
        </w:tc>
      </w:tr>
    </w:tbl>
    <w:p>
      <w:pPr>
        <w:spacing w:after="120"/>
      </w:pPr>
    </w:p>
    <w:p>
      <w:pPr>
        <w:bidi/>
        <w:spacing w:after="170" w:before="0" w:line="300" w:lineRule="auto"/>
        <w:jc w:val="start"/>
      </w:pPr>
      <w:r>
        <w:rPr>
          <w:rFonts w:ascii="Tahoma" w:cs="Tahoma" w:eastAsia="Tahoma" w:hAnsi="Tahoma"/>
          <w:b w:val="false"/>
          <w:bCs w:val="false"/>
          <w:color w:val="8E9295"/>
          <w:sz w:val="16"/>
          <w:szCs w:val="16"/>
          <w:rtl/>
        </w:rPr>
        <w:t xml:space="preserve">القنوات: تزيين ميداني بالليزرات · استكرات ترويجية · فواحات   |   الجهة المنفذة: إدارة التسويق   |   التصنيف: فعاليات المناسبات</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المخرجات المنفذة والتكلفة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900"/>
        <w:gridCol w:w="1350"/>
        <w:gridCol w:w="1700"/>
        <w:gridCol w:w="1900"/>
        <w:gridCol w:w="1798"/>
      </w:tblGrid>
      <w:tr>
        <w:trPr>
          <w:tblHeader/>
        </w:trPr>
        <w:tc>
          <w:tcPr>
            <w:tcW w:type="dxa" w:w="2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الكمية</w:t>
            </w:r>
          </w:p>
        </w:tc>
        <w:tc>
          <w:tcPr>
            <w:tcW w:type="dxa" w:w="17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التكلفة</w:t>
            </w:r>
          </w:p>
        </w:tc>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تكلفة الوحدة</w:t>
            </w:r>
          </w:p>
        </w:tc>
        <w:tc>
          <w:tcPr>
            <w:tcW w:type="dxa" w:w="179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حصتها من تكلفة الفعالية</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الليزرات — السعر الأساسي</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603.75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زيادة على سعر الليزرات</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‎+1,200‎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‎+37.50‎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إجمالي الليزرات بعد الزيادة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32</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641.25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‎68%‎</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الاستكرات الموزعة</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5,000</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2,587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0.52 ر.س</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r>
      <w:tr>
        <w:tc>
          <w:tcPr>
            <w:tcW w:type="dxa" w:w="2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الفواحات الموزعة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10,000</w:t>
            </w:r>
          </w:p>
        </w:tc>
        <w:tc>
          <w:tcPr>
            <w:tcW w:type="dxa" w:w="17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6,900 ر.س</w:t>
            </w:r>
          </w:p>
        </w:tc>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0.69 ر.س</w:t>
            </w:r>
          </w:p>
        </w:tc>
        <w:tc>
          <w:tcPr>
            <w:tcW w:type="dxa" w:w="179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‎23%‎</w:t>
            </w:r>
          </w:p>
        </w:tc>
      </w:tr>
      <w:tr>
        <w:tc>
          <w:tcPr>
            <w:tcW w:type="dxa" w:w="2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الإجمالي</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w:t>
            </w:r>
          </w:p>
        </w:tc>
        <w:tc>
          <w:tcPr>
            <w:tcW w:type="dxa" w:w="17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30,007 ر.س</w:t>
            </w:r>
          </w:p>
        </w:tc>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3,334 ر.س / محطة</w:t>
            </w:r>
          </w:p>
        </w:tc>
        <w:tc>
          <w:tcPr>
            <w:tcW w:type="dxa" w:w="179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r>
    </w:tbl>
    <w:p>
      <w:pPr>
        <w:spacing w:after="120"/>
      </w:pP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المستهدفات وما تحقق منها</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1450"/>
        <w:gridCol w:w="1450"/>
        <w:gridCol w:w="1600"/>
        <w:gridCol w:w="1748"/>
      </w:tblGrid>
      <w:tr>
        <w:trPr>
          <w:tblHeader/>
        </w:trPr>
        <w:tc>
          <w:tcPr>
            <w:tcW w:type="dxa" w:w="3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المؤشر</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1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التغطية الميدانية (محطات)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9</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7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تحقق</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الوصول / المشاهدات</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التفاعلات</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يُحدَّد</w:t>
            </w:r>
          </w:p>
        </w:tc>
        <w:tc>
          <w:tcPr>
            <w:tcW w:type="dxa" w:w="1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1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مُقاس</w:t>
            </w:r>
          </w:p>
        </w:tc>
      </w:tr>
      <w:tr>
        <w:tc>
          <w:tcPr>
            <w:tcW w:type="dxa" w:w="3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الالتزام بالميزانية المخصصة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1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30,007 ر.س</w:t>
            </w:r>
          </w:p>
        </w:tc>
        <w:tc>
          <w:tcPr>
            <w:tcW w:type="dxa" w:w="1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w:t>
            </w:r>
          </w:p>
        </w:tc>
        <w:tc>
          <w:tcPr>
            <w:tcW w:type="dxa" w:w="17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8E9295"/>
                <w:sz w:val="18"/>
                <w:szCs w:val="18"/>
                <w:rtl/>
              </w:rPr>
              <w:t xml:space="preserve">غير مُقارَن</w:t>
            </w:r>
          </w:p>
        </w:tc>
      </w:tr>
    </w:tbl>
    <w:p>
      <w:pPr>
        <w:bidi/>
        <w:spacing w:after="150" w:before="90" w:line="300" w:lineRule="auto"/>
        <w:jc w:val="start"/>
      </w:pPr>
      <w:r>
        <w:rPr>
          <w:rFonts w:ascii="Tahoma" w:cs="Tahoma" w:eastAsia="Tahoma" w:hAnsi="Tahoma"/>
          <w:b w:val="false"/>
          <w:bCs w:val="false"/>
          <w:color w:val="8E9295"/>
          <w:sz w:val="16"/>
          <w:szCs w:val="16"/>
          <w:rtl/>
        </w:rPr>
        <w:t xml:space="preserve">تمثّل هذه الفعالية ‎45%‎ من إجمالي إنفاق الربع الثالث (66,149 ر.س)، وهي أكبر بند إنفاق منفرد فيه.</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الرسم البياني للحملة</w:t>
      </w:r>
    </w:p>
    <w:p>
      <w:pPr>
        <w:bidi/>
        <w:spacing w:after="50" w:before="60" w:line="240" w:lineRule="auto"/>
        <w:jc w:val="center"/>
      </w:pPr>
      <w:r>
        <w:drawing>
          <wp:inline distT="0" distB="0" distL="0" distR="0">
            <wp:extent cx="5905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05500" cy="1819275"/>
                    </a:xfrm>
                    <a:prstGeom prst="rect">
                      <a:avLst/>
                    </a:prstGeom>
                  </pic:spPr>
                </pic:pic>
              </a:graphicData>
            </a:graphic>
          </wp:inline>
        </w:drawing>
      </w:r>
    </w:p>
    <w:p>
      <w:pPr>
        <w:bidi/>
        <w:spacing w:after="170" w:before="0" w:line="300" w:lineRule="auto"/>
        <w:jc w:val="center"/>
      </w:pPr>
      <w:r>
        <w:rPr>
          <w:rFonts w:ascii="Tahoma" w:cs="Tahoma" w:eastAsia="Tahoma" w:hAnsi="Tahoma"/>
          <w:b w:val="false"/>
          <w:bCs w:val="false"/>
          <w:color w:val="8E9295"/>
          <w:sz w:val="16"/>
          <w:szCs w:val="16"/>
          <w:rtl/>
        </w:rPr>
        <w:t xml:space="preserve">توزيع تكلفة الفعالية على بنودها الثلاثة. المصدر: أوامر الشراء والتوزيع.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ما لم يتحقق في هذه الحملة · المبرر والإجراء التصحيحي</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900"/>
        <w:gridCol w:w="1350"/>
        <w:gridCol w:w="1350"/>
        <w:gridCol w:w="2599"/>
        <w:gridCol w:w="2449"/>
      </w:tblGrid>
      <w:tr>
        <w:trPr>
          <w:tblHeader/>
        </w:trPr>
        <w:tc>
          <w:tcPr>
            <w:tcW w:type="dxa" w:w="1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3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المتحقق</w:t>
            </w:r>
          </w:p>
        </w:tc>
        <w:tc>
          <w:tcPr>
            <w:tcW w:type="dxa" w:w="259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المبرر</w:t>
            </w:r>
          </w:p>
        </w:tc>
        <w:tc>
          <w:tcPr>
            <w:tcW w:type="dxa" w:w="2449"/>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الإجراء التصحيحي</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 أثر الفعالية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مؤشرات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مُقاس</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لم تُحدَّد مؤشرات أداء قبل التنفيذ، ولم يُسجَّل وصول أو تفاعل أو أثر تجاري رغم أنها أكبر بند إنفاق في الربع</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مؤشرات ومستهدفات لكل فعالية قبل الصرف، وربط المواد الموزعة برمز QR</w:t>
            </w:r>
          </w:p>
        </w:tc>
      </w:tr>
      <w:tr>
        <w:tc>
          <w:tcPr>
            <w:tcW w:type="dxa" w:w="1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ثبات سعر الليزرات بعد الاعتماد</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19,320 ر.س</w:t>
            </w:r>
          </w:p>
        </w:tc>
        <w:tc>
          <w:tcPr>
            <w:tcW w:type="dxa" w:w="13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w:t>
            </w:r>
          </w:p>
        </w:tc>
        <w:tc>
          <w:tcPr>
            <w:tcW w:type="dxa" w:w="259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طرأت زيادة 1,200 ر.س (‎+6.2%‎) على بند الليزرات بعد اعتماده، فارتفع سعر الوحدة من 603.75 إلى 641.25 ر.س دون توثيق السبب</w:t>
            </w:r>
          </w:p>
        </w:tc>
        <w:tc>
          <w:tcPr>
            <w:tcW w:type="dxa" w:w="2449"/>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تثبيت السعر في أمر الشراء أو العقد الموسمي، وتوثيق أي زيادة واعتمادها قبل التنفيذ</w:t>
            </w:r>
          </w:p>
        </w:tc>
      </w:tr>
      <w:tr>
        <w:tc>
          <w:tcPr>
            <w:tcW w:type="dxa" w:w="1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ميزانية مسبقة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معتمدة</w:t>
            </w:r>
          </w:p>
        </w:tc>
        <w:tc>
          <w:tcPr>
            <w:tcW w:type="dxa" w:w="13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غير مسجّلة</w:t>
            </w:r>
          </w:p>
        </w:tc>
        <w:tc>
          <w:tcPr>
            <w:tcW w:type="dxa" w:w="259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صُرفت 30,007 ر.س دون ميزانية مخصصة معتمدة مسجّلة في النظام</w:t>
            </w:r>
          </w:p>
        </w:tc>
        <w:tc>
          <w:tcPr>
            <w:tcW w:type="dxa" w:w="2449"/>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إدراج فعاليات المناسبات ضمن الخطة والميزانية الربعية المعتمدة مسبقاً</w:t>
            </w:r>
          </w:p>
        </w:tc>
      </w:tr>
    </w:tbl>
    <w:p>
      <w:pPr>
        <w:spacing w:after="60"/>
      </w:pPr>
    </w:p>
    <w:p>
      <w:pPr>
        <w:spacing w:after="6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1B7A4B"/>
                <w:sz w:val="19"/>
                <w:szCs w:val="19"/>
                <w:rtl/>
              </w:rPr>
              <w:t xml:space="preserve">أبرز النتائج</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تغطية تسع محطات في مناسبة وطنية واحدة — أوسع انتشار ميداني في الربع</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تنفيذ 32 ليزراً وتوزيع 5,000 استكر و10,000 فواحة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إكمال تغطية أشهر الربع الثلاثة بنشاط تسويقي</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C6486B"/>
                <w:sz w:val="19"/>
                <w:szCs w:val="19"/>
                <w:rtl/>
              </w:rPr>
              <w:t xml:space="preserve">التحديات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غياب مؤشرات أداء معتمدة للفعالية قبل تنفيذها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قياس الوصول أو التفاعل أو الأثر التجاري</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الصرف دون ميزانية مخصصة معتمدة مسجّلة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تركّز ‎68%‎ من التكلفة في بند واحد (الليزرات) دون مقارنة عروض موثّقة</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زيادة 1,200 ر.س على سعر الليزرات بعد الاعتماد (‎+6.2%‎) رفعت سعر الوحدة من 603.75 إلى 641.25 ر.س</w:t>
            </w:r>
          </w:p>
        </w:tc>
      </w:tr>
      <w:tr>
        <w:trPr>
          <w:cantSplit/>
        </w:trPr>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D25C0C"/>
                <w:sz w:val="19"/>
                <w:szCs w:val="19"/>
                <w:rtl/>
              </w:rPr>
              <w:t xml:space="preserve">الفرص الممكن الاستفادة منها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الاستكرات والفواحات قناة قياس جاهزة — رمز QR يحوّل 15,000 قطعة إلى نقاط قياس وتسجيل في برنامج الولاء</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اعتماد حزمة مناسبات قياسية متكررة (اليوم الوطني · يوم التأسيس) بتكلفة وحدة معلومة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التفاوض على سعر الليزر (641.25 ر.س للوحدة بعد الزيادة) عبر عقد موسمي يثبّت السعر ويمنع الزيادات بعد الاعتماد</w:t>
            </w:r>
          </w:p>
        </w:tc>
        <w:tc>
          <w:tcPr>
            <w:tcW w:type="dxa" w:w="4824"/>
            <w:tcBorders>
              <w:top w:val="single" w:color="DEDFE1" w:sz="4"/>
              <w:left w:val="single" w:color="DEDFE1" w:sz="4"/>
              <w:bottom w:val="single" w:color="DEDFE1" w:sz="4"/>
              <w:right w:val="single" w:color="DEDFE1" w:sz="4"/>
            </w:tcBorders>
            <w:shd w:fill="FBFBFC" w:color="auto" w:val="clear"/>
            <w:tcMar>
              <w:top w:type="dxa" w:w="130"/>
              <w:left w:type="dxa" w:w="150"/>
              <w:bottom w:type="dxa" w:w="130"/>
              <w:right w:type="dxa" w:w="150"/>
            </w:tcMar>
          </w:tcPr>
          <w:p>
            <w:pPr>
              <w:bidi/>
              <w:spacing w:after="70" w:before="0" w:line="300" w:lineRule="auto"/>
              <w:jc w:val="start"/>
            </w:pPr>
            <w:r>
              <w:rPr>
                <w:rFonts w:ascii="DIN Next LT Arabic" w:cs="DIN Next LT Arabic" w:eastAsia="DIN Next LT Arabic" w:hAnsi="DIN Next LT Arabic"/>
                <w:b/>
                <w:bCs/>
                <w:color w:val="66686A"/>
                <w:sz w:val="19"/>
                <w:szCs w:val="19"/>
                <w:rtl/>
              </w:rPr>
              <w:t xml:space="preserve">التوصيات</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عدم اعتماد أي فعالية مناسبات مستقبلاً دون مؤشرات ومستهدفات وميزانية معتمدة مسبقاً</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إضافة رمز QR على المواد الموزعة في الفعالية القادمة لقياس الأثر</w:t>
            </w:r>
          </w:p>
          <w:p>
            <w:pPr>
              <w:pStyle w:val="ListParagraph"/>
              <w:numPr>
                <w:ilvl w:val="0"/>
                <w:numId w:val="1"/>
              </w:numPr>
              <w:bidi/>
              <w:spacing w:after="45" w:line="270" w:lineRule="auto"/>
            </w:pPr>
            <w:r>
              <w:rPr>
                <w:rFonts w:ascii="Tahoma" w:cs="Tahoma" w:eastAsia="Tahoma" w:hAnsi="Tahoma"/>
                <w:b w:val="false"/>
                <w:bCs w:val="false"/>
                <w:color w:val="5E6265"/>
                <w:sz w:val="17"/>
                <w:szCs w:val="17"/>
                <w:rtl/>
              </w:rPr>
              <w:t xml:space="preserve">توثيق ثلاثة عروض أسعار على الأقل لبند الليزرات قبل الاعتماد، وتثبيت السعر تعاقدياً لمنع الزيادة بعد الاعتماد</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06 · مستهدفات فريق العمل</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المهام الدورية والشهرية · المستهدف مقابل الإنجاز</w:t>
      </w:r>
    </w:p>
    <w:p>
      <w:pPr>
        <w:bidi/>
        <w:spacing w:after="180" w:before="0" w:line="300" w:lineRule="auto"/>
        <w:jc w:val="start"/>
      </w:pPr>
      <w:r>
        <w:rPr>
          <w:rFonts w:ascii="Tahoma" w:cs="Tahoma" w:eastAsia="Tahoma" w:hAnsi="Tahoma"/>
          <w:b w:val="false"/>
          <w:bCs w:val="false"/>
          <w:color w:val="5E6265"/>
          <w:sz w:val="20"/>
          <w:szCs w:val="20"/>
          <w:rtl/>
        </w:rPr>
        <w:t xml:space="preserve">إلى جانب أداء الحملات، يلتزم فريق التسويق بتسع مهام دورية معتمدة. الأرقام أدناه هي الإنجاز المسجّل في لوحة متابعة المهام حتى تاريخ إعداد هذا التقرير مقابل المستهدف المعتمد لكل مهمة، مرتبة تنازلياً بحسب نسبة الإنجاز.</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9</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دورية معتمدة</w:t>
            </w:r>
          </w:p>
          <w:p>
            <w:pPr>
              <w:bidi/>
              <w:spacing w:after="0" w:before="0" w:line="300" w:lineRule="auto"/>
              <w:jc w:val="center"/>
            </w:pPr>
            <w:r>
              <w:rPr>
                <w:rFonts w:ascii="Tahoma" w:cs="Tahoma" w:eastAsia="Tahoma" w:hAnsi="Tahoma"/>
                <w:b w:val="false"/>
                <w:bCs w:val="false"/>
                <w:color w:val="8E9295"/>
                <w:sz w:val="15"/>
                <w:szCs w:val="15"/>
                <w:rtl/>
              </w:rPr>
              <w:t xml:space="preserve">مهمة واحدة مكتملة · 8 قيد التنفيذ</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متوسط نسبة الإنجاز</w:t>
            </w:r>
          </w:p>
          <w:p>
            <w:pPr>
              <w:bidi/>
              <w:spacing w:after="0" w:before="0" w:line="300" w:lineRule="auto"/>
              <w:jc w:val="center"/>
            </w:pPr>
            <w:r>
              <w:rPr>
                <w:rFonts w:ascii="Tahoma" w:cs="Tahoma" w:eastAsia="Tahoma" w:hAnsi="Tahoma"/>
                <w:b w:val="false"/>
                <w:bCs w:val="false"/>
                <w:color w:val="8E9295"/>
                <w:sz w:val="15"/>
                <w:szCs w:val="15"/>
                <w:rtl/>
              </w:rPr>
              <w:t xml:space="preserve">متوسط نسب الإنجاز عبر المهام التسع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4</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مهام دون ‎40%‎</w:t>
            </w:r>
          </w:p>
          <w:p>
            <w:pPr>
              <w:bidi/>
              <w:spacing w:after="0" w:before="0" w:line="300" w:lineRule="auto"/>
              <w:jc w:val="center"/>
            </w:pPr>
            <w:r>
              <w:rPr>
                <w:rFonts w:ascii="Tahoma" w:cs="Tahoma" w:eastAsia="Tahoma" w:hAnsi="Tahoma"/>
                <w:b w:val="false"/>
                <w:bCs w:val="false"/>
                <w:color w:val="8E9295"/>
                <w:sz w:val="15"/>
                <w:szCs w:val="15"/>
                <w:rtl/>
              </w:rPr>
              <w:t xml:space="preserve">تحتاج خطة استدراك في الربع الرابع</w:t>
            </w:r>
          </w:p>
        </w:tc>
        <w:tc>
          <w:tcPr>
            <w:tcW w:type="dxa" w:w="2412"/>
            <w:tcBorders>
              <w:top w:val="single" w:color="DEDFE1" w:sz="4"/>
              <w:left w:val="single" w:color="DEDFE1" w:sz="4"/>
              <w:bottom w:val="single" w:color="DEDFE1" w:sz="4"/>
              <w:right w:val="single" w:color="DEDFE1" w:sz="4"/>
            </w:tcBorders>
            <w:shd w:fill="FFFFFF" w:color="auto" w:val="clear"/>
            <w:tcMar>
              <w:top w:type="dxa" w:w="150"/>
              <w:left w:type="dxa" w:w="120"/>
              <w:bottom w:type="dxa" w:w="150"/>
              <w:right w:type="dxa" w:w="120"/>
            </w:tcMar>
          </w:tcPr>
          <w:p>
            <w:pPr>
              <w:bidi/>
              <w:spacing w:after="40" w:before="0" w:line="300" w:lineRule="auto"/>
              <w:jc w:val="center"/>
            </w:pPr>
            <w:r>
              <w:rPr>
                <w:rFonts w:ascii="DIN Next LT Arabic" w:cs="DIN Next LT Arabic" w:eastAsia="DIN Next LT Arabic" w:hAnsi="DIN Next LT Arabic"/>
                <w:b/>
                <w:bCs/>
                <w:color w:val="D25C0C"/>
                <w:sz w:val="34"/>
                <w:szCs w:val="34"/>
                <w:rtl/>
              </w:rPr>
              <w:t xml:space="preserve">61</w:t>
            </w:r>
          </w:p>
          <w:p>
            <w:pPr>
              <w:bidi/>
              <w:spacing w:after="40" w:before="0" w:line="300" w:lineRule="auto"/>
              <w:jc w:val="center"/>
            </w:pPr>
            <w:r>
              <w:rPr>
                <w:rFonts w:ascii="DIN Next LT Arabic" w:cs="DIN Next LT Arabic" w:eastAsia="DIN Next LT Arabic" w:hAnsi="DIN Next LT Arabic"/>
                <w:b/>
                <w:bCs/>
                <w:color w:val="2B2E30"/>
                <w:sz w:val="18"/>
                <w:szCs w:val="18"/>
                <w:rtl/>
              </w:rPr>
              <w:t xml:space="preserve">إجمالي الوحدات المنجزة</w:t>
            </w:r>
          </w:p>
          <w:p>
            <w:pPr>
              <w:bidi/>
              <w:spacing w:after="0" w:before="0" w:line="300" w:lineRule="auto"/>
              <w:jc w:val="center"/>
            </w:pPr>
            <w:r>
              <w:rPr>
                <w:rFonts w:ascii="Tahoma" w:cs="Tahoma" w:eastAsia="Tahoma" w:hAnsi="Tahoma"/>
                <w:b w:val="false"/>
                <w:bCs w:val="false"/>
                <w:color w:val="8E9295"/>
                <w:sz w:val="15"/>
                <w:szCs w:val="15"/>
                <w:rtl/>
              </w:rPr>
              <w:t xml:space="preserve">من إجمالي 287 وحدة مستهدفة</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900"/>
        <w:gridCol w:w="1250"/>
        <w:gridCol w:w="1250"/>
        <w:gridCol w:w="1400"/>
        <w:gridCol w:w="1848"/>
      </w:tblGrid>
      <w:tr>
        <w:trPr>
          <w:tblHeader/>
        </w:trPr>
        <w:tc>
          <w:tcPr>
            <w:tcW w:type="dxa" w:w="39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المهمة</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المستهدف</w:t>
            </w:r>
          </w:p>
        </w:tc>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الإنجاز</w:t>
            </w:r>
          </w:p>
        </w:tc>
        <w:tc>
          <w:tcPr>
            <w:tcW w:type="dxa" w:w="14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نسبة الإنجاز</w:t>
            </w:r>
          </w:p>
        </w:tc>
        <w:tc>
          <w:tcPr>
            <w:tcW w:type="dxa" w:w="1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الحالة</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ملف المؤثرين مصنفين بالمدن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5</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‎100%‎</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مكتمل</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المشاركة في الأيام العالمية والمناسبات</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‎83%‎</w:t>
            </w:r>
          </w:p>
        </w:tc>
        <w:tc>
          <w:tcPr>
            <w:tcW w:type="dxa" w:w="1848"/>
            <w:tcBorders>
              <w:top w:val="single" w:color="DEDFE1" w:sz="4"/>
              <w:left w:val="single" w:color="DEDFE1" w:sz="4"/>
              <w:bottom w:val="single" w:color="DEDFE1" w:sz="4"/>
              <w:right w:val="single" w:color="DEDFE1" w:sz="4"/>
            </w:tcBorders>
            <w:shd w:fill="E7F3E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1B7A4B"/>
                <w:sz w:val="18"/>
                <w:szCs w:val="18"/>
                <w:rtl/>
              </w:rPr>
              <w:t xml:space="preserve">✔ متقدم</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عقود مؤثرين</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3</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الامتياز التجاري</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6</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‎50%‎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الامتياز التجاري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‎40%‎</w:t>
            </w:r>
          </w:p>
        </w:tc>
        <w:tc>
          <w:tcPr>
            <w:tcW w:type="dxa" w:w="1848"/>
            <w:tcBorders>
              <w:top w:val="single" w:color="DEDFE1" w:sz="4"/>
              <w:left w:val="single" w:color="DEDFE1" w:sz="4"/>
              <w:bottom w:val="single" w:color="DEDFE1" w:sz="4"/>
              <w:right w:val="single" w:color="DEDFE1" w:sz="4"/>
            </w:tcBorders>
            <w:shd w:fill="FDEADC"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D25C0C"/>
                <w:sz w:val="18"/>
                <w:szCs w:val="18"/>
                <w:rtl/>
              </w:rPr>
              <w:t xml:space="preserve">◐ قيد التنفيذ</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اجتماعات التشغيل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12</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‎33%‎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عرض البنزين — افتتاحات التشغيل</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4</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‎20%‎</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تغطية افتتاحات المحطات الجديدة — تشغيل</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13</w:t>
            </w:r>
          </w:p>
        </w:tc>
        <w:tc>
          <w:tcPr>
            <w:tcW w:type="dxa" w:w="14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‎13%‎</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r>
        <w:tc>
          <w:tcPr>
            <w:tcW w:type="dxa" w:w="39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دعم افتتاحات المحطات الجديدة — امتياز تجاري</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100</w:t>
            </w:r>
          </w:p>
        </w:tc>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8</w:t>
            </w:r>
          </w:p>
        </w:tc>
        <w:tc>
          <w:tcPr>
            <w:tcW w:type="dxa" w:w="14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5E6265"/>
                <w:sz w:val="18"/>
                <w:szCs w:val="18"/>
                <w:rtl/>
              </w:rPr>
              <w:t xml:space="preserve">‎8%‎</w:t>
            </w:r>
          </w:p>
        </w:tc>
        <w:tc>
          <w:tcPr>
            <w:tcW w:type="dxa" w:w="1848"/>
            <w:tcBorders>
              <w:top w:val="single" w:color="DEDFE1" w:sz="4"/>
              <w:left w:val="single" w:color="DEDFE1" w:sz="4"/>
              <w:bottom w:val="single" w:color="DEDFE1" w:sz="4"/>
              <w:right w:val="single" w:color="DEDFE1" w:sz="4"/>
            </w:tcBorders>
            <w:shd w:fill="FBE9EE"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C6486B"/>
                <w:sz w:val="18"/>
                <w:szCs w:val="18"/>
                <w:rtl/>
              </w:rPr>
              <w:t xml:space="preserve">✕ متأخر</w:t>
            </w:r>
          </w:p>
        </w:tc>
      </w:tr>
    </w:tbl>
    <w:p>
      <w:pPr>
        <w:spacing w:after="200"/>
      </w:pP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none" w:color="FFFFFF" w:sz="0"/>
              <w:bottom w:val="none" w:color="FFFFFF" w:sz="0"/>
              <w:right w:val="single" w:color="F3741F" w:sz="18"/>
            </w:tcBorders>
            <w:shd w:fill="FDEADC" w:color="auto" w:val="clear"/>
            <w:tcMar>
              <w:top w:type="dxa" w:w="170"/>
              <w:left w:type="dxa" w:w="180"/>
              <w:bottom w:type="dxa" w:w="170"/>
              <w:right w:type="dxa" w:w="180"/>
            </w:tcMar>
          </w:tcPr>
          <w:p>
            <w:pPr>
              <w:bidi/>
              <w:spacing w:after="90" w:before="0" w:line="300" w:lineRule="auto"/>
              <w:jc w:val="start"/>
            </w:pPr>
            <w:r>
              <w:rPr>
                <w:rFonts w:ascii="DIN Next LT Arabic" w:cs="DIN Next LT Arabic" w:eastAsia="DIN Next LT Arabic" w:hAnsi="DIN Next LT Arabic"/>
                <w:b/>
                <w:bCs/>
                <w:color w:val="D25C0C"/>
                <w:sz w:val="21"/>
                <w:szCs w:val="21"/>
                <w:rtl/>
              </w:rPr>
              <w:t xml:space="preserve">قراءة سريعة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مهمة واحدة مكتملة: «ملف المؤثرين مصنفين بالمدن» بنسبة ‎100%‎ — وهي المهمة التأسيسية الوحيدة ضمن القائمة.</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الأقرب للاكتمال: «المشاركة في الأيام العالمية والمناسبات» عند ‎83%‎ (10 من 12).</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أربع مهام دون ‎40%‎، وثلاث منها مرتبطة مباشرة بافتتاحات المحطات: تغطية الافتتاحات — تشغيل (‎13%‎)، ودعم الافتتاحات — امتياز تجاري (‎8%‎)، وعرض البنزين — افتتاحات التشغيل (‎20%‎). وهي مهام يرتبط إنجازها بوتيرة الافتتاحات الفعلية لا بجهد الفريق وحده.</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اجتماعات التشغيل عند ‎33%‎ مقابل اجتماعات الامتياز التجاري عند ‎50%‎ — فجوة تستدعي تثبيت وتيرة اجتماعات التشغيل.</w:t>
            </w:r>
          </w:p>
          <w:p>
            <w:pPr>
              <w:pStyle w:val="ListParagraph"/>
              <w:numPr>
                <w:ilvl w:val="0"/>
                <w:numId w:val="1"/>
              </w:numPr>
              <w:bidi/>
              <w:spacing w:after="70" w:line="290" w:lineRule="auto"/>
            </w:pPr>
            <w:r>
              <w:rPr>
                <w:rFonts w:ascii="Tahoma" w:cs="Tahoma" w:eastAsia="Tahoma" w:hAnsi="Tahoma"/>
                <w:b w:val="false"/>
                <w:bCs w:val="false"/>
                <w:color w:val="2B2E30"/>
                <w:sz w:val="19"/>
                <w:szCs w:val="19"/>
                <w:rtl/>
              </w:rPr>
              <w:t xml:space="preserve">لم تُسجَّل مبررات التأخر في لوحة المهام، ويُوصى بإضافتها لكل مهمة دون ‎40%‎ قبل إقفال الربع.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07 · التحديات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التحديات التي واجهت تنفيذ حملات الربع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250"/>
        <w:gridCol w:w="3450"/>
        <w:gridCol w:w="2100"/>
        <w:gridCol w:w="2848"/>
      </w:tblGrid>
      <w:tr>
        <w:trPr>
          <w:tblHeader/>
        </w:trPr>
        <w:tc>
          <w:tcPr>
            <w:tcW w:type="dxa" w:w="12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المجال</w:t>
            </w:r>
          </w:p>
        </w:tc>
        <w:tc>
          <w:tcPr>
            <w:tcW w:type="dxa" w:w="345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التحدي</w:t>
            </w:r>
          </w:p>
        </w:tc>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الحملات المتأثرة</w:t>
            </w:r>
          </w:p>
        </w:tc>
        <w:tc>
          <w:tcPr>
            <w:tcW w:type="dxa" w:w="28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الأثر</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تشغيلي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ضعف التنسيق المسبق قبل انطلاق الحملة — مع مدير المحطة والشريك والمؤثرين</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 · HA052 · MK040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تكرر في 3 حملات من 4؛ يرفع مخاطر التنفيذ ويقلّص زمن التجهيز</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تنظيمي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إصدار تصريح الفعالية والتعاقد مع شركة حراسات أمنية قبل التنفيذ</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HA052</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مخاطرة نظامية وأمنية مباشرة على فعالية جماهيرية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الميزانية المخصصة دون مبرر موثّق</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NJ219</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4,000 ر.س (‎119%‎ استهلاك)</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عدم تسجيل الميزانية المخصصة والفعلية للحملة</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احتساب كفاءة الإنفاق وعائده للحملة</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المؤشرات التجارية غير مُستهدفة مسبقاً؛ وقيس الأثر لاحقاً لثلاث حملات فقط</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ظبيا JA070 · فعالية اليوم الوطني</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حملتان من خمس بلا أي قياس تجاري رغم أن الفعالية أكبر بند إنفاق في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في النظام تحت مسمى «معدل التفاعل %»</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JA070 · HA052 · MK040</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يُنتج قيماً مضلّلة مثل «‎16,805%‎» ما لم تُصحَّح وحدة القياس</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تخطيطي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مستهدف الوصول الموحّد (100,000 لكل حملة) أقل بكثير من الأداء الفعلي</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الحملات الأربع</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تجاوز بين 2.7 و26 ضعفاً يُفقد المستهدف قيمته كأداة قياس</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قياس</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تنفيذ فعالية اليوم الوطني دون مؤشرات أداء معتمدة ولا قياس وصول أو تفاعل</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أكبر بند إنفاق في الربع (30,007 ر.س · ‎45%‎) وأقلّه قياساً</w:t>
            </w:r>
          </w:p>
        </w:tc>
      </w:tr>
      <w:tr>
        <w:tc>
          <w:tcPr>
            <w:tcW w:type="dxa" w:w="12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مالي</w:t>
            </w:r>
          </w:p>
        </w:tc>
        <w:tc>
          <w:tcPr>
            <w:tcW w:type="dxa" w:w="345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الصرف دون ميزانية مخصصة معتمدة مسبقاً</w:t>
            </w:r>
          </w:p>
        </w:tc>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 JA070</w:t>
            </w:r>
          </w:p>
        </w:tc>
        <w:tc>
          <w:tcPr>
            <w:tcW w:type="dxa" w:w="28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يتعذّر قياس الانضباط المالي على ‎45%‎ من إنفاق الربع</w:t>
            </w:r>
          </w:p>
        </w:tc>
      </w:tr>
      <w:tr>
        <w:tc>
          <w:tcPr>
            <w:tcW w:type="dxa" w:w="12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شراء</w:t>
            </w:r>
          </w:p>
        </w:tc>
        <w:tc>
          <w:tcPr>
            <w:tcW w:type="dxa" w:w="345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تركّز ‎68%‎ من تكلفة الفعالية في بند الليزرات، وزيادة 1,200 ر.س على سعره بعد الاعتماد</w:t>
            </w:r>
          </w:p>
        </w:tc>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w:t>
            </w:r>
          </w:p>
        </w:tc>
        <w:tc>
          <w:tcPr>
            <w:tcW w:type="dxa" w:w="28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20,520 ر.س بمعدل 641.25 ر.س للوحدة (‎+6.2%‎) دون مرجع سعري موثّق</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08 · الفرص</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الفرص الممكن الاستفادة منها</w:t>
      </w:r>
    </w:p>
    <w:p>
      <w:pPr>
        <w:bidi/>
        <w:spacing w:after="180" w:before="0" w:line="300" w:lineRule="auto"/>
        <w:jc w:val="start"/>
      </w:pPr>
      <w:r>
        <w:rPr>
          <w:rFonts w:ascii="Tahoma" w:cs="Tahoma" w:eastAsia="Tahoma" w:hAnsi="Tahoma"/>
          <w:b w:val="false"/>
          <w:bCs w:val="false"/>
          <w:color w:val="5E6265"/>
          <w:sz w:val="20"/>
          <w:szCs w:val="20"/>
          <w:rtl/>
        </w:rPr>
        <w:t xml:space="preserve">فرص مستخلصة من أداء الربع نفسه، قابلة للتفعيل خلال الربع الرابع.</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توسيع نموذج أثبت نجاحه</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تعميم «البنزين المجاني للسيارات الأولى» كنموذج قياسي لكل افتتاح محطة جديدة — كلفة منخفضة ووصول يفوق المستهدف بأضعاف.</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تمديد مدة حملة الافتتاح إلى ثلاثة أيام كما في الروضة MK040 بدل يوم واحد.</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نقل النموذج إلى محطات الامتياز التجاري بعد نجاحه في ظبيا JA070.</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اعتماد حزمة مناسبات قياسية متكررة (اليوم الوطني · يوم التأسيس) بتكلفة وحدة معلومة مسبقاً وسعر مثبَّت تعاقدياً.</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تحويل الوصول إلى قيمة تجارية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ربط الحملات ببرنامج الولاء وتحويل الوصول المرتفع إلى تسجيلات وعملاء متكررين.</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تفعيل قياس الفرص التجارية والعملاء المحوّلين لاحتساب عائد الإنفاق لأول مرة.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إشراك شريك الامتياز في تحمّل جزء من كلفة الحملة مقابل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تحويل 15,000 قطعة موزعة (استكرات وفواحات) إلى نقاط قياس عبر رمز QR يربطها ببرنامج الولاء.</w:t>
      </w:r>
    </w:p>
    <w:p>
      <w:pPr>
        <w:keepNext/>
        <w:bidi/>
        <w:spacing w:after="70" w:before="150" w:line="300" w:lineRule="auto"/>
        <w:jc w:val="start"/>
      </w:pPr>
      <w:r>
        <w:rPr>
          <w:rFonts w:ascii="DIN Next LT Arabic" w:cs="DIN Next LT Arabic" w:eastAsia="DIN Next LT Arabic" w:hAnsi="DIN Next LT Arabic"/>
          <w:b/>
          <w:bCs/>
          <w:color w:val="2B2E30"/>
          <w:sz w:val="22"/>
          <w:szCs w:val="22"/>
          <w:rtl/>
        </w:rPr>
        <w:t xml:space="preserve">رفع جاهزية التنفيذ</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إعداد دليل تشغيلي موحّد للافتتاحات يغطي التصاريح والحراسات والتنسيق مع مدير المحطة والشريك.</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بناء قائمة مؤثرين معتمدة لكل منطقة لتقصير زمن التعاقد ورفع جودة التغطية.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إعادة معايرة مستهدف الوصول على أساس الأداء الفعلي بدل رقم ثابت لا يعكس حجم المحطة أو المنطقة.</w:t>
      </w:r>
    </w:p>
    <w:p>
      <w:pPr>
        <w:pStyle w:val="ListParagraph"/>
        <w:numPr>
          <w:ilvl w:val="0"/>
          <w:numId w:val="1"/>
        </w:numPr>
        <w:bidi/>
        <w:spacing w:after="50" w:line="280" w:lineRule="auto"/>
      </w:pPr>
      <w:r>
        <w:rPr>
          <w:rFonts w:ascii="Tahoma" w:cs="Tahoma" w:eastAsia="Tahoma" w:hAnsi="Tahoma"/>
          <w:b w:val="false"/>
          <w:bCs w:val="false"/>
          <w:color w:val="5E6265"/>
          <w:sz w:val="19"/>
          <w:szCs w:val="19"/>
          <w:rtl/>
        </w:rPr>
        <w:t xml:space="preserve">التفاوض على سعر الليزر (641.25 ر.س للوحدة بعد الزيادة) عبر عقد موسمي يثبّت السعر بدل الشراء المنفصل لكل فعالية.</w:t>
      </w:r>
    </w:p>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09 · التوصيات</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التوصيات والخطوات التالية للربع الرابع</w:t>
      </w:r>
    </w:p>
    <w:p>
      <w:pPr>
        <w:bidi/>
        <w:spacing w:after="180" w:before="0" w:line="300" w:lineRule="auto"/>
        <w:jc w:val="start"/>
      </w:pPr>
      <w:r>
        <w:rPr>
          <w:rFonts w:ascii="Tahoma" w:cs="Tahoma" w:eastAsia="Tahoma" w:hAnsi="Tahoma"/>
          <w:b w:val="false"/>
          <w:bCs w:val="false"/>
          <w:color w:val="5E6265"/>
          <w:sz w:val="20"/>
          <w:szCs w:val="20"/>
          <w:rtl/>
        </w:rPr>
        <w:t xml:space="preserve">مرتبة بحسب الأولوية — الأثر على جودة القرار أولاً، ثم جاهزية التنفيذ، ثم التوسع.</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600"/>
        <w:gridCol w:w="2500"/>
        <w:gridCol w:w="4300"/>
        <w:gridCol w:w="2248"/>
      </w:tblGrid>
      <w:tr>
        <w:trPr>
          <w:tblHeader/>
        </w:trPr>
        <w:tc>
          <w:tcPr>
            <w:tcW w:type="dxa" w:w="6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w:t>
            </w:r>
          </w:p>
        </w:tc>
        <w:tc>
          <w:tcPr>
            <w:tcW w:type="dxa" w:w="25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التوصية</w:t>
            </w:r>
          </w:p>
        </w:tc>
        <w:tc>
          <w:tcPr>
            <w:tcW w:type="dxa" w:w="43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c>
          <w:tcPr>
            <w:tcW w:type="dxa" w:w="22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التوقيت</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1</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اعتماد مستهدفات تجارية لكل حملة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تحديد مستهدف للفرص التجارية والعملاء المحوّلين وعائد الإنفاق قبل اعتماد أي حملة، وربط القياس ببرنامج الولاء ونقاط البيع. بدون ذلك يبقى تقييم الحملات مقتصراً على الوصول.</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انطلاق حملات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2</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عدم اعتماد أي فعالية مناسبات دون مؤشرات وميزانية مسبقة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فعالية اليوم الوطني استهلكت ‎45%‎ من إنفاق الربع دون مستهدف معتمد ولا قياس. يلزم اعتماد مؤشرات ومستهدفات وميزانية لكل فعالية قبل الصرف، وإضافة رمز QR على المواد الموزعة لقياس الأثر.</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فعالية يوم التأسيس</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3</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وحدة قياس التفاعل في النظام</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تسجيل عدد التفاعلات كعدد ومعدل التفاعل كنسبة في حقلين منفصلين، لتفادي قيم مضلّلة مثل «‎16,805%‎» في التقارير المرفوعة للإدارة.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إجراء فوري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4</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قائمة تحقق إلزامية قبل اعتماد أي حملة ميدانية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تشمل تصريح الفعالية، التعاقد الأمني، التنسيق المكتمل مع مدير المحطة والشريك والمؤثرين، واعتماد الميزانية — ولا تنطلق الحملة قبل استيفائها.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أول افتتاح قادم</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5</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استكمال البيانات الناقصة للربع الثالث</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إدخال ميزانية حملة ظبيا JA070، وتوثيق مبرر تجاوز ميزانية نجران NJ219، وتسجيل ميزانية معتمدة لفعالية اليوم الوطني — ثم إعادة اعتماد هذا التقرير بنسخته النهائية.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الاعتماد النهائي</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6</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خطة استدراك للمهام الدورية المتأخرة</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مهام دون ‎40%‎ من مستهدفها، ثلاث منها مرتبطة بوتيرة افتتاحات المحطات. يلزم ربطها بجدول الافتتاحات المعتمد للربع الرابع، وتسجيل مبرر لكل مهمة متأخرة.</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عالية · قبل إقفال الربع الثالث</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7</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إعادة معايرة مستهدف الوصول</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استبدال المستهدف الموحّد (100,000) بمستهدف يُبنى على حجم المحطة وكثافة المنطقة وقنوات التنفيذ، مستفيدين من الأداء الفعلي في الربع الثالث كخط أساس.</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ضمن خطة الربع الرابع</w:t>
            </w:r>
          </w:p>
        </w:tc>
      </w:tr>
      <w:tr>
        <w:tc>
          <w:tcPr>
            <w:tcW w:type="dxa" w:w="6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8</w:t>
            </w:r>
          </w:p>
        </w:tc>
        <w:tc>
          <w:tcPr>
            <w:tcW w:type="dxa" w:w="25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تحديث حالات الحملات في النظام</w:t>
            </w:r>
          </w:p>
        </w:tc>
        <w:tc>
          <w:tcPr>
            <w:tcW w:type="dxa" w:w="43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حائل HA052 والروضة MK040 ما زالتا بحالة «مخطط لها» رغم تنفيذهما وتسجيل نتائج وإنفاق فعلي لهما.</w:t>
            </w:r>
          </w:p>
        </w:tc>
        <w:tc>
          <w:tcPr>
            <w:tcW w:type="dxa" w:w="22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إجراء فوري</w:t>
            </w:r>
          </w:p>
        </w:tc>
      </w:tr>
      <w:tr>
        <w:tc>
          <w:tcPr>
            <w:tcW w:type="dxa" w:w="6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9</w:t>
            </w:r>
          </w:p>
        </w:tc>
        <w:tc>
          <w:tcPr>
            <w:tcW w:type="dxa" w:w="25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توسيع النموذج على الافتتاحات القادمة</w:t>
            </w:r>
          </w:p>
        </w:tc>
        <w:tc>
          <w:tcPr>
            <w:tcW w:type="dxa" w:w="43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اعتماد «البنزين المجاني» كحزمة افتتاح قياسية بثلاثة أيام، مع قائمة مؤثرين معتمدة مسبقاً لكل منطقة.</w:t>
            </w:r>
          </w:p>
        </w:tc>
        <w:tc>
          <w:tcPr>
            <w:tcW w:type="dxa" w:w="22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D25C0C"/>
                <w:sz w:val="18"/>
                <w:szCs w:val="18"/>
                <w:rtl/>
              </w:rPr>
              <w:t xml:space="preserve">أولوية متوسطة · خطة الربع الرابع</w:t>
            </w:r>
          </w:p>
        </w:tc>
      </w:tr>
    </w:tbl>
    <w:p>
      <w:pPr>
        <w:keepNext/>
        <w:pageBreakBefore/>
        <w:bidi/>
        <w:spacing w:after="40" w:before="0" w:line="300" w:lineRule="auto"/>
        <w:jc w:val="start"/>
      </w:pPr>
      <w:r>
        <w:rPr>
          <w:rFonts w:ascii="DIN Next LT Arabic" w:cs="DIN Next LT Arabic" w:eastAsia="DIN Next LT Arabic" w:hAnsi="DIN Next LT Arabic"/>
          <w:b/>
          <w:bCs/>
          <w:color w:val="D25C0C"/>
          <w:sz w:val="16"/>
          <w:szCs w:val="16"/>
          <w:rtl/>
        </w:rPr>
        <w:t xml:space="preserve">10 · الملحق</w:t>
      </w:r>
    </w:p>
    <w:p>
      <w:pPr>
        <w:keepNext/>
        <w:pBdr>
          <w:bottom w:val="single" w:color="F3741F" w:sz="10" w:space="6"/>
        </w:pBdr>
        <w:bidi/>
        <w:spacing w:after="120" w:before="0" w:line="300" w:lineRule="auto"/>
        <w:jc w:val="start"/>
      </w:pPr>
      <w:r>
        <w:rPr>
          <w:rFonts w:ascii="DIN Next LT Arabic" w:cs="DIN Next LT Arabic" w:eastAsia="DIN Next LT Arabic" w:hAnsi="DIN Next LT Arabic"/>
          <w:b/>
          <w:bCs/>
          <w:color w:val="2B2E30"/>
          <w:sz w:val="30"/>
          <w:szCs w:val="30"/>
          <w:rtl/>
        </w:rPr>
        <w:t xml:space="preserve">المنهجية ومصادر البيانات وملاحظات الجودة</w:t>
      </w:r>
    </w:p>
    <w:tbl>
      <w:tblPr>
        <w:bidiVisual/>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100"/>
        <w:gridCol w:w="7548"/>
      </w:tblGrid>
      <w:tr>
        <w:trPr>
          <w:tblHeader/>
        </w:trPr>
        <w:tc>
          <w:tcPr>
            <w:tcW w:type="dxa" w:w="2100"/>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البند</w:t>
            </w:r>
          </w:p>
        </w:tc>
        <w:tc>
          <w:tcPr>
            <w:tcW w:type="dxa" w:w="7548"/>
            <w:tcBorders>
              <w:top w:val="single" w:color="DEDFE1" w:sz="4"/>
              <w:left w:val="single" w:color="DEDFE1" w:sz="4"/>
              <w:bottom w:val="single" w:color="DEDFE1" w:sz="4"/>
              <w:right w:val="single" w:color="DEDFE1" w:sz="4"/>
            </w:tcBorders>
            <w:shd w:fill="F1F2F3" w:color="auto" w:val="clear"/>
            <w:tcMar>
              <w:top w:type="dxa" w:w="90"/>
              <w:left w:type="dxa" w:w="110"/>
              <w:bottom w:type="dxa" w:w="90"/>
              <w:right w:type="dxa" w:w="110"/>
            </w:tcMar>
            <w:vAlign w:val="center"/>
          </w:tcPr>
          <w:p>
            <w:pPr>
              <w:bidi/>
              <w:spacing w:after="0" w:before="0" w:line="300" w:lineRule="auto"/>
              <w:jc w:val="start"/>
            </w:pPr>
            <w:r>
              <w:rPr>
                <w:rFonts w:ascii="DIN Next LT Arabic" w:cs="DIN Next LT Arabic" w:eastAsia="DIN Next LT Arabic" w:hAnsi="DIN Next LT Arabic"/>
                <w:b/>
                <w:bCs/>
                <w:color w:val="5E6265"/>
                <w:sz w:val="17"/>
                <w:szCs w:val="17"/>
                <w:rtl/>
              </w:rPr>
              <w:t xml:space="preserve">التفصيل</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مصدر البيانات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بطاقات تقارير الحملات الصادرة من نظام إدارة الحملات التسويقية — محطات درب، ولوحة «المهام الدورية والشهرية لفريق العمل».</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فترة التغطية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1 يوليو – 30 سبتمبر 2026 م (الربع الثالث).</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نسبة الإنجاز</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 المتحقق ÷ المستهدف. «تحقق» عند ‎100%‎ فأكثر، و«تحقق جزئياً» بين ‎80%‎ و‎99%‎، وما دون ذلك «لم يتحقق».</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تكلفة الألف مشاهدة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تُحتسب للحملات المقيسة فقط: 36,142 ÷ 4,356,512 × 1000 ≈ 8.0 هللة. فعالية اليوم الوطني خارج الحساب لعدم قياس وصولها.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نطاق المجاميع</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مجاميع الوصول والتفاعل تخصّ أربع حملات من خمس. مجموع الإنفاق (66,149 ر.س) يشمل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المحطات المشمولة</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أربع محطات في حملات الافتتاح، وتسع محطات في فعالية اليوم الوطني؛ لم يُحدَّد ما إذا كانت التسع تتضمن أياً من الأربع، لذا لم يُجمع العدد في رقم واحد.</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مصادر بيانات المبيعات والرسوم البيانية</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ملف تحليل المحطات والمبيعات — درب: معاملات البيع لمحطات المركب NJ219 (10,406 عملية ليونيو ويوليو)، وحائل HA052، والروضة — الخريجي MK040 (2,772 عملية لأغسطس بعد استبعاد 60 عملية معايرة). ومنه بُنيت رسوم هذه الحملات الثلاث (العمليات ساعة بساعة والإيراد اليومي)؛ ورسم ظبيا JA070 من بطاقة تقرير الحملة لعدم توفر ملف معاملاتها، ورسم اليوم الوطني من أوامر الشراء.</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احتساب الإيراد الإضافي</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 (إيراد يوم الحملة − متوسط خط الأساس اليومي) + (متوسط الإيراد اليومي بعد الحملة − خط الأساس) × عدد أيام ما بعد الحملة. الناتج إيراد إضافي وليس ربحاً.</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وحدة التفاعل</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صُحّحت في هذه النسخة: القيم التي كانت تظهر في لوحة المؤشرات (مثل 16,805) هي معدل التفاعل مضروباً في 1000 — أي ‎16.8%‎. اعتُمدت المعدلات كما وردت في ملف تحليل المحطات.</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تصحيح وصول حائل HA052</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كان مسجّلاً 469,000 مشاهدة في لوحة المؤشرات السابقة، وورد 632,353 في ملف تحليل المحطات المعتمد هنا (‎632.4%‎ من المستهدف).</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حالات الحملات</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حملتا HA052 وMK040 مسجّلتان في النظام بحالة «مخطط لها» رغم مرور تاريخ تنفيذهما وتسجيل نتائج وإنفاق فعلي؛ عُوملتا في هذا التقرير كحملتين منتهيتين.</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مستهدفات فريق العمل</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الفترة الزمنية التي يغطيها كل مستهدف (سنوية أم ربعية) لم تُحدَّد في لوحة المتابعة، لذا عُرضت النسب كما هي دون مقارنتها بنسبة الزمن المنقضي.</w:t>
            </w:r>
          </w:p>
        </w:tc>
      </w:tr>
      <w:tr>
        <w:tc>
          <w:tcPr>
            <w:tcW w:type="dxa" w:w="2100"/>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البيانات الناقصة</w:t>
            </w:r>
          </w:p>
        </w:tc>
        <w:tc>
          <w:tcPr>
            <w:tcW w:type="dxa" w:w="7548"/>
            <w:tcBorders>
              <w:top w:val="single" w:color="DEDFE1" w:sz="4"/>
              <w:left w:val="single" w:color="DEDFE1" w:sz="4"/>
              <w:bottom w:val="single" w:color="DEDFE1" w:sz="4"/>
              <w:right w:val="single" w:color="DEDFE1" w:sz="4"/>
            </w:tcBorders>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ميزانية JA070 غير مسجّلة · مبرر تجاوز ميزانية NJ219 غير موثّق · فعالية اليوم الوطني بلا ميزانية معتمدة ولا مؤشرات قياس ولا تواريخ تنفيذ محددة · المؤشرات التجارية غير مقيسة في الحملات الخمس.</w:t>
            </w:r>
          </w:p>
        </w:tc>
      </w:tr>
      <w:tr>
        <w:tc>
          <w:tcPr>
            <w:tcW w:type="dxa" w:w="2100"/>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bCs/>
                <w:color w:val="2B2E30"/>
                <w:sz w:val="18"/>
                <w:szCs w:val="18"/>
                <w:rtl/>
              </w:rPr>
              <w:t xml:space="preserve">حدود التقرير</w:t>
            </w:r>
          </w:p>
        </w:tc>
        <w:tc>
          <w:tcPr>
            <w:tcW w:type="dxa" w:w="7548"/>
            <w:tcBorders>
              <w:top w:val="single" w:color="DEDFE1" w:sz="4"/>
              <w:left w:val="single" w:color="DEDFE1" w:sz="4"/>
              <w:bottom w:val="single" w:color="DEDFE1" w:sz="4"/>
              <w:right w:val="single" w:color="DEDFE1" w:sz="4"/>
            </w:tcBorders>
            <w:shd w:fill="FAFAFB" w:color="auto" w:val="clear"/>
            <w:tcMar>
              <w:top w:type="dxa" w:w="90"/>
              <w:left w:type="dxa" w:w="110"/>
              <w:bottom w:type="dxa" w:w="90"/>
              <w:right w:type="dxa" w:w="110"/>
            </w:tcMar>
            <w:vAlign w:val="center"/>
          </w:tcPr>
          <w:p>
            <w:pPr>
              <w:bidi/>
              <w:spacing w:after="0" w:before="0" w:line="300" w:lineRule="auto"/>
              <w:jc w:val="start"/>
            </w:pPr>
            <w:r>
              <w:rPr>
                <w:rFonts w:ascii="Tahoma" w:cs="Tahoma" w:eastAsia="Tahoma" w:hAnsi="Tahoma"/>
                <w:b w:val="false"/>
                <w:bCs w:val="false"/>
                <w:color w:val="5E6265"/>
                <w:sz w:val="18"/>
                <w:szCs w:val="18"/>
                <w:rtl/>
              </w:rPr>
              <w:t xml:space="preserve">قياس الأثر التجاري متاح لثلاث حملات فقط؛ ولا يتضمن التقرير أثر فعالية اليوم الوطني ولا حملة ظبيا JA070 لعدم توفر بيانات مبيعات لهما.</w:t>
            </w:r>
          </w:p>
        </w:tc>
      </w:tr>
    </w:tbl>
    <w:p>
      <w:pPr>
        <w:spacing w:after="300"/>
      </w:pPr>
    </w:p>
    <w:p>
      <w:pPr>
        <w:pBdr>
          <w:top w:val="single" w:color="DEDFE1" w:sz="6" w:space="8"/>
        </w:pBdr>
        <w:bidi/>
        <w:spacing w:after="60" w:before="0" w:line="300" w:lineRule="auto"/>
        <w:jc w:val="center"/>
      </w:pPr>
      <w:r>
        <w:rPr>
          <w:rFonts w:ascii="Tahoma" w:cs="Tahoma" w:eastAsia="Tahoma" w:hAnsi="Tahoma"/>
          <w:b w:val="false"/>
          <w:bCs w:val="false"/>
          <w:color w:val="8E9295"/>
          <w:sz w:val="17"/>
          <w:szCs w:val="17"/>
          <w:rtl/>
        </w:rPr>
        <w:t xml:space="preserve">إعداد: إدارة التسويق · أخصائي الحملات التسويقية        تاريخ الإصدار: 28 سبتمبر 2026 م</w:t>
      </w:r>
    </w:p>
    <w:p>
      <w:pPr>
        <w:bidi/>
        <w:spacing w:after="120" w:before="0" w:line="300" w:lineRule="auto"/>
        <w:jc w:val="center"/>
      </w:pPr>
      <w:r>
        <w:rPr>
          <w:rFonts w:ascii="Tahoma" w:cs="Tahoma" w:eastAsia="Tahoma" w:hAnsi="Tahoma"/>
          <w:b w:val="false"/>
          <w:bCs w:val="false"/>
          <w:color w:val="8E9295"/>
          <w:sz w:val="15"/>
          <w:szCs w:val="15"/>
          <w:rtl/>
        </w:rPr>
        <w:t xml:space="preserve">محطات درب © 2026 م — وثيقة داخلية لأغراض المتابعة الإدارية</w:t>
      </w:r>
    </w:p>
    <w:sectPr>
      <w:headerReference w:type="default" r:id="rId7"/>
      <w:headerReference w:type="first" r:id="rId8"/>
      <w:headerReference w:type="even" r:id="rId9"/>
      <w:pgSz w:w="12240" w:h="15840" w:orient="portrait"/>
      <w:pgMar w:top="1950" w:right="1296" w:bottom="1150" w:left="1296" w:header="0" w:footer="34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anchor distT="0" distB="0" distL="0" distR="0" simplePos="0" allowOverlap="1" behindDoc="1" locked="0" layoutInCell="1" relativeHeight="10058400">
          <wp:simplePos x="0" y="0"/>
          <wp:positionH relativeFrom="page">
            <wp:posOffset>0</wp:posOffset>
          </wp:positionH>
          <wp:positionV relativeFrom="page">
            <wp:posOffset>0</wp:posOffset>
          </wp:positionV>
          <wp:extent cx="7772400" cy="10058400"/>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772400" cy="1005840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B2E30"/>
        <w:sz w:val="20"/>
        <w:szCs w:val="20"/>
        <w:rtl/>
      </w:rPr>
    </w:rPrDefault>
    <w:pPrDefault>
      <w:pPr>
        <w:spacing w:after="12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8416e4092a296384a1bbd9219db8720b4bb1b9c2.png"/><Relationship Id="rId11" Type="http://schemas.openxmlformats.org/officeDocument/2006/relationships/image" Target="media/434d283ab7fda37afade328a9f5bee65ca3a305a.png"/><Relationship Id="rId12" Type="http://schemas.openxmlformats.org/officeDocument/2006/relationships/image" Target="media/7b9bbf4424c4d016148ab049dccc8bbf2d2a6d1d.png"/><Relationship Id="rId13" Type="http://schemas.openxmlformats.org/officeDocument/2006/relationships/image" Target="media/0e94c6a39d3809255fbcf9d4aef000d791d093e6.png"/><Relationship Id="rId14" Type="http://schemas.openxmlformats.org/officeDocument/2006/relationships/image" Target="media/8134dcdcbb8de8211372dc9ac72835f1c6787915.png"/><Relationship Id="rId15" Type="http://schemas.openxmlformats.org/officeDocument/2006/relationships/image" Target="media/95d932ef538125ce651d24d131f445ae9e50846a.png"/><Relationship Id="rId16" Type="http://schemas.openxmlformats.org/officeDocument/2006/relationships/image" Target="media/52e463c1e241eafb5b82eebeceaa1a4a0f23c1b6.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2.xml.rels><?xml version="1.0" encoding="UTF-8"?><Relationships xmlns="http://schemas.openxmlformats.org/package/2006/relationships"><Relationship Id="rId0" Type="http://schemas.openxmlformats.org/officeDocument/2006/relationships/image" Target="media/6345cdf00b32293dcda61d3a15063690eb342058.png"/></Relationships>
</file>

<file path=word/_rels/header3.xml.rels><?xml version="1.0" encoding="UTF-8"?><Relationships xmlns="http://schemas.openxmlformats.org/package/2006/relationships"><Relationship Id="rId0" Type="http://schemas.openxmlformats.org/officeDocument/2006/relationships/image" Target="media/6345cdf00b32293dcda61d3a15063690eb34205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تقرير الربع الثالث 2026 م — الحملات التسويقية</dc:title>
  <dc:creator>إدارة التسويق · محطات درب</dc:creator>
  <dc:description>تقرير الربع الثالث 2026 للحملات التسويقية في محطات درب (يوليو · أغسطس · سبتمبر).</dc:description>
  <cp:lastModifiedBy>Un-named</cp:lastModifiedBy>
  <cp:revision>1</cp:revision>
  <dcterms:created xsi:type="dcterms:W3CDTF">2026-09-28T11:26:21.433Z</dcterms:created>
  <dcterms:modified xsi:type="dcterms:W3CDTF">2026-09-28T11:26:21.433Z</dcterms:modified>
</cp:coreProperties>
</file>

<file path=docProps/custom.xml><?xml version="1.0" encoding="utf-8"?>
<Properties xmlns="http://schemas.openxmlformats.org/officeDocument/2006/custom-properties" xmlns:vt="http://schemas.openxmlformats.org/officeDocument/2006/docPropsVTypes"/>
</file>