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0" w:line="300"/>
        <w:jc w:val="right"/>
      </w:pPr>
      <w:r>
        <w:rPr>
          <w:rFonts w:ascii="Arial" w:cs="Arial" w:eastAsia="Arial" w:hAnsi="Arial"/>
          <w:b/>
          <w:bCs/>
          <w:color w:val="6D6E70"/>
          <w:sz w:val="22"/>
          <w:szCs w:val="22"/>
          <w:rtl/>
        </w:rPr>
        <w:t xml:space="preserve">شركة درب لخدمات المحطات</w:t>
      </w:r>
    </w:p>
    <w:p>
      <w:pPr>
        <w:bidi/>
        <w:spacing w:after="0" w:before="80"/>
        <w:jc w:val="center"/>
      </w:pPr>
      <w:r>
        <w:rPr>
          <w:rFonts w:ascii="Arial" w:cs="Arial" w:eastAsia="Arial" w:hAnsi="Arial"/>
          <w:b/>
          <w:bCs/>
          <w:color w:val="26262A"/>
          <w:sz w:val="34"/>
          <w:szCs w:val="34"/>
          <w:rtl/>
        </w:rPr>
        <w:t xml:space="preserve">اتفاقية الانضمام لبرنامج الولاء «تانكي»</w:t>
      </w:r>
    </w:p>
    <w:p>
      <w:pPr>
        <w:bidi/>
        <w:spacing w:after="0" w:before="40"/>
        <w:jc w:val="center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(قالب موحّد للمستأجرين / التجّار)</w:t>
      </w:r>
    </w:p>
    <w:p>
      <w:pPr>
        <w:pBdr>
          <w:bottom w:val="single" w:color="E07C16" w:sz="18" w:space="8"/>
        </w:pBdr>
        <w:spacing w:after="160" w:before="100"/>
        <w:jc w:val="center"/>
      </w:pP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أُبرمت هذه الاتفاقية في يوم [   ] بتاريخ [   /   /   14 هـ] الموافق [   /   /   20 م]، بين كلٍ من: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الطرف الأول: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شركة درب لخدمات المحطات، سجل تجاري رقم [   ]، وعنوانها [   ]، ويُشار إليها بـ «درب» أو «مشغّل البرنامج».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الطرف الثاني: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[اسم المستأجر/التاجر]، سجل تجاري رقم [   ]، وعنوانه [   ]، ويُشار إليه بـ «التاجر».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تمهيد: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حيث إن درب تُشغّل برنامج ولاء باسم «تانكي» يمنح عملاءها نقاطاً قابلة للاستبدال، ويرغب التاجر في الانضمام للبرنامج ضمن فروعه في مواقع درب؛ فقد اتفق الطرفان — بكامل أهليتهما المعتبرة شرعاً ونظاماً — على ما يلي: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i/>
          <w:iCs/>
          <w:color w:val="6D6E70"/>
          <w:sz w:val="20"/>
          <w:szCs w:val="20"/>
          <w:rtl/>
        </w:rPr>
        <w:t xml:space="preserve">تُعدّ التعريفات والملاحق جزءاً لا يتجزأ من هذه الاتفاقية.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(1):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التعريفات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النقطة: وحدة المكافأة في برنامج تانكي، وقيمتها الاستبدالية محدّدة في الجدول التجاري (الملحق أ).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الكسب (Earn): منح العميل نقاطاً عند شرائه من فروع التاجر المشمولة.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الحرق/الاستبدال (Burn): استخدام العميل نقاطه للحصول على خصم أو منتج لدى التاجر.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المعاملة المؤهِّلة: عملية شراء تنطبق عليها شروط الكسب أو الاستبدال وفق هذه الاتفاقية.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العرض: تخفيض أو ميزة يقدّمها التاجر حصرياً لعملاء تطبيق درب.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التسوية: احتساب وتبادل المستحقات المالية بين الطرفين دورياً.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(2):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نطاق الاتفاقية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تسري هذه الاتفاقية على فروع التاجر المحدّدة في الجدول التجاري (الملحق أ) داخل مواقع درب.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يجوز إضافة أو حذف فروع بموجب تحديث للملحق (أ) موقّع من الطرفين.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(3):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آلية الكسب (Earn)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يمنح العميل نقاطاً عند الشراء من التاجر بالنسبة المحدّدة في الملحق (أ).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يساهم التاجر في تمويل الكسب بالقيمة المحدّدة في الملحق (أ) (هللة عن كل ريال)، وتتحمّل درب الباقي إن وُجد.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تُحتسب النقاط على المعاملات غير المؤهِّلة (مثل الاستردادات والمعاملات الملغاة).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(4):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آلية الاستبدال (Burn)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يجوز للعميل استبدال نقاطه لدى التاجر وفق قيمة النقطة المحدّدة في الملحق (أ).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تُخصم قيمة الاستبدال من مستحقات التاجر ضمن التسوية، ما لم يُتفق على تمويل مشترك في الملحق (أ).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يُطبَّق حدّ أدنى للاستبدال إن وُرد في الملحق (أ).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(5):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العروض الحصرية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يلتزم التاجر بتقديم العروض المتفق عليها في الملحق (أ) حصرياً لعملاء تطبيق درب.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يُعتمد كل عرض من الطرفين كتابياً قبل نشره بمدة لا تقل عن [7] أيام.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(6):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التسوية المالية والفوترة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تُحتسب مستحقات كل طرف (مساهمة الكسب مقابل قيمة الاستبدال) وتُسوّى بشكل [أسبوعي/شهري] حسب الملحق (أ).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تُصدر درب كشفاً تفصيلياً بالمعاملات، وللتاجر حق الاعتراض خلال [7] أيام من استلامه.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تُضاف ضريبة القيمة المضافة وفق النظام.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(7):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التكامل التقني والتشغيل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يمكّن التاجر درب من ربط أنظمته (نقاط البيع/QR) بالبرنامج، وتوفّر درب الدعم الفني اللازم.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يلتزم التاجر بتدريب موظفيه على آلية الكسب والاستبدال.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(8):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البيانات وحمايتها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تظل بيانات معاملات العملاء عبر البرنامج مملوكةً لدرب.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يلتزم الطرفان بحماية البيانات وسرّيتها وفق نظام حماية البيانات الشخصية (PDPL) والأنظمة ذات العلاقة.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(9):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التسويق والعلامات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يجوز إطلاق حملات تسويقية مشتركة، وتقاسم تكاليف العروض (Co-funding) وفق الملحق (أ).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يجوز لأي طرف استخدام علامة الطرف الآخر إلا بموافقة كتابية مسبقة.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(10):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الحصرية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[اختياري] يمنح التاجر درب حصرية في فئة [   ] ضمن مواقع درب طوال مدة الاتفاقية، وفق ما يُحدَّد في الملحق (أ).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(11):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مؤشرات الأداء والمراجعة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يراجع الطرفان أداء البرنامج دورياً وفق المؤشرات المحدّدة في الملحق (أ).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(12):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المدة والتجديد والإنهاء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مدة هذه الاتفاقية [   ] من تاريخ توقيعها، وتُجدّد تلقائياً لمدد مماثلة ما لم يُشعِر أحد الطرفين الآخر كتابياً برغبته في عدم التجديد قبل [30] يوماً.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لأي طرف إنهاء الاتفاقية بإشعار كتابي مسبق بمدة [30] يوماً، مع تسوية المستحقات القائمة.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(13):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المسؤولية والتعويض والسرّية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يتحمّل كل طرف مسؤولية إخلاله بالتزاماته، وتبقى المعلومات المتبادلة سرّية أثناء الاتفاقية ولمدة [سنتين] بعد انتهائها.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(14):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النظام واجب التطبيق والاختصاص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تخضع هذه الاتفاقية لأنظمة المملكة العربية السعودية، وتختص محاكم [   ] بأي نزاع يتعذّر حلّه ودياً خلال [30] يوماً.</w:t>
      </w:r>
    </w:p>
    <w:p>
      <w:pPr>
        <w:pStyle w:val="Heading1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المادة (15): </w:t>
      </w:r>
      <w:r>
        <w:rPr>
          <w:rFonts w:ascii="Arial" w:cs="Arial" w:eastAsia="Arial" w:hAnsi="Arial"/>
          <w:b/>
          <w:bCs/>
          <w:color w:val="26262A"/>
          <w:sz w:val="23"/>
          <w:szCs w:val="23"/>
          <w:rtl/>
        </w:rPr>
        <w:t xml:space="preserve">أحكام عامة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يُعدّل هذا الاتفاق إلا بملحق كتابي موقّع من الطرفين.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تُوجّه الإشعارات كتابياً على العناوين المدوّنة، ولا يُعدّ تساهل أي طرف تنازلاً عن حقوقه.</w:t>
      </w:r>
    </w:p>
    <w:p>
      <w:pPr>
        <w:pStyle w:val="ListParagraph"/>
        <w:numPr>
          <w:ilvl w:val="0"/>
          <w:numId w:val="1"/>
        </w:numPr>
        <w:bidi/>
        <w:spacing w:after="60" w:line="29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حُرّرت من نسختين، بيد كل طرف نسخة للعمل بموجبها.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التوقيعات</w:t>
      </w:r>
    </w:p>
    <w:tbl>
      <w:tblPr>
        <w:bidiVisual/>
        <w:tblW w:type="dxa" w:w="9360"/>
        <w:tblBorders>
          <w:top w:val="single" w:color="C9C7C3" w:sz="4"/>
          <w:left w:val="single" w:color="C9C7C3" w:sz="4"/>
          <w:bottom w:val="single" w:color="C9C7C3" w:sz="4"/>
          <w:right w:val="single" w:color="C9C7C3" w:sz="4"/>
          <w:insideH w:val="single" w:color="C9C7C3" w:sz="4"/>
          <w:insideV w:val="single" w:color="C9C7C3" w:sz="4"/>
        </w:tblBorders>
      </w:tblPr>
      <w:tblGrid>
        <w:gridCol w:w="4680"/>
        <w:gridCol w:w="4680"/>
      </w:tblGrid>
      <w:tr>
        <w:tc>
          <w:tcPr>
            <w:tcW w:type="dxa" w:w="468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الطرف الأول (درب)</w:t>
            </w:r>
          </w:p>
        </w:tc>
        <w:tc>
          <w:tcPr>
            <w:tcW w:type="dxa" w:w="468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الطرف الثاني (التاجر)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color w:val="26262A"/>
                <w:sz w:val="19"/>
                <w:szCs w:val="19"/>
                <w:rtl/>
              </w:rPr>
              <w:t xml:space="preserve">الاسم: ..........................
الصفة: ..........................
التوقيع: ..........................
التاريخ:      /      /      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color w:val="26262A"/>
                <w:sz w:val="19"/>
                <w:szCs w:val="19"/>
                <w:rtl/>
              </w:rPr>
              <w:t xml:space="preserve">الاسم: ..........................
الصفة: ..........................
التوقيع: ..........................
التاريخ:      /      /      </w:t>
            </w:r>
          </w:p>
        </w:tc>
      </w:tr>
    </w:tbl>
    <w:p>
      <w:r>
        <w:br w:type="page"/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E07C16"/>
          <w:sz w:val="28"/>
          <w:szCs w:val="28"/>
          <w:rtl/>
        </w:rPr>
        <w:t xml:space="preserve">الملحق (أ) — الجدول التجاري</w:t>
      </w:r>
    </w:p>
    <w:p>
      <w:pPr>
        <w:bidi/>
        <w:spacing w:after="140" w:before="0" w:line="300"/>
        <w:jc w:val="center"/>
      </w:pPr>
      <w:r>
        <w:rPr>
          <w:rFonts w:ascii="Arial" w:cs="Arial" w:eastAsia="Arial" w:hAnsi="Arial"/>
          <w:i/>
          <w:iCs/>
          <w:color w:val="6D6E70"/>
          <w:sz w:val="20"/>
          <w:szCs w:val="20"/>
          <w:rtl/>
        </w:rPr>
        <w:t xml:space="preserve">يُعبّأ هذا الجدول لكل تاجر على حدة، ويُعدّ جزءاً لا يتجزأ من الاتفاقية.</w:t>
      </w:r>
    </w:p>
    <w:tbl>
      <w:tblPr>
        <w:bidiVisual/>
        <w:tblW w:type="dxa" w:w="9360"/>
        <w:tblBorders>
          <w:top w:val="single" w:color="C9C7C3" w:sz="4"/>
          <w:left w:val="single" w:color="C9C7C3" w:sz="4"/>
          <w:bottom w:val="single" w:color="C9C7C3" w:sz="4"/>
          <w:right w:val="single" w:color="C9C7C3" w:sz="4"/>
          <w:insideH w:val="single" w:color="C9C7C3" w:sz="4"/>
          <w:insideV w:val="single" w:color="C9C7C3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F3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960"/>
            <w:shd w:fill="FEF3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القيمة المتفق عليها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اسم التاجر / الفئة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……………………………………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الفروع المشمولة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……………………………………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نسبة الكسب للعميل (Earn)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 % من قيمة الشراء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مساهمة التاجر في تمويل الكسب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 هللة عن كل ريال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قيمة النقطة عند الاستبدال (Burn)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 نقطة = 1 ريال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من يتحمّل قيمة الاستبدال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☐ التاجر   ☐ مناصفة   ☐ درب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الحد الأدنى للاستبدال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 نقطة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العروض الحصرية لعملاء التطبيق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……………………………………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دورية التسوية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☐ أسبوعي   ☐ شهري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تمويل الحملات (Co-funding)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……………………………………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الحصرية (الفئة)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☐ نعم — فئة ……   ☐ لا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مؤشرات الأداء المتفق عليها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……………………………………</w:t>
            </w:r>
          </w:p>
        </w:tc>
      </w:tr>
      <w:tr>
        <w:trPr>
          <w:tblHeader w:val="false"/>
        </w:trPr>
        <w:tc>
          <w:tcPr>
            <w:tcW w:type="dxa" w:w="3400"/>
            <w:shd w:fill="F3EF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9"/>
                <w:szCs w:val="19"/>
                <w:rtl/>
              </w:rPr>
              <w:t xml:space="preserve">مدة الاتفاقية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before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A"/>
                <w:sz w:val="19"/>
                <w:szCs w:val="19"/>
                <w:rtl/>
              </w:rPr>
              <w:t xml:space="preserve">……………………………………</w:t>
            </w:r>
          </w:p>
        </w:tc>
      </w:tr>
    </w:tbl>
    <w:p>
      <w:pPr>
        <w:bidi/>
        <w:spacing w:after="100" w:before="160" w:line="300"/>
        <w:jc w:val="right"/>
      </w:pPr>
      <w:r>
        <w:rPr>
          <w:rFonts w:ascii="Arial" w:cs="Arial" w:eastAsia="Arial" w:hAnsi="Arial"/>
          <w:color w:val="26262A"/>
          <w:sz w:val="20"/>
          <w:szCs w:val="20"/>
          <w:rtl/>
        </w:rPr>
        <w:t xml:space="preserve">توقيع الطرفين على الملحق (أ):  درب: ..................    التاجر: ..................</w:t>
      </w:r>
    </w:p>
    <w:p>
      <w:pPr>
        <w:bidi/>
        <w:spacing w:after="100" w:before="200" w:line="300"/>
        <w:jc w:val="center"/>
      </w:pPr>
      <w:r>
        <w:rPr>
          <w:rFonts w:ascii="Arial" w:cs="Arial" w:eastAsia="Arial" w:hAnsi="Arial"/>
          <w:i/>
          <w:iCs/>
          <w:color w:val="6D6E70"/>
          <w:sz w:val="18"/>
          <w:szCs w:val="18"/>
          <w:rtl/>
        </w:rPr>
        <w:t xml:space="preserve">قالب داخلي — تُملأ الأقواس [   ] والجدول لكل تاجر. يُراجع من الإدارة القانونية قبل الاعتماد.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626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اتفاقية الانضمام لبرنامج الولاء تانكي - قالب المستأجرين</dc:title>
  <dc:creator>Darb</dc:creator>
  <cp:lastModifiedBy>Un-named</cp:lastModifiedBy>
  <cp:revision>1</cp:revision>
  <dcterms:created xsi:type="dcterms:W3CDTF">2026-09-13T08:01:16.491Z</dcterms:created>
  <dcterms:modified xsi:type="dcterms:W3CDTF">2026-09-13T08:01:16.504Z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