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0"/>
        <w:jc w:val="right"/>
      </w:pPr>
      <w:r>
        <w:rPr>
          <w:rFonts w:ascii="Arial" w:cs="Arial" w:eastAsia="Arial" w:hAnsi="Arial"/>
          <w:b/>
          <w:bCs/>
          <w:color w:val="6D6E70"/>
          <w:sz w:val="22"/>
          <w:szCs w:val="22"/>
          <w:rtl/>
        </w:rPr>
        <w:t xml:space="preserve">درب لخدمات المحطات</w:t>
      </w:r>
    </w:p>
    <w:p>
      <w:pPr>
        <w:bidi/>
        <w:spacing w:after="0" w:before="60"/>
        <w:jc w:val="right"/>
      </w:pPr>
      <w:r>
        <w:rPr>
          <w:rFonts w:ascii="Arial" w:cs="Arial" w:eastAsia="Arial" w:hAnsi="Arial"/>
          <w:b/>
          <w:bCs/>
          <w:color w:val="26262A"/>
          <w:sz w:val="33"/>
          <w:szCs w:val="33"/>
          <w:rtl/>
        </w:rPr>
        <w:t xml:space="preserve">مراجعة تصميم تطبيق درب (مع برنامج تانكي) — التقرير الكامل</w:t>
      </w:r>
    </w:p>
    <w:p>
      <w:pPr>
        <w:bidi/>
        <w:spacing w:after="0" w:before="4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مراجعة تجربة المستخدم وربط المكافآت · Darb Platform V1 (Figma)</w:t>
      </w:r>
    </w:p>
    <w:p>
      <w:pPr>
        <w:pBdr>
          <w:bottom w:val="single" w:color="E07C16" w:sz="18" w:space="8"/>
        </w:pBdr>
        <w:spacing w:after="150" w:before="120"/>
        <w:jc w:val="right"/>
      </w:pP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★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الملاحظات الحرجة (تحتاج قراراً قبل الإطلاق)</w:t>
      </w:r>
    </w:p>
    <w:p>
      <w:pPr>
        <w:pBdr>
          <w:left w:val="single" w:color="B23A34" w:sz="18" w:space="8"/>
        </w:pBdr>
        <w:shd w:fill="FBE9E8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B23A34"/>
          <w:sz w:val="22"/>
          <w:szCs w:val="22"/>
          <w:rtl/>
        </w:rPr>
        <w:t xml:space="preserve">🔴 ١. السحب (Raffle) = مراهنة/ميسر: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شاشات السحب تتيح الاشتراك بنقاط/محاولات مدفوعة للفوز بجائزة (سيارة). دفع قيمة مقابل فرصة فوز = ميسر = محرّم شرعاً (سبق الاتفاق على ذلك). الحل: سحب مجاني بلا مقابل، أو دخول تلقائي مرتبط بالسلوك (كل تعبئة = دخول مجاني) لا بالدفع. راجعوا «Share to Win» بالمنطق نفسه.</w:t>
      </w:r>
    </w:p>
    <w:p>
      <w:pPr>
        <w:pBdr>
          <w:left w:val="single" w:color="B23A34" w:sz="18" w:space="8"/>
        </w:pBdr>
        <w:shd w:fill="FBE9E8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B23A34"/>
          <w:sz w:val="22"/>
          <w:szCs w:val="22"/>
          <w:rtl/>
        </w:rPr>
        <w:t xml:space="preserve">🔴 ٢. معدّل الكسب لا يطابق النموذج الاقتصادي: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شاشة التعبئة تعرض «+٢٠ نقطة» على ~١١٥ ﷼، بينما النموذج المعتمد = ١ نقطة لكل ريال (~١١٥ نقطة). فرق كبير يغيّر كامل الاقتصاد. يجب توحيد معدّل الكسب بين التصميم والنموذج (النقطة = نصف هللة).</w:t>
      </w:r>
    </w:p>
    <w:p>
      <w:pPr>
        <w:pBdr>
          <w:left w:val="single" w:color="B23A34" w:sz="18" w:space="8"/>
        </w:pBdr>
        <w:shd w:fill="FBE9E8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B23A34"/>
          <w:sz w:val="22"/>
          <w:szCs w:val="22"/>
          <w:rtl/>
        </w:rPr>
        <w:t xml:space="preserve">🔴 ٣. تعارض سياسة انتهاء النقاط: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شاشات تعرض «صالح لمدة ٢٤ شهراً» (انتهاء النقاط)، بينما تصميم المستويات يَعِد «النقاط لا تنتهي». يجب قرار موحّد: انتهاء (يقلّل الالتزام المالي ويحسّن الـ Breakage) أو عدم انتهاء (الوعد المعلَن) — ورسالة واحدة للعميل.</w:t>
      </w: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١.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الدخول والتسجيل (KYC) والمحفظة والسيارة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نقاط القوة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المحفظة مدمجة: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شحن الرصيد يخدم تجميع الـ Float داخل درب.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نوع الوقود عند إضافة السيارة: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أساس للكسب المتغيّر حسب نوع الوقود.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سقف المحفظة (٩,٠٠٠ ﷼):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وعي بحدود القيمة المخزّنة (ساما).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ملاحظات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طلب الشحن أثناء التسجيل: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يرفع هجر التسجيل — يُنصح بجعله اختيارياً/مؤجّلاً وطلبه عند الحاجة. (طُبّق لاحقاً في التصميم عبر Wallet-Popup السياقي — جيد.)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هوية المكافآت في التسجيل: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يُنصح بإبراز تانكي وهدية الترحيب (١٠٠٠ نقطة) كمحفّز للتسجيل.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اكتمال KYC للمحفظة: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المحفظة النقدية تتطلب تحقق هوية نظامي (نفاذ) وفق ساما، لا الاكتفاء بالاسم.</w:t>
      </w: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٢.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تانكي داخل درب — طبقة لا شاشة</w:t>
      </w:r>
    </w:p>
    <w:p>
      <w:pPr>
        <w:bidi/>
        <w:spacing w:after="110" w:before="0" w:line="300"/>
        <w:jc w:val="right"/>
      </w:pP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درب هو التطبيق الأم؛ وتانكي يعمل كطبقة مكافآت فوق كل فعل. لا يُبنى تسجيل منفصل، بل تُرشّ إشارة المكافأة على تدفق درب القائم: شريط ترحيبي عند إدخال الجوال، سطر هدية على شاشة النجاح، شريحة تعريف واحدة، إشعار نقاط بعد كل فعل، وودجت رصيد ومستوى ثابت في الرئيسية. القاعدة: درب يعطي الخدمة · تانكي يكافئ عليها.</w:t>
      </w: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٣.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الرئيسية والخدمات والخريطة والإشعارات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نقاط القوة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المستوى ظاهر في الرئيسية،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والإشعارات مدفوعة بتانكي ومبوّبة (العروض/الرصيد/الباقات/النقاط)، وزر QR مركزي، وخدمات شاملة.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ملاحظات</w:t>
      </w:r>
    </w:p>
    <w:p>
      <w:pPr>
        <w:pBdr>
          <w:left w:val="single" w:color="B23A34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B23A34"/>
          <w:sz w:val="22"/>
          <w:szCs w:val="22"/>
          <w:rtl/>
        </w:rPr>
        <w:t xml:space="preserve">🔴 أين رصيد النقاط؟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المستوى ظاهر، لكن رقم النقاط (الذي يراقبه العميل) يجب أن يكون بطل الشاشة.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ازدحام الرئيسية: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يلزم مدخل واضح «نقاطي/تانكي» وسط الوحدات الكثيرة.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وظيفة زر QR: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توضيح دور الزر (كسب/دفع) — أهم نقطة تماس.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الخريطة كمحرّك ولاء: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تمييز المحطات ذات العروض/مضاعفة النقاط بدل محدّد محطات فقط.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إرهاق الإشعارات: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التبويب جيد؛ يلزم حوكمة التكرار وفصل المعاملاتي عن التسويقي.</w:t>
      </w:r>
    </w:p>
    <w:p>
      <w:r>
        <w:br w:type="page"/>
      </w: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٤.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العمليات التشغيلية — التعبئة الذاتية والاستبدال واستلام الهدية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نقاط القوة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الكسب ظاهر لحظة الفعل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(+نقاط أثناء التعبئة)، وحجز مؤقت للتعبئة الذاتية، و QR بعدّاد ٣٠ ثانية، وتحقق حضور «هل أنت أمام الكاشير؟» يمنع الاستبدال الوهمي، وربط العملية بالسيارة.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ملاحظات</w:t>
      </w:r>
    </w:p>
    <w:p>
      <w:pPr>
        <w:pBdr>
          <w:left w:val="single" w:color="1E7E45" w:sz="18" w:space="8"/>
        </w:pBdr>
        <w:shd w:fill="E4F2E7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🟢 عولجت سابقاً: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«انتهت الصلاحية + إنشاء QR جديد» يعالج قصر مدة الكود — جيد.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الحجز المؤقت: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توضيح متى يُرجّع الفرق بعد التعبئة الفعلية لتفادي التباس الخصم.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كشف نقاط موحّد: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سجل الفواتير يعرض لكل عملية؛ يلزم صفحة «نقاطي» تجمع المكتسب/المستبدل/الرصيد/القريب من الانتهاء. (متوفّر في قسم Points Management — جيد.)</w:t>
      </w: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٥.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توسّعات الولاء — النقاط والإحالة والكوبونات والباقات والسحب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نقاط القوة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كشف حساب النقاط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(Points Management / Loyalty Points) مع تحويل نقاط وتاريخ، والإحالة (Referral) كمحرّك نمو، والكوبونات باستبدال QR، وإدارة مركبات شاملة (ميزانية لكل سيارة).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ملاحظات</w:t>
      </w:r>
    </w:p>
    <w:p>
      <w:pPr>
        <w:pBdr>
          <w:left w:val="single" w:color="B23A34" w:sz="18" w:space="8"/>
        </w:pBdr>
        <w:shd w:fill="FBE9E8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B23A34"/>
          <w:sz w:val="22"/>
          <w:szCs w:val="22"/>
          <w:rtl/>
        </w:rPr>
        <w:t xml:space="preserve">🔴 السحب (Raffle):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أهم ملاحظة — مراهنة إن كان الاشتراك بمقابل مدفوع (راجع القسم الحرج ★١). يجب تحويله لسحب مجاني بلا مقابل.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«Share to Win»: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لو المكافأة إحالة مضمونة = سليم؛ لو فوز بالحظ = ميسر. يجب التأكد.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تحويل النقاط: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يبقى ضمن عالم درب المغلق (لا سحب نقدي) ليظل حلالاً وأخفّ تنظيماً.</w:t>
      </w: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٦.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الحساب والمحفظة والملف الشخصي والدعم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شاشات مساندة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(الملف الشخصي، المحفظة، الدعم/التذاكر، تحديث المعلومات، حالات نقص/انعدام الرصيد) — منفّذة جيداً.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إيجابي للامتثال: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وجود «الخصوصية والشروط» و«حذف الحساب» يخدم نظام حماية البيانات (PDPL) وحقوق العميل.</w:t>
      </w:r>
    </w:p>
    <w:p>
      <w:r>
        <w:br w:type="page"/>
      </w: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٧.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الطبقة الاستراتيجية الخبيرة (أربع عدسات)</w:t>
      </w:r>
    </w:p>
    <w:p>
      <w:pPr>
        <w:bidi/>
        <w:spacing w:after="140" w:before="0" w:line="300"/>
        <w:jc w:val="right"/>
      </w:pP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قراءة أعمق من منظور خبير استراتيجية التطبيقات، اقتصاد نقاط الولاء، تجربة العميل، ومدفوعات التطبيقات — تتجاوز ملاحظات تجربة المستخدم إلى القرارات التي تحدّد نجاح البرنامج تجارياً.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١) استراتيجية التطبيق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خطر «السوبر-آب»: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التصميم طموح (محفظة + مدفوعات + مركبات + صراف + سوق + سحب). يجب تثبيت الحلقة الأساسية (تعبئة → كسب → رصيد → استبدال → رجوع) كنواة، وإبقاء ما عداها ثانوياً لتفادي تشتّت التركيز وثقل البناء.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الخندق (Moat) غير مُستغَل: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التطبيق يلتقط نوع السيارة والوقود والموقع والإنفاق = أصل بيانات قوي. العروض الحالية عامة لا مخصّصة؛ القيمة الحقيقية في التسويق المخصّص المبني على هذه البيانات.</w:t>
      </w:r>
    </w:p>
    <w:p>
      <w:pPr>
        <w:pBdr>
          <w:left w:val="single" w:color="1E7E45" w:sz="18" w:space="8"/>
        </w:pBdr>
        <w:shd w:fill="E4F2E7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🟢 التمايز: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التعبئة الذاتية (Pay-at-pump) + المحفظة المغلقة تمايز حقيقي عن المنافسين — يُنصح بتركيز الرسالة التسويقية عليه.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٢) اقتصاد نقاط الولاء</w:t>
      </w:r>
    </w:p>
    <w:p>
      <w:pPr>
        <w:pBdr>
          <w:left w:val="single" w:color="B23A34" w:sz="18" w:space="8"/>
        </w:pBdr>
        <w:shd w:fill="FBE9E8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B23A34"/>
          <w:sz w:val="22"/>
          <w:szCs w:val="22"/>
          <w:rtl/>
        </w:rPr>
        <w:t xml:space="preserve">🔴 معدّل المكافأة منخفض تنافسياً: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0.5% تقريباً على البنزين، بينما منافسون يصلون أعلى. الأذكى: كسب رفيع على البنزين (هامش ضعيف)، وكسب سخي على إنفاق التجار (هامش عالٍ ومموّل منهم) — لتحفيز السلوك دون استنزاف الهامش.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إدارة الالتزام (Liability):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النقاط التزام في الميزانية؛ الانتهاء يديره لكن يجب نمذجة الـ Breakage بأرقام واقعية.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إرباك مفهوم القيمة: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خلط (نقطة / ريال / مجاني) في عرض العروض يضعف إدراك القيمة — يُعتمد أسلوب عرض واحد.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٣) تجربة العميل (CX)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زمن الوصول للقيمة: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يجب أن يحصل العميل الجديد على أول مكافأة فوراً (هدية ترحيب + أول كسب تعبئة) — عامل حاسم في البقاء.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توتر الأمان مقابل السهولة عند الحرق: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QR بعدّاد + تحقق الحضور آمن لكنه احتكاك في أهم لحظة (الاستبدال) — يجب موازنته.</w:t>
      </w:r>
    </w:p>
    <w:p>
      <w:pPr>
        <w:pBdr>
          <w:left w:val="single" w:color="1E7E45" w:sz="18" w:space="8"/>
        </w:pBdr>
        <w:shd w:fill="E4F2E7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1E7E45"/>
          <w:sz w:val="22"/>
          <w:szCs w:val="22"/>
          <w:rtl/>
        </w:rPr>
        <w:t xml:space="preserve">🟢 التصميم العاطفي: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لحظات الاحتفاء (Confetti عند النجاح) حاضرة وتعزّز الارتباط.</w:t>
      </w:r>
    </w:p>
    <w:p>
      <w:pPr>
        <w:bidi/>
        <w:spacing w:after="80" w:before="160"/>
        <w:jc w:val="right"/>
      </w:pPr>
      <w:r>
        <w:rPr>
          <w:rFonts w:ascii="Arial" w:cs="Arial" w:eastAsia="Arial" w:hAnsi="Arial"/>
          <w:b/>
          <w:bCs/>
          <w:color w:val="E07C16"/>
          <w:sz w:val="22"/>
          <w:szCs w:val="22"/>
          <w:rtl/>
        </w:rPr>
        <w:t xml:space="preserve">٤) مدفوعات التطبيق</w:t>
      </w:r>
    </w:p>
    <w:p>
      <w:pPr>
        <w:pBdr>
          <w:left w:val="single" w:color="B23A34" w:sz="18" w:space="8"/>
        </w:pBdr>
        <w:shd w:fill="FBE9E8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B23A34"/>
          <w:sz w:val="22"/>
          <w:szCs w:val="22"/>
          <w:rtl/>
        </w:rPr>
        <w:t xml:space="preserve">🔴 مسار الاسترجاع/السحب — فجوة: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المحفظة المغلقة بلا كاش-آوت، لكن العملاء سيطلبون استرجاعاً. غياب مسار استرجاع واضح يولّد شكاوى وضغطاً تنظيمياً (ساما). يجب تعريف سياسة الاسترجاع.</w:t>
      </w:r>
    </w:p>
    <w:p>
      <w:pPr>
        <w:pBdr>
          <w:left w:val="single" w:color="9A6A12" w:sz="18" w:space="8"/>
        </w:pBdr>
        <w:shd w:fill="FBF3E9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🟠 محرّك التسوية مع التجار: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الحرق عند التجار يتطلب نظام تسوية ومطابقة مالية — بند تشغيلي غائب عن التصميم.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ملاءمة التقسيط (BNPL):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تابي/تمارا منطقية للباقات الكبيرة لا للمشتريات الصغيرة (قهوة) — يُقصر على المبالغ الكبيرة.</w:t>
      </w:r>
    </w:p>
    <w:p>
      <w:pPr>
        <w:pBdr>
          <w:left w:val="single" w:color="9A6A12" w:sz="18" w:space="8"/>
        </w:pBdr>
        <w:shd w:fill="FBF1DD" w:color="auto" w:val="clear"/>
        <w:bidi/>
        <w:spacing w:after="130" w:before="0" w:line="288"/>
        <w:jc w:val="right"/>
      </w:pPr>
      <w:r>
        <w:rPr>
          <w:rFonts w:ascii="Arial" w:cs="Arial" w:eastAsia="Arial" w:hAnsi="Arial"/>
          <w:b/>
          <w:bCs/>
          <w:color w:val="9A6A12"/>
          <w:sz w:val="22"/>
          <w:szCs w:val="22"/>
          <w:rtl/>
        </w:rPr>
        <w:t xml:space="preserve">🟡 تكلفة رافعة الشحن:  </w:t>
      </w: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رسوم مدى/فيزا على الشحن يجب أن تقل عن فائدة الـ Float، وإلا انقلب الشحن إلى خسارة.</w:t>
      </w:r>
    </w:p>
    <w:p>
      <w:pPr>
        <w:pStyle w:val="Heading1"/>
        <w:pBdr>
          <w:bottom w:val="single" w:color="E07C16" w:sz="12" w:space="4"/>
        </w:pBdr>
        <w:bidi/>
        <w:spacing w:after="120" w:before="280"/>
        <w:jc w:val="right"/>
      </w:pPr>
      <w:r>
        <w:rPr>
          <w:rFonts w:ascii="Arial" w:cs="Arial" w:eastAsia="Arial" w:hAnsi="Arial"/>
          <w:b/>
          <w:bCs/>
          <w:color w:val="E07C16"/>
          <w:sz w:val="26"/>
          <w:szCs w:val="26"/>
          <w:rtl/>
        </w:rPr>
        <w:t xml:space="preserve">٨.  </w:t>
      </w:r>
      <w:r>
        <w:rPr>
          <w:rFonts w:ascii="Arial" w:cs="Arial" w:eastAsia="Arial" w:hAnsi="Arial"/>
          <w:b/>
          <w:bCs/>
          <w:color w:val="26262A"/>
          <w:sz w:val="26"/>
          <w:szCs w:val="26"/>
          <w:rtl/>
        </w:rPr>
        <w:t xml:space="preserve">الخلاصة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التصميم قوي في الهوية والتنفيذ، وتانكي حاضر جيداً في المستوى والإشعارات والعمليات.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قبل الإطلاق يجب حسم ثلاث نقاط حرجة: السحب (المراهنة) · معدّل الكسب · انتهاء النقاط.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المبدأ الحاكم: تانكي طبقة تكافئ كل فعل داخل درب — والاقتصاد والشرعية يُوحَّدان مع النموذج المعتمد.</w:t>
      </w:r>
    </w:p>
    <w:p>
      <w:pPr>
        <w:pStyle w:val="ListParagraph"/>
        <w:numPr>
          <w:ilvl w:val="0"/>
          <w:numId w:val="1"/>
        </w:numPr>
        <w:bidi/>
        <w:spacing w:after="70" w:line="285"/>
        <w:jc w:val="right"/>
      </w:pPr>
      <w:r>
        <w:rPr>
          <w:rFonts w:ascii="Arial" w:cs="Arial" w:eastAsia="Arial" w:hAnsi="Arial"/>
          <w:color w:val="26262A"/>
          <w:sz w:val="22"/>
          <w:szCs w:val="22"/>
          <w:rtl/>
        </w:rPr>
        <w:t xml:space="preserve">استراتيجياً: ثبّتوا الحلقة الأساسية، ارفعوا الكسب على إنفاق التجار، استغلّوا بيانات المركبة للتخصيص، وعرّفوا مساري الاسترجاع والتسوية قبل الإطلاق.</w:t>
      </w:r>
    </w:p>
    <w:p>
      <w:pPr>
        <w:bidi/>
        <w:spacing w:after="110" w:before="220" w:line="300"/>
        <w:jc w:val="center"/>
      </w:pPr>
      <w:r>
        <w:rPr>
          <w:rFonts w:ascii="Arial" w:cs="Arial" w:eastAsia="Arial" w:hAnsi="Arial"/>
          <w:i/>
          <w:iCs/>
          <w:color w:val="6D6E70"/>
          <w:sz w:val="18"/>
          <w:szCs w:val="18"/>
          <w:rtl/>
        </w:rPr>
        <w:t xml:space="preserve">وثيقة داخلية لمراجعة التصميم — مبنية على لقطات Darb Platform V1.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26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6262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مراجعة تصميم تطبيق درب - تانكي</dc:title>
  <dc:creator>Darb</dc:creator>
  <cp:lastModifiedBy>Un-named</cp:lastModifiedBy>
  <cp:revision>1</cp:revision>
  <dcterms:created xsi:type="dcterms:W3CDTF">2026-08-16T17:43:22.910Z</dcterms:created>
  <dcterms:modified xsi:type="dcterms:W3CDTF">2026-08-16T17:43:22.910Z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