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/>
        <w:jc w:val="right"/>
      </w:pPr>
      <w:r>
        <w:rPr>
          <w:rFonts w:ascii="Arial" w:cs="Arial" w:eastAsia="Arial" w:hAnsi="Arial"/>
          <w:b/>
          <w:bCs/>
          <w:color w:val="6D6E70"/>
          <w:sz w:val="22"/>
          <w:szCs w:val="22"/>
          <w:rtl/>
        </w:rPr>
        <w:t xml:space="preserve">درب لخدمات المحطات</w:t>
      </w:r>
    </w:p>
    <w:p>
      <w:pPr>
        <w:bidi/>
        <w:spacing w:after="0" w:before="60"/>
        <w:jc w:val="right"/>
      </w:pPr>
      <w:r>
        <w:rPr>
          <w:rFonts w:ascii="Arial" w:cs="Arial" w:eastAsia="Arial" w:hAnsi="Arial"/>
          <w:b/>
          <w:bCs/>
          <w:color w:val="26262A"/>
          <w:sz w:val="34"/>
          <w:szCs w:val="34"/>
          <w:rtl/>
        </w:rPr>
        <w:t xml:space="preserve">ميزانيات ملف الشراكات — برنامج تانكي للولاء</w:t>
      </w:r>
    </w:p>
    <w:p>
      <w:pPr>
        <w:bidi/>
        <w:spacing w:after="0" w:before="4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وثيقة رسمية للإدارة التنفيذية · تقديرات تخطيطية للسنة الأولى</w:t>
      </w:r>
    </w:p>
    <w:p>
      <w:pPr>
        <w:pBdr>
          <w:bottom w:val="single" w:color="E07C16" w:sz="18" w:space="8"/>
        </w:pBdr>
        <w:spacing w:after="160" w:before="120"/>
        <w:jc w:val="right"/>
      </w:pPr>
    </w:p>
    <w:p>
      <w:pPr>
        <w:pBdr>
          <w:left w:val="single" w:color="9A6A12" w:sz="18" w:space="8"/>
        </w:pBdr>
        <w:shd w:fill="FBF3E9" w:color="auto" w:val="clear"/>
        <w:bidi/>
        <w:spacing w:after="200" w:before="0" w:line="290"/>
        <w:jc w:val="right"/>
      </w:pPr>
      <w:r>
        <w:rPr>
          <w:rFonts w:ascii="Arial" w:cs="Arial" w:eastAsia="Arial" w:hAnsi="Arial"/>
          <w:b/>
          <w:bCs/>
          <w:color w:val="9A6A12"/>
          <w:sz w:val="22"/>
          <w:szCs w:val="22"/>
          <w:rtl/>
        </w:rPr>
        <w:t xml:space="preserve">تنبيه: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جميع الأرقام تقديرات تخطيطية أولية للسوق السعودي بالريال، تُضبط بعروض فعلية ورواتب الموارد البشرية الحقيقية. الغرض منها تحديد حجم الاستثمار المطلوب لا الالتزام برقم نهائي.</w:t>
      </w:r>
    </w:p>
    <w:p>
      <w:pPr>
        <w:pStyle w:val="Heading1"/>
        <w:pBdr>
          <w:bottom w:val="single" w:color="E07C16" w:sz="12" w:space="4"/>
        </w:pBdr>
        <w:bidi/>
        <w:spacing w:after="130" w:before="300"/>
        <w:jc w:val="right"/>
      </w:pPr>
      <w:r>
        <w:rPr>
          <w:rFonts w:ascii="Arial" w:cs="Arial" w:eastAsia="Arial" w:hAnsi="Arial"/>
          <w:b/>
          <w:bCs/>
          <w:color w:val="E07C16"/>
          <w:sz w:val="26"/>
          <w:szCs w:val="26"/>
          <w:rtl/>
        </w:rPr>
        <w:t xml:space="preserve">١.  </w:t>
      </w:r>
      <w:r>
        <w:rPr>
          <w:rFonts w:ascii="Arial" w:cs="Arial" w:eastAsia="Arial" w:hAnsi="Arial"/>
          <w:b/>
          <w:bCs/>
          <w:color w:val="26262A"/>
          <w:sz w:val="26"/>
          <w:szCs w:val="26"/>
          <w:rtl/>
        </w:rPr>
        <w:t xml:space="preserve">ميزانية الموارد البشرية (سنوية)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color w:val="6D6E70"/>
          <w:sz w:val="20"/>
          <w:szCs w:val="20"/>
          <w:rtl/>
        </w:rPr>
        <w:t xml:space="preserve">الرواتب تقديرية شهرية قبل التحميلات؛ يُضاف نحو ٢٥٪ تحميلات (تأمينات ومزايا).</w:t>
      </w:r>
    </w:p>
    <w:tbl>
      <w:tblPr>
        <w:bidiVisual/>
        <w:tblW w:type="dxa" w:w="9210"/>
        <w:tblBorders>
          <w:top w:val="single" w:color="D9D7D3" w:sz="4"/>
          <w:left w:val="single" w:color="D9D7D3" w:sz="4"/>
          <w:bottom w:val="single" w:color="D9D7D3" w:sz="4"/>
          <w:right w:val="single" w:color="D9D7D3" w:sz="4"/>
          <w:insideH w:val="single" w:color="D9D7D3" w:sz="4"/>
          <w:insideV w:val="single" w:color="D9D7D3" w:sz="4"/>
        </w:tblBorders>
      </w:tblPr>
      <w:tblGrid>
        <w:gridCol w:w="2650"/>
        <w:gridCol w:w="1150"/>
        <w:gridCol w:w="2650"/>
        <w:gridCol w:w="2760"/>
      </w:tblGrid>
      <w:tr>
        <w:trPr>
          <w:tblHeader/>
        </w:trPr>
        <w:tc>
          <w:tcPr>
            <w:tcW w:type="dxa" w:w="2650"/>
            <w:shd w:fill="F3EFEA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الدور</w:t>
            </w:r>
          </w:p>
        </w:tc>
        <w:tc>
          <w:tcPr>
            <w:tcW w:type="dxa" w:w="1150"/>
            <w:shd w:fill="F3EFEA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العدد</w:t>
            </w:r>
          </w:p>
        </w:tc>
        <w:tc>
          <w:tcPr>
            <w:tcW w:type="dxa" w:w="2650"/>
            <w:shd w:fill="F3EFEA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الراتب الشهري (﷼)</w:t>
            </w:r>
          </w:p>
        </w:tc>
        <w:tc>
          <w:tcPr>
            <w:tcW w:type="dxa" w:w="2760"/>
            <w:shd w:fill="F3EFEA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السنوي التقريبي (﷼)</w:t>
            </w:r>
          </w:p>
        </w:tc>
      </w:tr>
      <w:tr>
        <w:tc>
          <w:tcPr>
            <w:tcW w:type="dxa" w:w="26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مدير الشراكات</w:t>
            </w:r>
          </w:p>
        </w:tc>
        <w:tc>
          <w:tcPr>
            <w:tcW w:type="dxa" w:w="11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١</w:t>
            </w:r>
          </w:p>
        </w:tc>
        <w:tc>
          <w:tcPr>
            <w:tcW w:type="dxa" w:w="26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٢٥٬٠٠٠ – ٤٠٬٠٠٠</w:t>
            </w:r>
          </w:p>
        </w:tc>
        <w:tc>
          <w:tcPr>
            <w:tcW w:type="dxa" w:w="276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٣٠٠ – ٤٨٠ ألف</w:t>
            </w:r>
          </w:p>
        </w:tc>
      </w:tr>
      <w:tr>
        <w:tc>
          <w:tcPr>
            <w:tcW w:type="dxa" w:w="26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مدير تطوير أعمال (BD)</w:t>
            </w:r>
          </w:p>
        </w:tc>
        <w:tc>
          <w:tcPr>
            <w:tcW w:type="dxa" w:w="11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٢</w:t>
            </w:r>
          </w:p>
        </w:tc>
        <w:tc>
          <w:tcPr>
            <w:tcW w:type="dxa" w:w="26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١٢٬٠٠٠ – ٢٠٬٠٠٠ /فرد</w:t>
            </w:r>
          </w:p>
        </w:tc>
        <w:tc>
          <w:tcPr>
            <w:tcW w:type="dxa" w:w="276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٢٨٨ – ٤٨٠ ألف</w:t>
            </w:r>
          </w:p>
        </w:tc>
      </w:tr>
      <w:tr>
        <w:tc>
          <w:tcPr>
            <w:tcW w:type="dxa" w:w="26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محلل تجاري</w:t>
            </w:r>
          </w:p>
        </w:tc>
        <w:tc>
          <w:tcPr>
            <w:tcW w:type="dxa" w:w="11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١</w:t>
            </w:r>
          </w:p>
        </w:tc>
        <w:tc>
          <w:tcPr>
            <w:tcW w:type="dxa" w:w="26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١٠٬٠٠٠ – ١٥٬٠٠٠</w:t>
            </w:r>
          </w:p>
        </w:tc>
        <w:tc>
          <w:tcPr>
            <w:tcW w:type="dxa" w:w="276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١٢٠ – ١٨٠ ألف</w:t>
            </w:r>
          </w:p>
        </w:tc>
      </w:tr>
      <w:tr>
        <w:tc>
          <w:tcPr>
            <w:tcW w:type="dxa" w:w="26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مختص تسويات مالية</w:t>
            </w:r>
          </w:p>
        </w:tc>
        <w:tc>
          <w:tcPr>
            <w:tcW w:type="dxa" w:w="11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١</w:t>
            </w:r>
          </w:p>
        </w:tc>
        <w:tc>
          <w:tcPr>
            <w:tcW w:type="dxa" w:w="26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٩٬٠٠٠ – ١٤٬٠٠٠</w:t>
            </w:r>
          </w:p>
        </w:tc>
        <w:tc>
          <w:tcPr>
            <w:tcW w:type="dxa" w:w="276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١٠٨ – ١٦٨ ألف</w:t>
            </w:r>
          </w:p>
        </w:tc>
      </w:tr>
      <w:tr>
        <w:tc>
          <w:tcPr>
            <w:tcW w:type="dxa" w:w="2650"/>
            <w:shd w:fill="FEF3E6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الفريق الأساسي (٥ أفراد)</w:t>
            </w:r>
          </w:p>
        </w:tc>
        <w:tc>
          <w:tcPr>
            <w:tcW w:type="dxa" w:w="1150"/>
            <w:shd w:fill="FEF3E6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650"/>
            <w:shd w:fill="FEF3E6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760"/>
            <w:shd w:fill="FEF3E6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٠٫٩ – ١٫٣ مليون</w:t>
            </w:r>
          </w:p>
        </w:tc>
      </w:tr>
      <w:tr>
        <w:tc>
          <w:tcPr>
            <w:tcW w:type="dxa" w:w="2650"/>
            <w:shd w:fill="FEF3E6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+ التحميلات (~٢٥٪)</w:t>
            </w:r>
          </w:p>
        </w:tc>
        <w:tc>
          <w:tcPr>
            <w:tcW w:type="dxa" w:w="1150"/>
            <w:shd w:fill="FEF3E6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650"/>
            <w:shd w:fill="FEF3E6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760"/>
            <w:shd w:fill="FEF3E6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E07C16"/>
                <w:sz w:val="20"/>
                <w:szCs w:val="20"/>
                <w:rtl/>
              </w:rPr>
              <w:t xml:space="preserve">≈ ١٫١ – ١٫٦ مليون</w:t>
            </w:r>
          </w:p>
        </w:tc>
      </w:tr>
    </w:tbl>
    <w:p>
      <w:pPr>
        <w:bidi/>
        <w:spacing w:after="120" w:before="100" w:line="300"/>
        <w:jc w:val="right"/>
      </w:pP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التوسّع لاحقاً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(مدير حسابات ×٢، تسويق شراكات، منسّق عمليات، دعم تكامل) يضيف نحو ٥٥٠ – ٩٠٠ ألف ﷼ سنوياً.</w:t>
      </w:r>
    </w:p>
    <w:p>
      <w:pPr>
        <w:pStyle w:val="Heading1"/>
        <w:pBdr>
          <w:bottom w:val="single" w:color="E07C16" w:sz="12" w:space="4"/>
        </w:pBdr>
        <w:bidi/>
        <w:spacing w:after="130" w:before="300"/>
        <w:jc w:val="right"/>
      </w:pPr>
      <w:r>
        <w:rPr>
          <w:rFonts w:ascii="Arial" w:cs="Arial" w:eastAsia="Arial" w:hAnsi="Arial"/>
          <w:b/>
          <w:bCs/>
          <w:color w:val="E07C16"/>
          <w:sz w:val="26"/>
          <w:szCs w:val="26"/>
          <w:rtl/>
        </w:rPr>
        <w:t xml:space="preserve">٢.  </w:t>
      </w:r>
      <w:r>
        <w:rPr>
          <w:rFonts w:ascii="Arial" w:cs="Arial" w:eastAsia="Arial" w:hAnsi="Arial"/>
          <w:b/>
          <w:bCs/>
          <w:color w:val="26262A"/>
          <w:sz w:val="26"/>
          <w:szCs w:val="26"/>
          <w:rtl/>
        </w:rPr>
        <w:t xml:space="preserve">الميزانية التشغيلية والرأسمالية (السنة الأولى)</w:t>
      </w:r>
    </w:p>
    <w:tbl>
      <w:tblPr>
        <w:bidiVisual/>
        <w:tblW w:type="dxa" w:w="9210"/>
        <w:tblBorders>
          <w:top w:val="single" w:color="D9D7D3" w:sz="4"/>
          <w:left w:val="single" w:color="D9D7D3" w:sz="4"/>
          <w:bottom w:val="single" w:color="D9D7D3" w:sz="4"/>
          <w:right w:val="single" w:color="D9D7D3" w:sz="4"/>
          <w:insideH w:val="single" w:color="D9D7D3" w:sz="4"/>
          <w:insideV w:val="single" w:color="D9D7D3" w:sz="4"/>
        </w:tblBorders>
      </w:tblPr>
      <w:tblGrid>
        <w:gridCol w:w="2550"/>
        <w:gridCol w:w="2350"/>
        <w:gridCol w:w="4310"/>
      </w:tblGrid>
      <w:tr>
        <w:trPr>
          <w:tblHeader/>
        </w:trPr>
        <w:tc>
          <w:tcPr>
            <w:tcW w:type="dxa" w:w="2550"/>
            <w:shd w:fill="F3EFEA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2350"/>
            <w:shd w:fill="F3EFEA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القيمة التقديرية (﷼)</w:t>
            </w:r>
          </w:p>
        </w:tc>
        <w:tc>
          <w:tcPr>
            <w:tcW w:type="dxa" w:w="4310"/>
            <w:shd w:fill="F3EFEA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ملاحظة</w:t>
            </w:r>
          </w:p>
        </w:tc>
      </w:tr>
      <w:tr>
        <w:tc>
          <w:tcPr>
            <w:tcW w:type="dxa" w:w="25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الرصيد المقدّم / رأس المال العامل (Float)</w:t>
            </w:r>
          </w:p>
        </w:tc>
        <w:tc>
          <w:tcPr>
            <w:tcW w:type="dxa" w:w="23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٢٠٠ – ٥٠٠ ألف+</w:t>
            </w:r>
          </w:p>
        </w:tc>
        <w:tc>
          <w:tcPr>
            <w:tcW w:type="dxa" w:w="431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لمخزون القسائم — قابل للاسترداد، ليس مصروفاً؛ يكبر مع الحجم.</w:t>
            </w:r>
          </w:p>
        </w:tc>
      </w:tr>
      <w:tr>
        <w:tc>
          <w:tcPr>
            <w:tcW w:type="dxa" w:w="25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التسويق والتمويل المشترك (Co-funding)</w:t>
            </w:r>
          </w:p>
        </w:tc>
        <w:tc>
          <w:tcPr>
            <w:tcW w:type="dxa" w:w="23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٣٠٠ – ٨٠٠ ألف</w:t>
            </w:r>
          </w:p>
        </w:tc>
        <w:tc>
          <w:tcPr>
            <w:tcW w:type="dxa" w:w="431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حملة الإطلاق + تسويق مشترك مع التجار.</w:t>
            </w:r>
          </w:p>
        </w:tc>
      </w:tr>
      <w:tr>
        <w:tc>
          <w:tcPr>
            <w:tcW w:type="dxa" w:w="25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التقنية والأنظمة</w:t>
            </w:r>
          </w:p>
        </w:tc>
        <w:tc>
          <w:tcPr>
            <w:tcW w:type="dxa" w:w="23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١٥٠ – ٤٥٠ ألف</w:t>
            </w:r>
          </w:p>
        </w:tc>
        <w:tc>
          <w:tcPr>
            <w:tcW w:type="dxa" w:w="431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تكامل Gift Card API والمحفظة (لمرة واحدة) + صيانة. أداة إدارة التجار جاهزة في تانكي.</w:t>
            </w:r>
          </w:p>
        </w:tc>
      </w:tr>
      <w:tr>
        <w:tc>
          <w:tcPr>
            <w:tcW w:type="dxa" w:w="25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الامتثال والترخيص والقانوني</w:t>
            </w:r>
          </w:p>
        </w:tc>
        <w:tc>
          <w:tcPr>
            <w:tcW w:type="dxa" w:w="235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١٥٠ – ٤٠٠ ألف</w:t>
            </w:r>
          </w:p>
        </w:tc>
        <w:tc>
          <w:tcPr>
            <w:tcW w:type="dxa" w:w="431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إعداد شراكة ساما + صياغة العقود + الرقابة الشرعية + امتثال PDPL.</w:t>
            </w:r>
          </w:p>
        </w:tc>
      </w:tr>
    </w:tbl>
    <w:p>
      <w:pPr>
        <w:pStyle w:val="Heading1"/>
        <w:pBdr>
          <w:bottom w:val="single" w:color="E07C16" w:sz="12" w:space="4"/>
        </w:pBdr>
        <w:bidi/>
        <w:spacing w:after="130" w:before="300"/>
        <w:jc w:val="right"/>
      </w:pPr>
      <w:r>
        <w:rPr>
          <w:rFonts w:ascii="Arial" w:cs="Arial" w:eastAsia="Arial" w:hAnsi="Arial"/>
          <w:b/>
          <w:bCs/>
          <w:color w:val="E07C16"/>
          <w:sz w:val="26"/>
          <w:szCs w:val="26"/>
          <w:rtl/>
        </w:rPr>
        <w:t xml:space="preserve">٣.  </w:t>
      </w:r>
      <w:r>
        <w:rPr>
          <w:rFonts w:ascii="Arial" w:cs="Arial" w:eastAsia="Arial" w:hAnsi="Arial"/>
          <w:b/>
          <w:bCs/>
          <w:color w:val="26262A"/>
          <w:sz w:val="26"/>
          <w:szCs w:val="26"/>
          <w:rtl/>
        </w:rPr>
        <w:t xml:space="preserve">الإجمالي التقديري للسنة الأولى</w:t>
      </w:r>
    </w:p>
    <w:tbl>
      <w:tblPr>
        <w:bidiVisual/>
        <w:tblW w:type="dxa" w:w="9210"/>
        <w:tblBorders>
          <w:top w:val="single" w:color="D9D7D3" w:sz="4"/>
          <w:left w:val="single" w:color="D9D7D3" w:sz="4"/>
          <w:bottom w:val="single" w:color="D9D7D3" w:sz="4"/>
          <w:right w:val="single" w:color="D9D7D3" w:sz="4"/>
          <w:insideH w:val="single" w:color="D9D7D3" w:sz="4"/>
          <w:insideV w:val="single" w:color="D9D7D3" w:sz="4"/>
        </w:tblBorders>
      </w:tblPr>
      <w:tblGrid>
        <w:gridCol w:w="5400"/>
        <w:gridCol w:w="3810"/>
      </w:tblGrid>
      <w:tr>
        <w:trPr>
          <w:tblHeader/>
        </w:trPr>
        <w:tc>
          <w:tcPr>
            <w:tcW w:type="dxa" w:w="5400"/>
            <w:shd w:fill="F3EFEA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الفئة</w:t>
            </w:r>
          </w:p>
        </w:tc>
        <w:tc>
          <w:tcPr>
            <w:tcW w:type="dxa" w:w="3810"/>
            <w:shd w:fill="F3EFEA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المدى التقديري (﷼)</w:t>
            </w:r>
          </w:p>
        </w:tc>
      </w:tr>
      <w:tr>
        <w:tc>
          <w:tcPr>
            <w:tcW w:type="dxa" w:w="540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موارد بشرية (فريق أساسي، محمّل)</w:t>
            </w:r>
          </w:p>
        </w:tc>
        <w:tc>
          <w:tcPr>
            <w:tcW w:type="dxa" w:w="381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١٫١ – ١٫٦ مليون</w:t>
            </w:r>
          </w:p>
        </w:tc>
      </w:tr>
      <w:tr>
        <w:tc>
          <w:tcPr>
            <w:tcW w:type="dxa" w:w="540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تسويق وتمويل مشترك</w:t>
            </w:r>
          </w:p>
        </w:tc>
        <w:tc>
          <w:tcPr>
            <w:tcW w:type="dxa" w:w="381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٠٫٣ – ٠٫٨ مليون</w:t>
            </w:r>
          </w:p>
        </w:tc>
      </w:tr>
      <w:tr>
        <w:tc>
          <w:tcPr>
            <w:tcW w:type="dxa" w:w="540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تقنية وأنظمة</w:t>
            </w:r>
          </w:p>
        </w:tc>
        <w:tc>
          <w:tcPr>
            <w:tcW w:type="dxa" w:w="381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٠٫١٥ – ٠٫٤٥ مليون</w:t>
            </w:r>
          </w:p>
        </w:tc>
      </w:tr>
      <w:tr>
        <w:tc>
          <w:tcPr>
            <w:tcW w:type="dxa" w:w="540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امتثال وترخيص وقانوني</w:t>
            </w:r>
          </w:p>
        </w:tc>
        <w:tc>
          <w:tcPr>
            <w:tcW w:type="dxa" w:w="3810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color w:val="26262A"/>
                <w:sz w:val="20"/>
                <w:szCs w:val="20"/>
                <w:rtl/>
              </w:rPr>
              <w:t xml:space="preserve">٠٫١٥ – ٠٫٤ مليون</w:t>
            </w:r>
          </w:p>
        </w:tc>
      </w:tr>
      <w:tr>
        <w:tc>
          <w:tcPr>
            <w:tcW w:type="dxa" w:w="5400"/>
            <w:shd w:fill="FEF3E6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الإجمالي التشغيلي (السنة ١)</w:t>
            </w:r>
          </w:p>
        </w:tc>
        <w:tc>
          <w:tcPr>
            <w:tcW w:type="dxa" w:w="3810"/>
            <w:shd w:fill="FEF3E6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E07C16"/>
                <w:sz w:val="20"/>
                <w:szCs w:val="20"/>
                <w:rtl/>
              </w:rPr>
              <w:t xml:space="preserve">≈ ١٫٦ – ٣٫٣ مليون</w:t>
            </w:r>
          </w:p>
        </w:tc>
      </w:tr>
      <w:tr>
        <w:tc>
          <w:tcPr>
            <w:tcW w:type="dxa" w:w="5400"/>
            <w:shd w:fill="FBF3E9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+ رأس مال عامل (Float — قابل للاسترداد)</w:t>
            </w:r>
          </w:p>
        </w:tc>
        <w:tc>
          <w:tcPr>
            <w:tcW w:type="dxa" w:w="3810"/>
            <w:shd w:fill="FBF3E9" w:color="auto" w:val="clear"/>
            <w:tcMar>
              <w:top w:type="dxa" w:w="72"/>
              <w:left w:type="dxa" w:w="100"/>
              <w:bottom w:type="dxa" w:w="72"/>
              <w:right w:type="dxa" w:w="100"/>
            </w:tcMar>
            <w:vAlign w:val="center"/>
          </w:tcPr>
          <w:p>
            <w:pPr>
              <w:bidi/>
              <w:spacing w:after="0" w:before="0" w:line="265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20"/>
                <w:szCs w:val="20"/>
                <w:rtl/>
              </w:rPr>
              <w:t xml:space="preserve">≈ ٠٫٢ – ٠٫٥ مليون</w:t>
            </w:r>
          </w:p>
        </w:tc>
      </w:tr>
    </w:tbl>
    <w:p>
      <w:pPr>
        <w:bidi/>
        <w:spacing w:after="120" w:before="120" w:line="30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الحد الأدنى الواقعي للانطلاق: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نحو ١٫٦ مليون ﷼ تشغيلي + ٢٠٠ ألف ﷼ رأس مال عامل — بفريق لين وتسويق محافظ.</w:t>
      </w:r>
    </w:p>
    <w:p>
      <w:pPr>
        <w:pStyle w:val="Heading1"/>
        <w:pBdr>
          <w:bottom w:val="single" w:color="E07C16" w:sz="12" w:space="4"/>
        </w:pBdr>
        <w:bidi/>
        <w:spacing w:after="130" w:before="300"/>
        <w:jc w:val="right"/>
      </w:pPr>
      <w:r>
        <w:rPr>
          <w:rFonts w:ascii="Arial" w:cs="Arial" w:eastAsia="Arial" w:hAnsi="Arial"/>
          <w:b/>
          <w:bCs/>
          <w:color w:val="E07C16"/>
          <w:sz w:val="26"/>
          <w:szCs w:val="26"/>
          <w:rtl/>
        </w:rPr>
        <w:t xml:space="preserve">٤.  </w:t>
      </w:r>
      <w:r>
        <w:rPr>
          <w:rFonts w:ascii="Arial" w:cs="Arial" w:eastAsia="Arial" w:hAnsi="Arial"/>
          <w:b/>
          <w:bCs/>
          <w:color w:val="26262A"/>
          <w:sz w:val="26"/>
          <w:szCs w:val="26"/>
          <w:rtl/>
        </w:rPr>
        <w:t xml:space="preserve">ملاحظات مهمة</w:t>
      </w:r>
    </w:p>
    <w:p>
      <w:pPr>
        <w:pStyle w:val="ListParagraph"/>
        <w:numPr>
          <w:ilvl w:val="0"/>
          <w:numId w:val="1"/>
        </w:numPr>
        <w:bidi/>
        <w:spacing w:after="90" w:line="290"/>
        <w:jc w:val="right"/>
      </w:pP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متكرّر مقابل لمرة واحدة: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الرواتب والصيانة والتسويق بنود متكرّرة سنوياً؛ تكامل التقنية والترخيص غالباً لمرة واحدة.</w:t>
      </w:r>
    </w:p>
    <w:p>
      <w:pPr>
        <w:pStyle w:val="ListParagraph"/>
        <w:numPr>
          <w:ilvl w:val="0"/>
          <w:numId w:val="1"/>
        </w:numPr>
        <w:bidi/>
        <w:spacing w:after="90" w:line="290"/>
        <w:jc w:val="right"/>
      </w:pP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الرصيد المقدّم ليس مصروفاً: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رأس مال عامل يعود إلى درب لكنه يشغل سيولة، فيُدرَج منفصلاً عن المصروفات.</w:t>
      </w:r>
    </w:p>
    <w:p>
      <w:pPr>
        <w:pStyle w:val="ListParagraph"/>
        <w:numPr>
          <w:ilvl w:val="0"/>
          <w:numId w:val="1"/>
        </w:numPr>
        <w:bidi/>
        <w:spacing w:after="90" w:line="290"/>
        <w:jc w:val="right"/>
      </w:pP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تكلفة النقاط بند منفصل: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التزام البرنامج (قيمة النقطة نصف هللة لكل ريال) محسوب في نموذج تانكي الاقتصادي، وليس ضمن تشغيل ملف الشراكات.</w:t>
      </w:r>
    </w:p>
    <w:p>
      <w:pPr>
        <w:pStyle w:val="ListParagraph"/>
        <w:numPr>
          <w:ilvl w:val="0"/>
          <w:numId w:val="1"/>
        </w:numPr>
        <w:bidi/>
        <w:spacing w:after="90" w:line="290"/>
        <w:jc w:val="right"/>
      </w:pP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أكبر متغيّرين: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حجم الفريق (توسّع مبكّر أو لين) وطموح التسويق والتمويل المشترك — هما اللذان يحرّكان الرقم صعوداً أو هبوطاً.</w:t>
      </w:r>
    </w:p>
    <w:p>
      <w:pPr>
        <w:bidi/>
        <w:spacing w:after="120" w:before="240" w:line="300"/>
        <w:jc w:val="center"/>
      </w:pPr>
      <w:r>
        <w:rPr>
          <w:rFonts w:ascii="Arial" w:cs="Arial" w:eastAsia="Arial" w:hAnsi="Arial"/>
          <w:i/>
          <w:iCs/>
          <w:color w:val="6D6E70"/>
          <w:sz w:val="18"/>
          <w:szCs w:val="18"/>
          <w:rtl/>
        </w:rPr>
        <w:t xml:space="preserve">وثيقة داخلية للمناقشة التنفيذية — تُضبط الأرقام النهائية عند التعاقد والتوظيف الفعلي.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626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ميزانيات ملف الشراكات - تانكي</dc:title>
  <dc:creator>Darb</dc:creator>
  <cp:lastModifiedBy>Un-named</cp:lastModifiedBy>
  <cp:revision>1</cp:revision>
  <dcterms:created xsi:type="dcterms:W3CDTF">2026-07-23T11:37:15.476Z</dcterms:created>
  <dcterms:modified xsi:type="dcterms:W3CDTF">2026-07-23T11:37:15.489Z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