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jc w:val="right"/>
      </w:pPr>
      <w:r>
        <w:rPr>
          <w:rFonts w:ascii="Arial" w:cs="Arial" w:eastAsia="Arial" w:hAnsi="Arial"/>
          <w:b/>
          <w:bCs/>
          <w:color w:val="6D6E70"/>
          <w:sz w:val="22"/>
          <w:szCs w:val="22"/>
          <w:rtl/>
        </w:rPr>
        <w:t xml:space="preserve">درب لخدمات المحطات</w:t>
      </w:r>
    </w:p>
    <w:p>
      <w:pPr>
        <w:bidi/>
        <w:spacing w:after="0" w:before="60"/>
        <w:jc w:val="right"/>
      </w:pPr>
      <w:r>
        <w:rPr>
          <w:rFonts w:ascii="Arial" w:cs="Arial" w:eastAsia="Arial" w:hAnsi="Arial"/>
          <w:b/>
          <w:bCs/>
          <w:color w:val="26262A"/>
          <w:sz w:val="36"/>
          <w:szCs w:val="36"/>
          <w:rtl/>
        </w:rPr>
        <w:t xml:space="preserve">احتياجات ملف الشراكات — برنامج تانكي للولاء</w:t>
      </w:r>
    </w:p>
    <w:p>
      <w:pPr>
        <w:bidi/>
        <w:spacing w:after="0" w:before="40"/>
        <w:jc w:val="right"/>
      </w:pPr>
      <w:r>
        <w:rPr>
          <w:rFonts w:ascii="Arial" w:cs="Arial" w:eastAsia="Arial" w:hAnsi="Arial"/>
          <w:b/>
          <w:bCs/>
          <w:color w:val="E07C16"/>
          <w:sz w:val="22"/>
          <w:szCs w:val="22"/>
          <w:rtl/>
        </w:rPr>
        <w:t xml:space="preserve">وثيقة رسمية للإدارة التنفيذية</w:t>
      </w:r>
    </w:p>
    <w:p>
      <w:pPr>
        <w:pBdr>
          <w:bottom w:val="single" w:color="E07C16" w:sz="18" w:space="8"/>
        </w:pBdr>
        <w:spacing w:after="160" w:before="120"/>
        <w:jc w:val="right"/>
      </w:pPr>
    </w:p>
    <w:p>
      <w:pPr>
        <w:bidi/>
        <w:spacing w:after="200" w:before="0" w:line="300"/>
        <w:jc w:val="right"/>
      </w:pPr>
      <w:r>
        <w:rPr>
          <w:rFonts w:ascii="Arial" w:cs="Arial" w:eastAsia="Arial" w:hAnsi="Arial"/>
          <w:color w:val="26262A"/>
          <w:sz w:val="22"/>
          <w:szCs w:val="22"/>
          <w:rtl/>
        </w:rPr>
        <w:t xml:space="preserve">تعرض هذه الوثيقة الاحتياجات اللازمة لإنجاح ملف الشراكات في برنامج «تانكي»، موزّعة على أربع ركائز، مع بيان سبب كل احتياج. لا تتضمن هذه النسخة التكاليف؛ تُعرض الميزانيات في وثيقة منفصلة.</w:t>
      </w:r>
    </w:p>
    <w:p>
      <w:pPr>
        <w:pStyle w:val="Heading1"/>
        <w:pBdr>
          <w:bottom w:val="single" w:color="E07C16" w:sz="12" w:space="4"/>
        </w:pBdr>
        <w:bidi/>
        <w:spacing w:after="130" w:before="300"/>
        <w:jc w:val="right"/>
      </w:pPr>
      <w:r>
        <w:rPr>
          <w:rFonts w:ascii="Arial" w:cs="Arial" w:eastAsia="Arial" w:hAnsi="Arial"/>
          <w:b/>
          <w:bCs/>
          <w:color w:val="E07C16"/>
          <w:sz w:val="26"/>
          <w:szCs w:val="26"/>
          <w:rtl/>
        </w:rPr>
        <w:t xml:space="preserve">١.  </w:t>
      </w:r>
      <w:r>
        <w:rPr>
          <w:rFonts w:ascii="Arial" w:cs="Arial" w:eastAsia="Arial" w:hAnsi="Arial"/>
          <w:b/>
          <w:bCs/>
          <w:color w:val="26262A"/>
          <w:sz w:val="26"/>
          <w:szCs w:val="26"/>
          <w:rtl/>
        </w:rPr>
        <w:t xml:space="preserve">الموارد البشرية</w:t>
      </w:r>
    </w:p>
    <w:tbl>
      <w:tblPr>
        <w:bidiVisual/>
        <w:tblW w:type="dxa" w:w="9360"/>
        <w:tblBorders>
          <w:top w:val="single" w:color="D9D7D3" w:sz="4"/>
          <w:left w:val="single" w:color="D9D7D3" w:sz="4"/>
          <w:bottom w:val="single" w:color="D9D7D3" w:sz="4"/>
          <w:right w:val="single" w:color="D9D7D3" w:sz="4"/>
          <w:insideH w:val="single" w:color="D9D7D3" w:sz="4"/>
          <w:insideV w:val="single" w:color="D9D7D3" w:sz="4"/>
        </w:tblBorders>
      </w:tblPr>
      <w:tblGrid>
        <w:gridCol w:w="3150"/>
        <w:gridCol w:w="6210"/>
      </w:tblGrid>
      <w:tr>
        <w:trPr>
          <w:tblHeader/>
        </w:trPr>
        <w:tc>
          <w:tcPr>
            <w:tcW w:type="dxa" w:w="3150"/>
            <w:shd w:fill="F3EFEA" w:color="auto" w:val="clear"/>
            <w:tcMar>
              <w:top w:type="dxa" w:w="70"/>
              <w:left w:type="dxa" w:w="100"/>
              <w:bottom w:type="dxa" w:w="70"/>
              <w:right w:type="dxa" w:w="100"/>
            </w:tcMar>
            <w:vAlign w:val="center"/>
          </w:tcPr>
          <w:p>
            <w:pPr>
              <w:bidi/>
              <w:spacing w:after="0" w:before="0" w:line="300"/>
              <w:jc w:val="right"/>
            </w:pPr>
            <w:r>
              <w:rPr>
                <w:rFonts w:ascii="Arial" w:cs="Arial" w:eastAsia="Arial" w:hAnsi="Arial"/>
                <w:b/>
                <w:bCs/>
                <w:color w:val="26262A"/>
                <w:sz w:val="21"/>
                <w:szCs w:val="21"/>
                <w:rtl/>
              </w:rPr>
              <w:t xml:space="preserve">الاحتياج</w:t>
            </w:r>
          </w:p>
        </w:tc>
        <w:tc>
          <w:tcPr>
            <w:tcW w:type="dxa" w:w="6210"/>
            <w:shd w:fill="F3EFEA" w:color="auto" w:val="clear"/>
            <w:tcMar>
              <w:top w:type="dxa" w:w="70"/>
              <w:left w:type="dxa" w:w="100"/>
              <w:bottom w:type="dxa" w:w="70"/>
              <w:right w:type="dxa" w:w="100"/>
            </w:tcMar>
            <w:vAlign w:val="center"/>
          </w:tcPr>
          <w:p>
            <w:pPr>
              <w:bidi/>
              <w:spacing w:after="0" w:before="0" w:line="300"/>
              <w:jc w:val="right"/>
            </w:pPr>
            <w:r>
              <w:rPr>
                <w:rFonts w:ascii="Arial" w:cs="Arial" w:eastAsia="Arial" w:hAnsi="Arial"/>
                <w:b/>
                <w:bCs/>
                <w:color w:val="26262A"/>
                <w:sz w:val="21"/>
                <w:szCs w:val="21"/>
                <w:rtl/>
              </w:rPr>
              <w:t xml:space="preserve">السبب</w:t>
            </w:r>
          </w:p>
        </w:tc>
      </w:tr>
      <w:tr>
        <w:tc>
          <w:tcPr>
            <w:tcW w:type="dxa" w:w="3150"/>
            <w:shd w:fill="F3EFEA"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26262A"/>
                <w:sz w:val="20"/>
                <w:szCs w:val="20"/>
                <w:rtl/>
              </w:rPr>
              <w:t xml:space="preserve">مدير الشراكات</w:t>
            </w:r>
          </w:p>
        </w:tc>
        <w:tc>
          <w:tcPr>
            <w:tcW w:type="dxa" w:w="6210"/>
            <w:shd w:fill="FBF3E9"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E07C16"/>
                <w:sz w:val="22"/>
                <w:szCs w:val="22"/>
                <w:rtl/>
              </w:rPr>
              <w:t xml:space="preserve">↳ </w:t>
            </w:r>
            <w:r>
              <w:rPr>
                <w:rFonts w:ascii="Arial" w:cs="Arial" w:eastAsia="Arial" w:hAnsi="Arial"/>
                <w:color w:val="26262A"/>
                <w:sz w:val="20"/>
                <w:szCs w:val="20"/>
                <w:rtl/>
              </w:rPr>
              <w:t xml:space="preserve">يملك الملف كاملاً ويقود الاستراتيجية والتفاوض الكبير؛ بدون قائد تتشتت الجهود ولا تُسنَد المسؤولية.</w:t>
            </w:r>
          </w:p>
        </w:tc>
      </w:tr>
      <w:tr>
        <w:tc>
          <w:tcPr>
            <w:tcW w:type="dxa" w:w="3150"/>
            <w:shd w:fill="F3EFEA"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26262A"/>
                <w:sz w:val="20"/>
                <w:szCs w:val="20"/>
                <w:rtl/>
              </w:rPr>
              <w:t xml:space="preserve">مديرو تطوير الأعمال (BD)</w:t>
            </w:r>
          </w:p>
        </w:tc>
        <w:tc>
          <w:tcPr>
            <w:tcW w:type="dxa" w:w="6210"/>
            <w:shd w:fill="FBF3E9"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E07C16"/>
                <w:sz w:val="22"/>
                <w:szCs w:val="22"/>
                <w:rtl/>
              </w:rPr>
              <w:t xml:space="preserve">↳ </w:t>
            </w:r>
            <w:r>
              <w:rPr>
                <w:rFonts w:ascii="Arial" w:cs="Arial" w:eastAsia="Arial" w:hAnsi="Arial"/>
                <w:color w:val="26262A"/>
                <w:sz w:val="20"/>
                <w:szCs w:val="20"/>
                <w:rtl/>
              </w:rPr>
              <w:t xml:space="preserve">يوقّعون التجار ويبنون قاعدة الشركاء؛ بدونهم لا شركاء، ويبقى البرنامج وقوداً بلا قنوات استبدال.</w:t>
            </w:r>
          </w:p>
        </w:tc>
      </w:tr>
      <w:tr>
        <w:tc>
          <w:tcPr>
            <w:tcW w:type="dxa" w:w="3150"/>
            <w:shd w:fill="F3EFEA"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26262A"/>
                <w:sz w:val="20"/>
                <w:szCs w:val="20"/>
                <w:rtl/>
              </w:rPr>
              <w:t xml:space="preserve">محلل تجاري</w:t>
            </w:r>
          </w:p>
        </w:tc>
        <w:tc>
          <w:tcPr>
            <w:tcW w:type="dxa" w:w="6210"/>
            <w:shd w:fill="FBF3E9"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E07C16"/>
                <w:sz w:val="22"/>
                <w:szCs w:val="22"/>
                <w:rtl/>
              </w:rPr>
              <w:t xml:space="preserve">↳ </w:t>
            </w:r>
            <w:r>
              <w:rPr>
                <w:rFonts w:ascii="Arial" w:cs="Arial" w:eastAsia="Arial" w:hAnsi="Arial"/>
                <w:color w:val="26262A"/>
                <w:sz w:val="20"/>
                <w:szCs w:val="20"/>
                <w:rtl/>
              </w:rPr>
              <w:t xml:space="preserve">يحسب ربحية كل صفقة قبل توقيعها ويحمي هامش البرنامج؛ صمّام الأمان الذي يمنع الصفقات الخاسرة.</w:t>
            </w:r>
          </w:p>
        </w:tc>
      </w:tr>
      <w:tr>
        <w:tc>
          <w:tcPr>
            <w:tcW w:type="dxa" w:w="3150"/>
            <w:shd w:fill="F3EFEA"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26262A"/>
                <w:sz w:val="20"/>
                <w:szCs w:val="20"/>
                <w:rtl/>
              </w:rPr>
              <w:t xml:space="preserve">مديرو حسابات التجار</w:t>
            </w:r>
          </w:p>
        </w:tc>
        <w:tc>
          <w:tcPr>
            <w:tcW w:type="dxa" w:w="6210"/>
            <w:shd w:fill="FBF3E9"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E07C16"/>
                <w:sz w:val="22"/>
                <w:szCs w:val="22"/>
                <w:rtl/>
              </w:rPr>
              <w:t xml:space="preserve">↳ </w:t>
            </w:r>
            <w:r>
              <w:rPr>
                <w:rFonts w:ascii="Arial" w:cs="Arial" w:eastAsia="Arial" w:hAnsi="Arial"/>
                <w:color w:val="26262A"/>
                <w:sz w:val="20"/>
                <w:szCs w:val="20"/>
                <w:rtl/>
              </w:rPr>
              <w:t xml:space="preserve">يتابعون التاجر بعد التوقيع (تفعيل وأداء وتجديد)؛ بدونهم يوقّع التاجر ثم يُهمَل فيتسرّب.</w:t>
            </w:r>
          </w:p>
        </w:tc>
      </w:tr>
      <w:tr>
        <w:tc>
          <w:tcPr>
            <w:tcW w:type="dxa" w:w="3150"/>
            <w:shd w:fill="F3EFEA"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26262A"/>
                <w:sz w:val="20"/>
                <w:szCs w:val="20"/>
                <w:rtl/>
              </w:rPr>
              <w:t xml:space="preserve">أخصائي تسويق الشراكات</w:t>
            </w:r>
          </w:p>
        </w:tc>
        <w:tc>
          <w:tcPr>
            <w:tcW w:type="dxa" w:w="6210"/>
            <w:shd w:fill="FBF3E9"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E07C16"/>
                <w:sz w:val="22"/>
                <w:szCs w:val="22"/>
                <w:rtl/>
              </w:rPr>
              <w:t xml:space="preserve">↳ </w:t>
            </w:r>
            <w:r>
              <w:rPr>
                <w:rFonts w:ascii="Arial" w:cs="Arial" w:eastAsia="Arial" w:hAnsi="Arial"/>
                <w:color w:val="26262A"/>
                <w:sz w:val="20"/>
                <w:szCs w:val="20"/>
                <w:rtl/>
              </w:rPr>
              <w:t xml:space="preserve">يصمّم العروض والحملات المشتركة؛ بدونه يوجد التجار دون أن يعرف عنهم العميل فينخفض الاستبدال.</w:t>
            </w:r>
          </w:p>
        </w:tc>
      </w:tr>
      <w:tr>
        <w:tc>
          <w:tcPr>
            <w:tcW w:type="dxa" w:w="3150"/>
            <w:shd w:fill="F3EFEA"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26262A"/>
                <w:sz w:val="20"/>
                <w:szCs w:val="20"/>
                <w:rtl/>
              </w:rPr>
              <w:t xml:space="preserve">منسّق عمليات التفعيل (Onboarding)</w:t>
            </w:r>
          </w:p>
        </w:tc>
        <w:tc>
          <w:tcPr>
            <w:tcW w:type="dxa" w:w="6210"/>
            <w:shd w:fill="FBF3E9"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E07C16"/>
                <w:sz w:val="22"/>
                <w:szCs w:val="22"/>
                <w:rtl/>
              </w:rPr>
              <w:t xml:space="preserve">↳ </w:t>
            </w:r>
            <w:r>
              <w:rPr>
                <w:rFonts w:ascii="Arial" w:cs="Arial" w:eastAsia="Arial" w:hAnsi="Arial"/>
                <w:color w:val="26262A"/>
                <w:sz w:val="20"/>
                <w:szCs w:val="20"/>
                <w:rtl/>
              </w:rPr>
              <w:t xml:space="preserve">يفعّل التاجر تقنياً وتشغيلياً ويحل عوائقه اليومية؛ بدونه فجوة بين «وقّعنا» و«اشتغل فعلاً».</w:t>
            </w:r>
          </w:p>
        </w:tc>
      </w:tr>
      <w:tr>
        <w:tc>
          <w:tcPr>
            <w:tcW w:type="dxa" w:w="3150"/>
            <w:shd w:fill="F3EFEA"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26262A"/>
                <w:sz w:val="20"/>
                <w:szCs w:val="20"/>
                <w:rtl/>
              </w:rPr>
              <w:t xml:space="preserve">مختص التسويات المالية</w:t>
            </w:r>
          </w:p>
        </w:tc>
        <w:tc>
          <w:tcPr>
            <w:tcW w:type="dxa" w:w="6210"/>
            <w:shd w:fill="FBF3E9"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E07C16"/>
                <w:sz w:val="22"/>
                <w:szCs w:val="22"/>
                <w:rtl/>
              </w:rPr>
              <w:t xml:space="preserve">↳ </w:t>
            </w:r>
            <w:r>
              <w:rPr>
                <w:rFonts w:ascii="Arial" w:cs="Arial" w:eastAsia="Arial" w:hAnsi="Arial"/>
                <w:color w:val="26262A"/>
                <w:sz w:val="20"/>
                <w:szCs w:val="20"/>
                <w:rtl/>
              </w:rPr>
              <w:t xml:space="preserve">يسوّي مستحقات التجار ويدير الرصيد المقدّم (Float)؛ بدونه فوضى مالية وخلافات على المستحقات.</w:t>
            </w:r>
          </w:p>
        </w:tc>
      </w:tr>
      <w:tr>
        <w:tc>
          <w:tcPr>
            <w:tcW w:type="dxa" w:w="3150"/>
            <w:shd w:fill="F3EFEA"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26262A"/>
                <w:sz w:val="20"/>
                <w:szCs w:val="20"/>
                <w:rtl/>
              </w:rPr>
              <w:t xml:space="preserve">دعم التكامل التقني</w:t>
            </w:r>
          </w:p>
        </w:tc>
        <w:tc>
          <w:tcPr>
            <w:tcW w:type="dxa" w:w="6210"/>
            <w:shd w:fill="FBF3E9"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E07C16"/>
                <w:sz w:val="22"/>
                <w:szCs w:val="22"/>
                <w:rtl/>
              </w:rPr>
              <w:t xml:space="preserve">↳ </w:t>
            </w:r>
            <w:r>
              <w:rPr>
                <w:rFonts w:ascii="Arial" w:cs="Arial" w:eastAsia="Arial" w:hAnsi="Arial"/>
                <w:color w:val="26262A"/>
                <w:sz w:val="20"/>
                <w:szCs w:val="20"/>
                <w:rtl/>
              </w:rPr>
              <w:t xml:space="preserve">يربط أنظمة التجار (POS/QR) بالبرنامج؛ بدونه لا يستطيع العميل الكسب أو الاستبدال لدى التاجر.</w:t>
            </w:r>
          </w:p>
        </w:tc>
      </w:tr>
    </w:tbl>
    <w:p>
      <w:pPr>
        <w:pStyle w:val="Heading1"/>
        <w:pBdr>
          <w:bottom w:val="single" w:color="E07C16" w:sz="12" w:space="4"/>
        </w:pBdr>
        <w:bidi/>
        <w:spacing w:after="130" w:before="300"/>
        <w:jc w:val="right"/>
      </w:pPr>
      <w:r>
        <w:rPr>
          <w:rFonts w:ascii="Arial" w:cs="Arial" w:eastAsia="Arial" w:hAnsi="Arial"/>
          <w:b/>
          <w:bCs/>
          <w:color w:val="E07C16"/>
          <w:sz w:val="26"/>
          <w:szCs w:val="26"/>
          <w:rtl/>
        </w:rPr>
        <w:t xml:space="preserve">٢.  </w:t>
      </w:r>
      <w:r>
        <w:rPr>
          <w:rFonts w:ascii="Arial" w:cs="Arial" w:eastAsia="Arial" w:hAnsi="Arial"/>
          <w:b/>
          <w:bCs/>
          <w:color w:val="26262A"/>
          <w:sz w:val="26"/>
          <w:szCs w:val="26"/>
          <w:rtl/>
        </w:rPr>
        <w:t xml:space="preserve">الأقسام والوظائف الداعمة</w:t>
      </w:r>
    </w:p>
    <w:tbl>
      <w:tblPr>
        <w:bidiVisual/>
        <w:tblW w:type="dxa" w:w="9360"/>
        <w:tblBorders>
          <w:top w:val="single" w:color="D9D7D3" w:sz="4"/>
          <w:left w:val="single" w:color="D9D7D3" w:sz="4"/>
          <w:bottom w:val="single" w:color="D9D7D3" w:sz="4"/>
          <w:right w:val="single" w:color="D9D7D3" w:sz="4"/>
          <w:insideH w:val="single" w:color="D9D7D3" w:sz="4"/>
          <w:insideV w:val="single" w:color="D9D7D3" w:sz="4"/>
        </w:tblBorders>
      </w:tblPr>
      <w:tblGrid>
        <w:gridCol w:w="3150"/>
        <w:gridCol w:w="6210"/>
      </w:tblGrid>
      <w:tr>
        <w:trPr>
          <w:tblHeader/>
        </w:trPr>
        <w:tc>
          <w:tcPr>
            <w:tcW w:type="dxa" w:w="3150"/>
            <w:shd w:fill="F3EFEA" w:color="auto" w:val="clear"/>
            <w:tcMar>
              <w:top w:type="dxa" w:w="70"/>
              <w:left w:type="dxa" w:w="100"/>
              <w:bottom w:type="dxa" w:w="70"/>
              <w:right w:type="dxa" w:w="100"/>
            </w:tcMar>
            <w:vAlign w:val="center"/>
          </w:tcPr>
          <w:p>
            <w:pPr>
              <w:bidi/>
              <w:spacing w:after="0" w:before="0" w:line="300"/>
              <w:jc w:val="right"/>
            </w:pPr>
            <w:r>
              <w:rPr>
                <w:rFonts w:ascii="Arial" w:cs="Arial" w:eastAsia="Arial" w:hAnsi="Arial"/>
                <w:b/>
                <w:bCs/>
                <w:color w:val="26262A"/>
                <w:sz w:val="21"/>
                <w:szCs w:val="21"/>
                <w:rtl/>
              </w:rPr>
              <w:t xml:space="preserve">الاحتياج</w:t>
            </w:r>
          </w:p>
        </w:tc>
        <w:tc>
          <w:tcPr>
            <w:tcW w:type="dxa" w:w="6210"/>
            <w:shd w:fill="F3EFEA" w:color="auto" w:val="clear"/>
            <w:tcMar>
              <w:top w:type="dxa" w:w="70"/>
              <w:left w:type="dxa" w:w="100"/>
              <w:bottom w:type="dxa" w:w="70"/>
              <w:right w:type="dxa" w:w="100"/>
            </w:tcMar>
            <w:vAlign w:val="center"/>
          </w:tcPr>
          <w:p>
            <w:pPr>
              <w:bidi/>
              <w:spacing w:after="0" w:before="0" w:line="300"/>
              <w:jc w:val="right"/>
            </w:pPr>
            <w:r>
              <w:rPr>
                <w:rFonts w:ascii="Arial" w:cs="Arial" w:eastAsia="Arial" w:hAnsi="Arial"/>
                <w:b/>
                <w:bCs/>
                <w:color w:val="26262A"/>
                <w:sz w:val="21"/>
                <w:szCs w:val="21"/>
                <w:rtl/>
              </w:rPr>
              <w:t xml:space="preserve">السبب</w:t>
            </w:r>
          </w:p>
        </w:tc>
      </w:tr>
      <w:tr>
        <w:tc>
          <w:tcPr>
            <w:tcW w:type="dxa" w:w="3150"/>
            <w:shd w:fill="F3EFEA"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26262A"/>
                <w:sz w:val="20"/>
                <w:szCs w:val="20"/>
                <w:rtl/>
              </w:rPr>
              <w:t xml:space="preserve">قسم الشراكات وتطوير الأعمال</w:t>
            </w:r>
          </w:p>
        </w:tc>
        <w:tc>
          <w:tcPr>
            <w:tcW w:type="dxa" w:w="6210"/>
            <w:shd w:fill="FBF3E9"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E07C16"/>
                <w:sz w:val="22"/>
                <w:szCs w:val="22"/>
                <w:rtl/>
              </w:rPr>
              <w:t xml:space="preserve">↳ </w:t>
            </w:r>
            <w:r>
              <w:rPr>
                <w:rFonts w:ascii="Arial" w:cs="Arial" w:eastAsia="Arial" w:hAnsi="Arial"/>
                <w:color w:val="26262A"/>
                <w:sz w:val="20"/>
                <w:szCs w:val="20"/>
                <w:rtl/>
              </w:rPr>
              <w:t xml:space="preserve">القسم المالك للملف؛ بدونه لا جهة مسؤولة عن نجاح الشراكات.</w:t>
            </w:r>
          </w:p>
        </w:tc>
      </w:tr>
      <w:tr>
        <w:tc>
          <w:tcPr>
            <w:tcW w:type="dxa" w:w="3150"/>
            <w:shd w:fill="F3EFEA"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26262A"/>
                <w:sz w:val="20"/>
                <w:szCs w:val="20"/>
                <w:rtl/>
              </w:rPr>
              <w:t xml:space="preserve">القانوني والعقود</w:t>
            </w:r>
          </w:p>
        </w:tc>
        <w:tc>
          <w:tcPr>
            <w:tcW w:type="dxa" w:w="6210"/>
            <w:shd w:fill="FBF3E9"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E07C16"/>
                <w:sz w:val="22"/>
                <w:szCs w:val="22"/>
                <w:rtl/>
              </w:rPr>
              <w:t xml:space="preserve">↳ </w:t>
            </w:r>
            <w:r>
              <w:rPr>
                <w:rFonts w:ascii="Arial" w:cs="Arial" w:eastAsia="Arial" w:hAnsi="Arial"/>
                <w:color w:val="26262A"/>
                <w:sz w:val="20"/>
                <w:szCs w:val="20"/>
                <w:rtl/>
              </w:rPr>
              <w:t xml:space="preserve">يصوغ ويحمي كل اتفاقية؛ بدونه تتعرّض درب لالتزامات ونزاعات غير محسوبة.</w:t>
            </w:r>
          </w:p>
        </w:tc>
      </w:tr>
      <w:tr>
        <w:tc>
          <w:tcPr>
            <w:tcW w:type="dxa" w:w="3150"/>
            <w:shd w:fill="F3EFEA"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26262A"/>
                <w:sz w:val="20"/>
                <w:szCs w:val="20"/>
                <w:rtl/>
              </w:rPr>
              <w:t xml:space="preserve">المالية</w:t>
            </w:r>
          </w:p>
        </w:tc>
        <w:tc>
          <w:tcPr>
            <w:tcW w:type="dxa" w:w="6210"/>
            <w:shd w:fill="FBF3E9"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E07C16"/>
                <w:sz w:val="22"/>
                <w:szCs w:val="22"/>
                <w:rtl/>
              </w:rPr>
              <w:t xml:space="preserve">↳ </w:t>
            </w:r>
            <w:r>
              <w:rPr>
                <w:rFonts w:ascii="Arial" w:cs="Arial" w:eastAsia="Arial" w:hAnsi="Arial"/>
                <w:color w:val="26262A"/>
                <w:sz w:val="20"/>
                <w:szCs w:val="20"/>
                <w:rtl/>
              </w:rPr>
              <w:t xml:space="preserve">تدير التسويات والرصيد المقدّم والفوترة والضريبة؛ بدونها يتحرّك المال دون ضبط.</w:t>
            </w:r>
          </w:p>
        </w:tc>
      </w:tr>
      <w:tr>
        <w:tc>
          <w:tcPr>
            <w:tcW w:type="dxa" w:w="3150"/>
            <w:shd w:fill="F3EFEA"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26262A"/>
                <w:sz w:val="20"/>
                <w:szCs w:val="20"/>
                <w:rtl/>
              </w:rPr>
              <w:t xml:space="preserve">التقنية والتكامل</w:t>
            </w:r>
          </w:p>
        </w:tc>
        <w:tc>
          <w:tcPr>
            <w:tcW w:type="dxa" w:w="6210"/>
            <w:shd w:fill="FBF3E9"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E07C16"/>
                <w:sz w:val="22"/>
                <w:szCs w:val="22"/>
                <w:rtl/>
              </w:rPr>
              <w:t xml:space="preserve">↳ </w:t>
            </w:r>
            <w:r>
              <w:rPr>
                <w:rFonts w:ascii="Arial" w:cs="Arial" w:eastAsia="Arial" w:hAnsi="Arial"/>
                <w:color w:val="26262A"/>
                <w:sz w:val="20"/>
                <w:szCs w:val="20"/>
                <w:rtl/>
              </w:rPr>
              <w:t xml:space="preserve">يبني الواجهات البرمجية ويربط المحفظة والمضخات؛ بدونه لا منتج قابل للتشغيل.</w:t>
            </w:r>
          </w:p>
        </w:tc>
      </w:tr>
      <w:tr>
        <w:tc>
          <w:tcPr>
            <w:tcW w:type="dxa" w:w="3150"/>
            <w:shd w:fill="F3EFEA"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26262A"/>
                <w:sz w:val="20"/>
                <w:szCs w:val="20"/>
                <w:rtl/>
              </w:rPr>
              <w:t xml:space="preserve">التسويق والاتصال</w:t>
            </w:r>
          </w:p>
        </w:tc>
        <w:tc>
          <w:tcPr>
            <w:tcW w:type="dxa" w:w="6210"/>
            <w:shd w:fill="FBF3E9"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E07C16"/>
                <w:sz w:val="22"/>
                <w:szCs w:val="22"/>
                <w:rtl/>
              </w:rPr>
              <w:t xml:space="preserve">↳ </w:t>
            </w:r>
            <w:r>
              <w:rPr>
                <w:rFonts w:ascii="Arial" w:cs="Arial" w:eastAsia="Arial" w:hAnsi="Arial"/>
                <w:color w:val="26262A"/>
                <w:sz w:val="20"/>
                <w:szCs w:val="20"/>
                <w:rtl/>
              </w:rPr>
              <w:t xml:space="preserve">يطلق البرنامج ويوصّل العروض للعميل والتاجر؛ بدونه يبقى أفضل برنامج مجهولاً.</w:t>
            </w:r>
          </w:p>
        </w:tc>
      </w:tr>
      <w:tr>
        <w:tc>
          <w:tcPr>
            <w:tcW w:type="dxa" w:w="3150"/>
            <w:shd w:fill="F3EFEA"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26262A"/>
                <w:sz w:val="20"/>
                <w:szCs w:val="20"/>
                <w:rtl/>
              </w:rPr>
              <w:t xml:space="preserve">الامتثال والمخاطر</w:t>
            </w:r>
            <w:r>
              <w:rPr>
                <w:rFonts w:ascii="Arial" w:cs="Arial" w:eastAsia="Arial" w:hAnsi="Arial"/>
                <w:b/>
                <w:bCs/>
                <w:color w:val="B23A34"/>
                <w:sz w:val="15"/>
                <w:szCs w:val="15"/>
                <w:rtl/>
              </w:rPr>
              <w:t xml:space="preserve">  [حرج]</w:t>
            </w:r>
          </w:p>
        </w:tc>
        <w:tc>
          <w:tcPr>
            <w:tcW w:type="dxa" w:w="6210"/>
            <w:shd w:fill="FBF3E9"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E07C16"/>
                <w:sz w:val="22"/>
                <w:szCs w:val="22"/>
                <w:rtl/>
              </w:rPr>
              <w:t xml:space="preserve">↳ </w:t>
            </w:r>
            <w:r>
              <w:rPr>
                <w:rFonts w:ascii="Arial" w:cs="Arial" w:eastAsia="Arial" w:hAnsi="Arial"/>
                <w:color w:val="26262A"/>
                <w:sz w:val="20"/>
                <w:szCs w:val="20"/>
                <w:rtl/>
              </w:rPr>
              <w:t xml:space="preserve">يضمن ترخيص ساما وحماية البيانات (PDPL) والالتزام الشرعي؛ بدونه لا ينطلق البرنامج قانونياً.</w:t>
            </w:r>
          </w:p>
        </w:tc>
      </w:tr>
      <w:tr>
        <w:tc>
          <w:tcPr>
            <w:tcW w:type="dxa" w:w="3150"/>
            <w:shd w:fill="F3EFEA"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26262A"/>
                <w:sz w:val="20"/>
                <w:szCs w:val="20"/>
                <w:rtl/>
              </w:rPr>
              <w:t xml:space="preserve">خدمة العملاء</w:t>
            </w:r>
          </w:p>
        </w:tc>
        <w:tc>
          <w:tcPr>
            <w:tcW w:type="dxa" w:w="6210"/>
            <w:shd w:fill="FBF3E9"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E07C16"/>
                <w:sz w:val="22"/>
                <w:szCs w:val="22"/>
                <w:rtl/>
              </w:rPr>
              <w:t xml:space="preserve">↳ </w:t>
            </w:r>
            <w:r>
              <w:rPr>
                <w:rFonts w:ascii="Arial" w:cs="Arial" w:eastAsia="Arial" w:hAnsi="Arial"/>
                <w:color w:val="26262A"/>
                <w:sz w:val="20"/>
                <w:szCs w:val="20"/>
                <w:rtl/>
              </w:rPr>
              <w:t xml:space="preserve">ترد على استفسارات النقاط والاستبدال؛ بدونها يقتل إحباط العميل الثقة بالبرنامج.</w:t>
            </w:r>
          </w:p>
        </w:tc>
      </w:tr>
      <w:tr>
        <w:tc>
          <w:tcPr>
            <w:tcW w:type="dxa" w:w="3150"/>
            <w:shd w:fill="F3EFEA"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26262A"/>
                <w:sz w:val="20"/>
                <w:szCs w:val="20"/>
                <w:rtl/>
              </w:rPr>
              <w:t xml:space="preserve">البيانات والتحليلات</w:t>
            </w:r>
          </w:p>
        </w:tc>
        <w:tc>
          <w:tcPr>
            <w:tcW w:type="dxa" w:w="6210"/>
            <w:shd w:fill="FBF3E9"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E07C16"/>
                <w:sz w:val="22"/>
                <w:szCs w:val="22"/>
                <w:rtl/>
              </w:rPr>
              <w:t xml:space="preserve">↳ </w:t>
            </w:r>
            <w:r>
              <w:rPr>
                <w:rFonts w:ascii="Arial" w:cs="Arial" w:eastAsia="Arial" w:hAnsi="Arial"/>
                <w:color w:val="26262A"/>
                <w:sz w:val="20"/>
                <w:szCs w:val="20"/>
                <w:rtl/>
              </w:rPr>
              <w:t xml:space="preserve">يقيس أداء الشركاء ومعدلات الكسب والحرق والاسترداد؛ بدونه تُقاد البرنامج دون مؤشرات.</w:t>
            </w:r>
          </w:p>
        </w:tc>
      </w:tr>
    </w:tbl>
    <w:p>
      <w:r>
        <w:br w:type="page"/>
      </w:r>
    </w:p>
    <w:p>
      <w:pPr>
        <w:pStyle w:val="Heading1"/>
        <w:pBdr>
          <w:bottom w:val="single" w:color="E07C16" w:sz="12" w:space="4"/>
        </w:pBdr>
        <w:bidi/>
        <w:spacing w:after="130" w:before="300"/>
        <w:jc w:val="right"/>
      </w:pPr>
      <w:r>
        <w:rPr>
          <w:rFonts w:ascii="Arial" w:cs="Arial" w:eastAsia="Arial" w:hAnsi="Arial"/>
          <w:b/>
          <w:bCs/>
          <w:color w:val="E07C16"/>
          <w:sz w:val="26"/>
          <w:szCs w:val="26"/>
          <w:rtl/>
        </w:rPr>
        <w:t xml:space="preserve">٣.  </w:t>
      </w:r>
      <w:r>
        <w:rPr>
          <w:rFonts w:ascii="Arial" w:cs="Arial" w:eastAsia="Arial" w:hAnsi="Arial"/>
          <w:b/>
          <w:bCs/>
          <w:color w:val="26262A"/>
          <w:sz w:val="26"/>
          <w:szCs w:val="26"/>
          <w:rtl/>
        </w:rPr>
        <w:t xml:space="preserve">التعاقدات والاتفاقيات</w:t>
      </w:r>
    </w:p>
    <w:tbl>
      <w:tblPr>
        <w:bidiVisual/>
        <w:tblW w:type="dxa" w:w="9360"/>
        <w:tblBorders>
          <w:top w:val="single" w:color="D9D7D3" w:sz="4"/>
          <w:left w:val="single" w:color="D9D7D3" w:sz="4"/>
          <w:bottom w:val="single" w:color="D9D7D3" w:sz="4"/>
          <w:right w:val="single" w:color="D9D7D3" w:sz="4"/>
          <w:insideH w:val="single" w:color="D9D7D3" w:sz="4"/>
          <w:insideV w:val="single" w:color="D9D7D3" w:sz="4"/>
        </w:tblBorders>
      </w:tblPr>
      <w:tblGrid>
        <w:gridCol w:w="3150"/>
        <w:gridCol w:w="6210"/>
      </w:tblGrid>
      <w:tr>
        <w:trPr>
          <w:tblHeader/>
        </w:trPr>
        <w:tc>
          <w:tcPr>
            <w:tcW w:type="dxa" w:w="3150"/>
            <w:shd w:fill="F3EFEA" w:color="auto" w:val="clear"/>
            <w:tcMar>
              <w:top w:type="dxa" w:w="70"/>
              <w:left w:type="dxa" w:w="100"/>
              <w:bottom w:type="dxa" w:w="70"/>
              <w:right w:type="dxa" w:w="100"/>
            </w:tcMar>
            <w:vAlign w:val="center"/>
          </w:tcPr>
          <w:p>
            <w:pPr>
              <w:bidi/>
              <w:spacing w:after="0" w:before="0" w:line="300"/>
              <w:jc w:val="right"/>
            </w:pPr>
            <w:r>
              <w:rPr>
                <w:rFonts w:ascii="Arial" w:cs="Arial" w:eastAsia="Arial" w:hAnsi="Arial"/>
                <w:b/>
                <w:bCs/>
                <w:color w:val="26262A"/>
                <w:sz w:val="21"/>
                <w:szCs w:val="21"/>
                <w:rtl/>
              </w:rPr>
              <w:t xml:space="preserve">الاحتياج</w:t>
            </w:r>
          </w:p>
        </w:tc>
        <w:tc>
          <w:tcPr>
            <w:tcW w:type="dxa" w:w="6210"/>
            <w:shd w:fill="F3EFEA" w:color="auto" w:val="clear"/>
            <w:tcMar>
              <w:top w:type="dxa" w:w="70"/>
              <w:left w:type="dxa" w:w="100"/>
              <w:bottom w:type="dxa" w:w="70"/>
              <w:right w:type="dxa" w:w="100"/>
            </w:tcMar>
            <w:vAlign w:val="center"/>
          </w:tcPr>
          <w:p>
            <w:pPr>
              <w:bidi/>
              <w:spacing w:after="0" w:before="0" w:line="300"/>
              <w:jc w:val="right"/>
            </w:pPr>
            <w:r>
              <w:rPr>
                <w:rFonts w:ascii="Arial" w:cs="Arial" w:eastAsia="Arial" w:hAnsi="Arial"/>
                <w:b/>
                <w:bCs/>
                <w:color w:val="26262A"/>
                <w:sz w:val="21"/>
                <w:szCs w:val="21"/>
                <w:rtl/>
              </w:rPr>
              <w:t xml:space="preserve">السبب</w:t>
            </w:r>
          </w:p>
        </w:tc>
      </w:tr>
      <w:tr>
        <w:tc>
          <w:tcPr>
            <w:tcW w:type="dxa" w:w="3150"/>
            <w:shd w:fill="F3EFEA"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26262A"/>
                <w:sz w:val="20"/>
                <w:szCs w:val="20"/>
                <w:rtl/>
              </w:rPr>
              <w:t xml:space="preserve">اتفاقية التاجر الرئيسية</w:t>
            </w:r>
          </w:p>
        </w:tc>
        <w:tc>
          <w:tcPr>
            <w:tcW w:type="dxa" w:w="6210"/>
            <w:shd w:fill="FBF3E9"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E07C16"/>
                <w:sz w:val="22"/>
                <w:szCs w:val="22"/>
                <w:rtl/>
              </w:rPr>
              <w:t xml:space="preserve">↳ </w:t>
            </w:r>
            <w:r>
              <w:rPr>
                <w:rFonts w:ascii="Arial" w:cs="Arial" w:eastAsia="Arial" w:hAnsi="Arial"/>
                <w:color w:val="26262A"/>
                <w:sz w:val="20"/>
                <w:szCs w:val="20"/>
                <w:rtl/>
              </w:rPr>
              <w:t xml:space="preserve">تحدّد نسب الكسب والحرق والرسوم والتسويات والالتزامات؛ بدونها كل تاجر بلا مرجع ملزم.</w:t>
            </w:r>
          </w:p>
        </w:tc>
      </w:tr>
      <w:tr>
        <w:tc>
          <w:tcPr>
            <w:tcW w:type="dxa" w:w="3150"/>
            <w:shd w:fill="F3EFEA"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26262A"/>
                <w:sz w:val="20"/>
                <w:szCs w:val="20"/>
                <w:rtl/>
              </w:rPr>
              <w:t xml:space="preserve">اتفاقية شبكة الاستبدال (Gift Card API)</w:t>
            </w:r>
          </w:p>
        </w:tc>
        <w:tc>
          <w:tcPr>
            <w:tcW w:type="dxa" w:w="6210"/>
            <w:shd w:fill="FBF3E9"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E07C16"/>
                <w:sz w:val="22"/>
                <w:szCs w:val="22"/>
                <w:rtl/>
              </w:rPr>
              <w:t xml:space="preserve">↳ </w:t>
            </w:r>
            <w:r>
              <w:rPr>
                <w:rFonts w:ascii="Arial" w:cs="Arial" w:eastAsia="Arial" w:hAnsi="Arial"/>
                <w:color w:val="26262A"/>
                <w:sz w:val="20"/>
                <w:szCs w:val="20"/>
                <w:rtl/>
              </w:rPr>
              <w:t xml:space="preserve">تؤمّن كتالوج الاستبدال مع بقاء البيانات لدى درب؛ بدونها لا قناة استبدال جاهزة.</w:t>
            </w:r>
          </w:p>
        </w:tc>
      </w:tr>
      <w:tr>
        <w:tc>
          <w:tcPr>
            <w:tcW w:type="dxa" w:w="3150"/>
            <w:shd w:fill="F3EFEA"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26262A"/>
                <w:sz w:val="20"/>
                <w:szCs w:val="20"/>
                <w:rtl/>
              </w:rPr>
              <w:t xml:space="preserve">اتفاقية شريك المحفظة المرخّص</w:t>
            </w:r>
          </w:p>
        </w:tc>
        <w:tc>
          <w:tcPr>
            <w:tcW w:type="dxa" w:w="6210"/>
            <w:shd w:fill="FBF3E9"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E07C16"/>
                <w:sz w:val="22"/>
                <w:szCs w:val="22"/>
                <w:rtl/>
              </w:rPr>
              <w:t xml:space="preserve">↳ </w:t>
            </w:r>
            <w:r>
              <w:rPr>
                <w:rFonts w:ascii="Arial" w:cs="Arial" w:eastAsia="Arial" w:hAnsi="Arial"/>
                <w:color w:val="26262A"/>
                <w:sz w:val="20"/>
                <w:szCs w:val="20"/>
                <w:rtl/>
              </w:rPr>
              <w:t xml:space="preserve">تتيح تشغيل المحفظة قانونياً دون ترخيص ساما من الصفر؛ بدونها لا محفظة نقدية نظامية.</w:t>
            </w:r>
          </w:p>
        </w:tc>
      </w:tr>
      <w:tr>
        <w:tc>
          <w:tcPr>
            <w:tcW w:type="dxa" w:w="3150"/>
            <w:shd w:fill="F3EFEA"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26262A"/>
                <w:sz w:val="20"/>
                <w:szCs w:val="20"/>
                <w:rtl/>
              </w:rPr>
              <w:t xml:space="preserve">اتفاقية بوابة/معالج الدفع</w:t>
            </w:r>
          </w:p>
        </w:tc>
        <w:tc>
          <w:tcPr>
            <w:tcW w:type="dxa" w:w="6210"/>
            <w:shd w:fill="FBF3E9"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E07C16"/>
                <w:sz w:val="22"/>
                <w:szCs w:val="22"/>
                <w:rtl/>
              </w:rPr>
              <w:t xml:space="preserve">↳ </w:t>
            </w:r>
            <w:r>
              <w:rPr>
                <w:rFonts w:ascii="Arial" w:cs="Arial" w:eastAsia="Arial" w:hAnsi="Arial"/>
                <w:color w:val="26262A"/>
                <w:sz w:val="20"/>
                <w:szCs w:val="20"/>
                <w:rtl/>
              </w:rPr>
              <w:t xml:space="preserve">تمكّن شحن المحفظة عبر مدى/فيزا؛ بدونها لا يستطيع العميل شحن رصيده.</w:t>
            </w:r>
          </w:p>
        </w:tc>
      </w:tr>
      <w:tr>
        <w:tc>
          <w:tcPr>
            <w:tcW w:type="dxa" w:w="3150"/>
            <w:shd w:fill="F3EFEA"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26262A"/>
                <w:sz w:val="20"/>
                <w:szCs w:val="20"/>
                <w:rtl/>
              </w:rPr>
              <w:t xml:space="preserve">اتفاقية مستوى الخدمة (SLA)</w:t>
            </w:r>
          </w:p>
        </w:tc>
        <w:tc>
          <w:tcPr>
            <w:tcW w:type="dxa" w:w="6210"/>
            <w:shd w:fill="FBF3E9"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E07C16"/>
                <w:sz w:val="22"/>
                <w:szCs w:val="22"/>
                <w:rtl/>
              </w:rPr>
              <w:t xml:space="preserve">↳ </w:t>
            </w:r>
            <w:r>
              <w:rPr>
                <w:rFonts w:ascii="Arial" w:cs="Arial" w:eastAsia="Arial" w:hAnsi="Arial"/>
                <w:color w:val="26262A"/>
                <w:sz w:val="20"/>
                <w:szCs w:val="20"/>
                <w:rtl/>
              </w:rPr>
              <w:t xml:space="preserve">تضمن توفّر واستجابة الشركاء التقنيين؛ بدونها تبقى الأعطال دون التزام بالإصلاح.</w:t>
            </w:r>
          </w:p>
        </w:tc>
      </w:tr>
      <w:tr>
        <w:tc>
          <w:tcPr>
            <w:tcW w:type="dxa" w:w="3150"/>
            <w:shd w:fill="F3EFEA"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26262A"/>
                <w:sz w:val="20"/>
                <w:szCs w:val="20"/>
                <w:rtl/>
              </w:rPr>
              <w:t xml:space="preserve">اتفاقية معالجة البيانات (DPA)</w:t>
            </w:r>
          </w:p>
        </w:tc>
        <w:tc>
          <w:tcPr>
            <w:tcW w:type="dxa" w:w="6210"/>
            <w:shd w:fill="FBF3E9"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E07C16"/>
                <w:sz w:val="22"/>
                <w:szCs w:val="22"/>
                <w:rtl/>
              </w:rPr>
              <w:t xml:space="preserve">↳ </w:t>
            </w:r>
            <w:r>
              <w:rPr>
                <w:rFonts w:ascii="Arial" w:cs="Arial" w:eastAsia="Arial" w:hAnsi="Arial"/>
                <w:color w:val="26262A"/>
                <w:sz w:val="20"/>
                <w:szCs w:val="20"/>
                <w:rtl/>
              </w:rPr>
              <w:t xml:space="preserve">تحمي بيانات العملاء وفق نظام PDPL مع كل شريك؛ بدونها مخالفة نظامية ومخاطر تسريب.</w:t>
            </w:r>
          </w:p>
        </w:tc>
      </w:tr>
      <w:tr>
        <w:tc>
          <w:tcPr>
            <w:tcW w:type="dxa" w:w="3150"/>
            <w:shd w:fill="F3EFEA"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26262A"/>
                <w:sz w:val="20"/>
                <w:szCs w:val="20"/>
                <w:rtl/>
              </w:rPr>
              <w:t xml:space="preserve">اتفاقية عدم الإفصاح (NDA)</w:t>
            </w:r>
          </w:p>
        </w:tc>
        <w:tc>
          <w:tcPr>
            <w:tcW w:type="dxa" w:w="6210"/>
            <w:shd w:fill="FBF3E9"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E07C16"/>
                <w:sz w:val="22"/>
                <w:szCs w:val="22"/>
                <w:rtl/>
              </w:rPr>
              <w:t xml:space="preserve">↳ </w:t>
            </w:r>
            <w:r>
              <w:rPr>
                <w:rFonts w:ascii="Arial" w:cs="Arial" w:eastAsia="Arial" w:hAnsi="Arial"/>
                <w:color w:val="26262A"/>
                <w:sz w:val="20"/>
                <w:szCs w:val="20"/>
                <w:rtl/>
              </w:rPr>
              <w:t xml:space="preserve">تحمي أسرار درب التجارية أثناء التفاوض؛ بدونها تنكشف المعلومات الحساسة.</w:t>
            </w:r>
          </w:p>
        </w:tc>
      </w:tr>
      <w:tr>
        <w:tc>
          <w:tcPr>
            <w:tcW w:type="dxa" w:w="3150"/>
            <w:shd w:fill="F3EFEA"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26262A"/>
                <w:sz w:val="20"/>
                <w:szCs w:val="20"/>
                <w:rtl/>
              </w:rPr>
              <w:t xml:space="preserve">اتفاقية التمويل المشترك (Co-funding)</w:t>
            </w:r>
          </w:p>
        </w:tc>
        <w:tc>
          <w:tcPr>
            <w:tcW w:type="dxa" w:w="6210"/>
            <w:shd w:fill="FBF3E9"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E07C16"/>
                <w:sz w:val="22"/>
                <w:szCs w:val="22"/>
                <w:rtl/>
              </w:rPr>
              <w:t xml:space="preserve">↳ </w:t>
            </w:r>
            <w:r>
              <w:rPr>
                <w:rFonts w:ascii="Arial" w:cs="Arial" w:eastAsia="Arial" w:hAnsi="Arial"/>
                <w:color w:val="26262A"/>
                <w:sz w:val="20"/>
                <w:szCs w:val="20"/>
                <w:rtl/>
              </w:rPr>
              <w:t xml:space="preserve">تنظّم تقاسم تكلفة العروض مع التاجر؛ بدونها خلاف على من يتحمّل تكلفة كل حملة.</w:t>
            </w:r>
          </w:p>
        </w:tc>
      </w:tr>
      <w:tr>
        <w:tc>
          <w:tcPr>
            <w:tcW w:type="dxa" w:w="3150"/>
            <w:shd w:fill="F3EFEA"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26262A"/>
                <w:sz w:val="20"/>
                <w:szCs w:val="20"/>
                <w:rtl/>
              </w:rPr>
              <w:t xml:space="preserve">الموافقة التنظيمية + الفتوى الشرعية</w:t>
            </w:r>
          </w:p>
        </w:tc>
        <w:tc>
          <w:tcPr>
            <w:tcW w:type="dxa" w:w="6210"/>
            <w:shd w:fill="FBF3E9"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E07C16"/>
                <w:sz w:val="22"/>
                <w:szCs w:val="22"/>
                <w:rtl/>
              </w:rPr>
              <w:t xml:space="preserve">↳ </w:t>
            </w:r>
            <w:r>
              <w:rPr>
                <w:rFonts w:ascii="Arial" w:cs="Arial" w:eastAsia="Arial" w:hAnsi="Arial"/>
                <w:color w:val="26262A"/>
                <w:sz w:val="20"/>
                <w:szCs w:val="20"/>
                <w:rtl/>
              </w:rPr>
              <w:t xml:space="preserve">ترخّص المحفظة وتجيز النموذج شرعياً؛ بدونها يتعطّل البرنامج قانونياً وشرعياً.</w:t>
            </w:r>
          </w:p>
        </w:tc>
      </w:tr>
    </w:tbl>
    <w:p>
      <w:pPr>
        <w:pStyle w:val="Heading1"/>
        <w:pBdr>
          <w:bottom w:val="single" w:color="E07C16" w:sz="12" w:space="4"/>
        </w:pBdr>
        <w:bidi/>
        <w:spacing w:after="130" w:before="300"/>
        <w:jc w:val="right"/>
      </w:pPr>
      <w:r>
        <w:rPr>
          <w:rFonts w:ascii="Arial" w:cs="Arial" w:eastAsia="Arial" w:hAnsi="Arial"/>
          <w:b/>
          <w:bCs/>
          <w:color w:val="E07C16"/>
          <w:sz w:val="26"/>
          <w:szCs w:val="26"/>
          <w:rtl/>
        </w:rPr>
        <w:t xml:space="preserve">٤.  </w:t>
      </w:r>
      <w:r>
        <w:rPr>
          <w:rFonts w:ascii="Arial" w:cs="Arial" w:eastAsia="Arial" w:hAnsi="Arial"/>
          <w:b/>
          <w:bCs/>
          <w:color w:val="26262A"/>
          <w:sz w:val="26"/>
          <w:szCs w:val="26"/>
          <w:rtl/>
        </w:rPr>
        <w:t xml:space="preserve">الأنظمة والممكّنات</w:t>
      </w:r>
    </w:p>
    <w:tbl>
      <w:tblPr>
        <w:bidiVisual/>
        <w:tblW w:type="dxa" w:w="9360"/>
        <w:tblBorders>
          <w:top w:val="single" w:color="D9D7D3" w:sz="4"/>
          <w:left w:val="single" w:color="D9D7D3" w:sz="4"/>
          <w:bottom w:val="single" w:color="D9D7D3" w:sz="4"/>
          <w:right w:val="single" w:color="D9D7D3" w:sz="4"/>
          <w:insideH w:val="single" w:color="D9D7D3" w:sz="4"/>
          <w:insideV w:val="single" w:color="D9D7D3" w:sz="4"/>
        </w:tblBorders>
      </w:tblPr>
      <w:tblGrid>
        <w:gridCol w:w="3150"/>
        <w:gridCol w:w="6210"/>
      </w:tblGrid>
      <w:tr>
        <w:trPr>
          <w:tblHeader/>
        </w:trPr>
        <w:tc>
          <w:tcPr>
            <w:tcW w:type="dxa" w:w="3150"/>
            <w:shd w:fill="F3EFEA" w:color="auto" w:val="clear"/>
            <w:tcMar>
              <w:top w:type="dxa" w:w="70"/>
              <w:left w:type="dxa" w:w="100"/>
              <w:bottom w:type="dxa" w:w="70"/>
              <w:right w:type="dxa" w:w="100"/>
            </w:tcMar>
            <w:vAlign w:val="center"/>
          </w:tcPr>
          <w:p>
            <w:pPr>
              <w:bidi/>
              <w:spacing w:after="0" w:before="0" w:line="300"/>
              <w:jc w:val="right"/>
            </w:pPr>
            <w:r>
              <w:rPr>
                <w:rFonts w:ascii="Arial" w:cs="Arial" w:eastAsia="Arial" w:hAnsi="Arial"/>
                <w:b/>
                <w:bCs/>
                <w:color w:val="26262A"/>
                <w:sz w:val="21"/>
                <w:szCs w:val="21"/>
                <w:rtl/>
              </w:rPr>
              <w:t xml:space="preserve">الاحتياج</w:t>
            </w:r>
          </w:p>
        </w:tc>
        <w:tc>
          <w:tcPr>
            <w:tcW w:type="dxa" w:w="6210"/>
            <w:shd w:fill="F3EFEA" w:color="auto" w:val="clear"/>
            <w:tcMar>
              <w:top w:type="dxa" w:w="70"/>
              <w:left w:type="dxa" w:w="100"/>
              <w:bottom w:type="dxa" w:w="70"/>
              <w:right w:type="dxa" w:w="100"/>
            </w:tcMar>
            <w:vAlign w:val="center"/>
          </w:tcPr>
          <w:p>
            <w:pPr>
              <w:bidi/>
              <w:spacing w:after="0" w:before="0" w:line="300"/>
              <w:jc w:val="right"/>
            </w:pPr>
            <w:r>
              <w:rPr>
                <w:rFonts w:ascii="Arial" w:cs="Arial" w:eastAsia="Arial" w:hAnsi="Arial"/>
                <w:b/>
                <w:bCs/>
                <w:color w:val="26262A"/>
                <w:sz w:val="21"/>
                <w:szCs w:val="21"/>
                <w:rtl/>
              </w:rPr>
              <w:t xml:space="preserve">السبب</w:t>
            </w:r>
          </w:p>
        </w:tc>
      </w:tr>
      <w:tr>
        <w:tc>
          <w:tcPr>
            <w:tcW w:type="dxa" w:w="3150"/>
            <w:shd w:fill="F3EFEA"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26262A"/>
                <w:sz w:val="20"/>
                <w:szCs w:val="20"/>
                <w:rtl/>
              </w:rPr>
              <w:t xml:space="preserve">نظام إدارة التجار + حاسبة الكسب/الحرق</w:t>
            </w:r>
            <w:r>
              <w:rPr>
                <w:rFonts w:ascii="Arial" w:cs="Arial" w:eastAsia="Arial" w:hAnsi="Arial"/>
                <w:b/>
                <w:bCs/>
                <w:color w:val="1E7E45"/>
                <w:sz w:val="15"/>
                <w:szCs w:val="15"/>
                <w:rtl/>
              </w:rPr>
              <w:t xml:space="preserve">  [جاهز]</w:t>
            </w:r>
          </w:p>
        </w:tc>
        <w:tc>
          <w:tcPr>
            <w:tcW w:type="dxa" w:w="6210"/>
            <w:shd w:fill="FBF3E9"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E07C16"/>
                <w:sz w:val="22"/>
                <w:szCs w:val="22"/>
                <w:rtl/>
              </w:rPr>
              <w:t xml:space="preserve">↳ </w:t>
            </w:r>
            <w:r>
              <w:rPr>
                <w:rFonts w:ascii="Arial" w:cs="Arial" w:eastAsia="Arial" w:hAnsi="Arial"/>
                <w:color w:val="26262A"/>
                <w:sz w:val="20"/>
                <w:szCs w:val="20"/>
                <w:rtl/>
              </w:rPr>
              <w:t xml:space="preserve">لتوثيق كل تاجر وحساب ربحيته؛ بدونه يجري التفاوض دون أداة. (مبنيّ بالفعل في تطبيق تانكي.)</w:t>
            </w:r>
          </w:p>
        </w:tc>
      </w:tr>
      <w:tr>
        <w:tc>
          <w:tcPr>
            <w:tcW w:type="dxa" w:w="3150"/>
            <w:shd w:fill="F3EFEA"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26262A"/>
                <w:sz w:val="20"/>
                <w:szCs w:val="20"/>
                <w:rtl/>
              </w:rPr>
              <w:t xml:space="preserve">آلية الرصيد المقدّم / الضمان (Escrow)</w:t>
            </w:r>
          </w:p>
        </w:tc>
        <w:tc>
          <w:tcPr>
            <w:tcW w:type="dxa" w:w="6210"/>
            <w:shd w:fill="FBF3E9"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E07C16"/>
                <w:sz w:val="22"/>
                <w:szCs w:val="22"/>
                <w:rtl/>
              </w:rPr>
              <w:t xml:space="preserve">↳ </w:t>
            </w:r>
            <w:r>
              <w:rPr>
                <w:rFonts w:ascii="Arial" w:cs="Arial" w:eastAsia="Arial" w:hAnsi="Arial"/>
                <w:color w:val="26262A"/>
                <w:sz w:val="20"/>
                <w:szCs w:val="20"/>
                <w:rtl/>
              </w:rPr>
              <w:t xml:space="preserve">لتغطية قيمة القسائم وضمان مبدأ «النظام لا يخسر»؛ بدونها مخاطرة مالية مباشرة.</w:t>
            </w:r>
          </w:p>
        </w:tc>
      </w:tr>
      <w:tr>
        <w:tc>
          <w:tcPr>
            <w:tcW w:type="dxa" w:w="3150"/>
            <w:shd w:fill="F3EFEA"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26262A"/>
                <w:sz w:val="20"/>
                <w:szCs w:val="20"/>
                <w:rtl/>
              </w:rPr>
              <w:t xml:space="preserve">لوحة مؤشرات الأداء (KPIs)</w:t>
            </w:r>
          </w:p>
        </w:tc>
        <w:tc>
          <w:tcPr>
            <w:tcW w:type="dxa" w:w="6210"/>
            <w:shd w:fill="FBF3E9"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E07C16"/>
                <w:sz w:val="22"/>
                <w:szCs w:val="22"/>
                <w:rtl/>
              </w:rPr>
              <w:t xml:space="preserve">↳ </w:t>
            </w:r>
            <w:r>
              <w:rPr>
                <w:rFonts w:ascii="Arial" w:cs="Arial" w:eastAsia="Arial" w:hAnsi="Arial"/>
                <w:color w:val="26262A"/>
                <w:sz w:val="20"/>
                <w:szCs w:val="20"/>
                <w:rtl/>
              </w:rPr>
              <w:t xml:space="preserve">لمتابعة عدد التجار والتفعيل والاسترداد وتكلفة الاكتساب؛ بدونها لا يُعرف مسار النجاح.</w:t>
            </w:r>
          </w:p>
        </w:tc>
      </w:tr>
      <w:tr>
        <w:tc>
          <w:tcPr>
            <w:tcW w:type="dxa" w:w="3150"/>
            <w:shd w:fill="F3EFEA"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26262A"/>
                <w:sz w:val="20"/>
                <w:szCs w:val="20"/>
                <w:rtl/>
              </w:rPr>
              <w:t xml:space="preserve">قناة تواصل مع التجار</w:t>
            </w:r>
          </w:p>
        </w:tc>
        <w:tc>
          <w:tcPr>
            <w:tcW w:type="dxa" w:w="6210"/>
            <w:shd w:fill="FBF3E9" w:color="auto" w:val="clear"/>
            <w:tcMar>
              <w:top w:type="dxa" w:w="80"/>
              <w:left w:type="dxa" w:w="100"/>
              <w:bottom w:type="dxa" w:w="80"/>
              <w:right w:type="dxa" w:w="100"/>
            </w:tcMar>
            <w:vAlign w:val="center"/>
          </w:tcPr>
          <w:p>
            <w:pPr>
              <w:bidi/>
              <w:spacing w:after="0" w:before="0" w:line="270"/>
              <w:jc w:val="right"/>
            </w:pPr>
            <w:r>
              <w:rPr>
                <w:rFonts w:ascii="Arial" w:cs="Arial" w:eastAsia="Arial" w:hAnsi="Arial"/>
                <w:b/>
                <w:bCs/>
                <w:color w:val="E07C16"/>
                <w:sz w:val="22"/>
                <w:szCs w:val="22"/>
                <w:rtl/>
              </w:rPr>
              <w:t xml:space="preserve">↳ </w:t>
            </w:r>
            <w:r>
              <w:rPr>
                <w:rFonts w:ascii="Arial" w:cs="Arial" w:eastAsia="Arial" w:hAnsi="Arial"/>
                <w:color w:val="26262A"/>
                <w:sz w:val="20"/>
                <w:szCs w:val="20"/>
                <w:rtl/>
              </w:rPr>
              <w:t xml:space="preserve">لإدارة العلاقة والعروض والتحديثات؛ بدونها يشعر الشركاء بالإهمال.</w:t>
            </w:r>
          </w:p>
        </w:tc>
      </w:tr>
    </w:tbl>
    <w:p>
      <w:pPr>
        <w:pBdr>
          <w:top w:val="single" w:color="D9D7D3" w:sz="4" w:space="6"/>
          <w:left w:val="single" w:color="E07C16" w:sz="18" w:space="8"/>
        </w:pBdr>
        <w:shd w:fill="FBF3E9" w:color="auto" w:val="clear"/>
        <w:bidi/>
        <w:spacing w:after="120" w:before="260" w:line="300"/>
        <w:jc w:val="right"/>
      </w:pPr>
      <w:r>
        <w:rPr>
          <w:rFonts w:ascii="Arial" w:cs="Arial" w:eastAsia="Arial" w:hAnsi="Arial"/>
          <w:b/>
          <w:bCs/>
          <w:color w:val="E07C16"/>
          <w:sz w:val="22"/>
          <w:szCs w:val="22"/>
          <w:rtl/>
        </w:rPr>
        <w:t xml:space="preserve">الخلاصة:  </w:t>
      </w:r>
      <w:r>
        <w:rPr>
          <w:rFonts w:ascii="Arial" w:cs="Arial" w:eastAsia="Arial" w:hAnsi="Arial"/>
          <w:color w:val="26262A"/>
          <w:sz w:val="22"/>
          <w:szCs w:val="22"/>
          <w:rtl/>
        </w:rPr>
        <w:t xml:space="preserve">ينجح ملف الشراكات باكتمال أربع ركائز متوازية — فريق متخصّص يقوده مدير الشراكات ومحلل تجاري، وأقسام داعمة أحرجها الامتثال والمخاطر، وحزمة عقود أهمها اتفاقية التاجر وشريك المحفظة المرخّص، وأنظمة تشغيل جوهرها جاهز في تطبيق تانكي. غياب أي ركيزة يُضعف الملف بأكمله.</w:t>
      </w:r>
    </w:p>
    <w:p>
      <w:pPr>
        <w:bidi/>
        <w:spacing w:after="120" w:before="220" w:line="300"/>
        <w:jc w:val="center"/>
      </w:pPr>
      <w:r>
        <w:rPr>
          <w:rFonts w:ascii="Arial" w:cs="Arial" w:eastAsia="Arial" w:hAnsi="Arial"/>
          <w:i/>
          <w:iCs/>
          <w:color w:val="6D6E70"/>
          <w:sz w:val="18"/>
          <w:szCs w:val="18"/>
          <w:rtl/>
        </w:rPr>
        <w:t xml:space="preserve">وثيقة داخلية للمناقشة التنفيذية — تُعرض الميزانيات والجداول الزمنية في وثائق منفصلة.</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2626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احتياجات ملف الشراكات - تانكي</dc:title>
  <dc:creator>Darb</dc:creator>
  <cp:lastModifiedBy>Un-named</cp:lastModifiedBy>
  <cp:revision>1</cp:revision>
  <dcterms:created xsi:type="dcterms:W3CDTF">2026-07-23T11:27:34.997Z</dcterms:created>
  <dcterms:modified xsi:type="dcterms:W3CDTF">2026-07-23T11:27:35.010Z</dcterms:modified>
</cp:coreProperties>
</file>

<file path=docProps/custom.xml><?xml version="1.0" encoding="utf-8"?>
<Properties xmlns="http://schemas.openxmlformats.org/officeDocument/2006/custom-properties" xmlns:vt="http://schemas.openxmlformats.org/officeDocument/2006/docPropsVTypes"/>
</file>