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1400"/>
        <w:jc w:val="center"/>
      </w:pPr>
      <w:r>
        <w:rPr>
          <w:rFonts w:ascii="Arial" w:cs="Arial" w:eastAsia="Arial" w:hAnsi="Arial"/>
          <w:b/>
          <w:bCs/>
          <w:color w:val="6D6E70"/>
          <w:sz w:val="30"/>
          <w:szCs w:val="30"/>
          <w:rtl/>
        </w:rPr>
        <w:t xml:space="preserve">درب لخدمات المحطات</w:t>
      </w:r>
    </w:p>
    <w:p>
      <w:pPr>
        <w:bidi/>
        <w:spacing w:after="40" w:before="80"/>
        <w:jc w:val="center"/>
      </w:pPr>
      <w:r>
        <w:rPr>
          <w:rFonts w:ascii="Arial" w:cs="Arial" w:eastAsia="Arial" w:hAnsi="Arial"/>
          <w:b/>
          <w:bCs/>
          <w:color w:val="E07C16"/>
          <w:sz w:val="24"/>
          <w:szCs w:val="24"/>
          <w:rtl/>
        </w:rPr>
        <w:t xml:space="preserve">برنامج تانكي للولاء</w:t>
      </w:r>
    </w:p>
    <w:p>
      <w:pPr>
        <w:pBdr>
          <w:bottom w:val="single" w:color="E07C16" w:sz="18" w:space="10"/>
        </w:pBdr>
        <w:spacing w:after="0" w:before="320"/>
        <w:jc w:val="center"/>
      </w:pPr>
    </w:p>
    <w:p>
      <w:pPr>
        <w:bidi/>
        <w:spacing w:after="0" w:before="420"/>
        <w:jc w:val="center"/>
      </w:pPr>
      <w:r>
        <w:rPr>
          <w:rFonts w:ascii="Arial" w:cs="Arial" w:eastAsia="Arial" w:hAnsi="Arial"/>
          <w:b/>
          <w:bCs/>
          <w:color w:val="26262A"/>
          <w:sz w:val="40"/>
          <w:szCs w:val="40"/>
          <w:rtl/>
        </w:rPr>
        <w:t xml:space="preserve">تقرير استراتيجي للإدارة التنفيذية</w:t>
      </w:r>
    </w:p>
    <w:p>
      <w:pPr>
        <w:bidi/>
        <w:spacing w:after="0" w:before="160"/>
        <w:jc w:val="center"/>
      </w:pPr>
      <w:r>
        <w:rPr>
          <w:rFonts w:ascii="Arial" w:cs="Arial" w:eastAsia="Arial" w:hAnsi="Arial"/>
          <w:color w:val="6D6E70"/>
          <w:sz w:val="26"/>
          <w:szCs w:val="26"/>
          <w:rtl/>
        </w:rPr>
        <w:t xml:space="preserve">تقييم عرض شركة ديسكوير والتوصية بمسار التنفيذ</w:t>
      </w:r>
    </w:p>
    <w:p>
      <w:pPr>
        <w:spacing w:before="900"/>
      </w:pPr>
    </w:p>
    <w:tbl>
      <w:tblPr>
        <w:bidiVisual/>
        <w:tblW w:type="dxa" w:w="6600"/>
        <w:jc w:val="center"/>
        <w:tblBorders>
          <w:top w:val="none"/>
          <w:left w:val="none"/>
          <w:bottom w:val="none"/>
          <w:right w:val="none"/>
          <w:insideH w:val="single" w:color="D9D7D3" w:sz="4"/>
          <w:insideV w:val="none"/>
        </w:tblBorders>
      </w:tblPr>
      <w:tblGrid>
        <w:gridCol w:w="2000"/>
        <w:gridCol w:w="4600"/>
      </w:tblGrid>
      <w:tr>
        <w:tc>
          <w:tcPr>
            <w:tcW w:type="dxa" w:w="2000"/>
            <w:tcMar>
              <w:top w:type="dxa" w:w="70"/>
              <w:left w:type="dxa" w:w="90"/>
              <w:bottom w:type="dxa" w:w="70"/>
              <w:right w:type="dxa" w:w="90"/>
            </w:tcMar>
            <w:vAlign w:val="center"/>
          </w:tcPr>
          <w:p>
            <w:pPr>
              <w:bidi/>
              <w:spacing w:after="0" w:before="0" w:line="300"/>
              <w:jc w:val="right"/>
            </w:pPr>
            <w:r>
              <w:rPr>
                <w:rFonts w:ascii="Arial" w:cs="Arial" w:eastAsia="Arial" w:hAnsi="Arial"/>
                <w:b/>
                <w:bCs/>
                <w:color w:val="E07C16"/>
                <w:sz w:val="20"/>
                <w:szCs w:val="20"/>
                <w:rtl/>
              </w:rPr>
              <w:t xml:space="preserve">مقدَّم إلى</w:t>
            </w:r>
          </w:p>
        </w:tc>
        <w:tc>
          <w:tcPr>
            <w:tcW w:type="dxa" w:w="4600"/>
            <w:tcMar>
              <w:top w:type="dxa" w:w="70"/>
              <w:left w:type="dxa" w:w="90"/>
              <w:bottom w:type="dxa" w:w="70"/>
              <w:right w:type="dxa" w:w="90"/>
            </w:tcMar>
            <w:vAlign w:val="center"/>
          </w:tcPr>
          <w:p>
            <w:pPr>
              <w:bidi/>
              <w:spacing w:after="0" w:before="0" w:line="300"/>
              <w:jc w:val="right"/>
            </w:pPr>
            <w:r>
              <w:rPr>
                <w:rFonts w:ascii="Arial" w:cs="Arial" w:eastAsia="Arial" w:hAnsi="Arial"/>
                <w:color w:val="26262A"/>
                <w:sz w:val="20"/>
                <w:szCs w:val="20"/>
                <w:rtl/>
              </w:rPr>
              <w:t xml:space="preserve">الإدارة التنفيذية — شركة درب</w:t>
            </w:r>
          </w:p>
        </w:tc>
      </w:tr>
      <w:tr>
        <w:tc>
          <w:tcPr>
            <w:tcW w:type="dxa" w:w="2000"/>
            <w:tcMar>
              <w:top w:type="dxa" w:w="70"/>
              <w:left w:type="dxa" w:w="90"/>
              <w:bottom w:type="dxa" w:w="70"/>
              <w:right w:type="dxa" w:w="90"/>
            </w:tcMar>
            <w:vAlign w:val="center"/>
          </w:tcPr>
          <w:p>
            <w:pPr>
              <w:bidi/>
              <w:spacing w:after="0" w:before="0" w:line="300"/>
              <w:jc w:val="right"/>
            </w:pPr>
            <w:r>
              <w:rPr>
                <w:rFonts w:ascii="Arial" w:cs="Arial" w:eastAsia="Arial" w:hAnsi="Arial"/>
                <w:b/>
                <w:bCs/>
                <w:color w:val="E07C16"/>
                <w:sz w:val="20"/>
                <w:szCs w:val="20"/>
                <w:rtl/>
              </w:rPr>
              <w:t xml:space="preserve">الموضوع</w:t>
            </w:r>
          </w:p>
        </w:tc>
        <w:tc>
          <w:tcPr>
            <w:tcW w:type="dxa" w:w="4600"/>
            <w:tcMar>
              <w:top w:type="dxa" w:w="70"/>
              <w:left w:type="dxa" w:w="90"/>
              <w:bottom w:type="dxa" w:w="70"/>
              <w:right w:type="dxa" w:w="90"/>
            </w:tcMar>
            <w:vAlign w:val="center"/>
          </w:tcPr>
          <w:p>
            <w:pPr>
              <w:bidi/>
              <w:spacing w:after="0" w:before="0" w:line="300"/>
              <w:jc w:val="right"/>
            </w:pPr>
            <w:r>
              <w:rPr>
                <w:rFonts w:ascii="Arial" w:cs="Arial" w:eastAsia="Arial" w:hAnsi="Arial"/>
                <w:color w:val="26262A"/>
                <w:sz w:val="20"/>
                <w:szCs w:val="20"/>
                <w:rtl/>
              </w:rPr>
              <w:t xml:space="preserve">بناء برنامج الولاء داخلياً مقابل التعاقد مع مشغّل خارجي</w:t>
            </w:r>
          </w:p>
        </w:tc>
      </w:tr>
      <w:tr>
        <w:tc>
          <w:tcPr>
            <w:tcW w:type="dxa" w:w="2000"/>
            <w:tcMar>
              <w:top w:type="dxa" w:w="70"/>
              <w:left w:type="dxa" w:w="90"/>
              <w:bottom w:type="dxa" w:w="70"/>
              <w:right w:type="dxa" w:w="90"/>
            </w:tcMar>
            <w:vAlign w:val="center"/>
          </w:tcPr>
          <w:p>
            <w:pPr>
              <w:bidi/>
              <w:spacing w:after="0" w:before="0" w:line="300"/>
              <w:jc w:val="right"/>
            </w:pPr>
            <w:r>
              <w:rPr>
                <w:rFonts w:ascii="Arial" w:cs="Arial" w:eastAsia="Arial" w:hAnsi="Arial"/>
                <w:b/>
                <w:bCs/>
                <w:color w:val="E07C16"/>
                <w:sz w:val="20"/>
                <w:szCs w:val="20"/>
                <w:rtl/>
              </w:rPr>
              <w:t xml:space="preserve">التاريخ</w:t>
            </w:r>
          </w:p>
        </w:tc>
        <w:tc>
          <w:tcPr>
            <w:tcW w:type="dxa" w:w="4600"/>
            <w:tcMar>
              <w:top w:type="dxa" w:w="70"/>
              <w:left w:type="dxa" w:w="90"/>
              <w:bottom w:type="dxa" w:w="70"/>
              <w:right w:type="dxa" w:w="90"/>
            </w:tcMar>
            <w:vAlign w:val="center"/>
          </w:tcPr>
          <w:p>
            <w:pPr>
              <w:bidi/>
              <w:spacing w:after="0" w:before="0" w:line="300"/>
              <w:jc w:val="right"/>
            </w:pPr>
            <w:r>
              <w:rPr>
                <w:rFonts w:ascii="Arial" w:cs="Arial" w:eastAsia="Arial" w:hAnsi="Arial"/>
                <w:color w:val="26262A"/>
                <w:sz w:val="20"/>
                <w:szCs w:val="20"/>
                <w:rtl/>
              </w:rPr>
              <w:t xml:space="preserve">يوليو 2026</w:t>
            </w:r>
          </w:p>
        </w:tc>
      </w:tr>
      <w:tr>
        <w:tc>
          <w:tcPr>
            <w:tcW w:type="dxa" w:w="2000"/>
            <w:tcMar>
              <w:top w:type="dxa" w:w="70"/>
              <w:left w:type="dxa" w:w="90"/>
              <w:bottom w:type="dxa" w:w="70"/>
              <w:right w:type="dxa" w:w="90"/>
            </w:tcMar>
            <w:vAlign w:val="center"/>
          </w:tcPr>
          <w:p>
            <w:pPr>
              <w:bidi/>
              <w:spacing w:after="0" w:before="0" w:line="300"/>
              <w:jc w:val="right"/>
            </w:pPr>
            <w:r>
              <w:rPr>
                <w:rFonts w:ascii="Arial" w:cs="Arial" w:eastAsia="Arial" w:hAnsi="Arial"/>
                <w:b/>
                <w:bCs/>
                <w:color w:val="E07C16"/>
                <w:sz w:val="20"/>
                <w:szCs w:val="20"/>
                <w:rtl/>
              </w:rPr>
              <w:t xml:space="preserve">التصنيف</w:t>
            </w:r>
          </w:p>
        </w:tc>
        <w:tc>
          <w:tcPr>
            <w:tcW w:type="dxa" w:w="4600"/>
            <w:tcMar>
              <w:top w:type="dxa" w:w="70"/>
              <w:left w:type="dxa" w:w="90"/>
              <w:bottom w:type="dxa" w:w="70"/>
              <w:right w:type="dxa" w:w="90"/>
            </w:tcMar>
            <w:vAlign w:val="center"/>
          </w:tcPr>
          <w:p>
            <w:pPr>
              <w:bidi/>
              <w:spacing w:after="0" w:before="0" w:line="300"/>
              <w:jc w:val="right"/>
            </w:pPr>
            <w:r>
              <w:rPr>
                <w:rFonts w:ascii="Arial" w:cs="Arial" w:eastAsia="Arial" w:hAnsi="Arial"/>
                <w:color w:val="26262A"/>
                <w:sz w:val="20"/>
                <w:szCs w:val="20"/>
                <w:rtl/>
              </w:rPr>
              <w:t xml:space="preserve">سري — للتداول الداخلي</w:t>
            </w:r>
          </w:p>
        </w:tc>
      </w:tr>
    </w:tbl>
    <w:p>
      <w:r>
        <w:br w:type="page"/>
      </w:r>
    </w:p>
    <w:p>
      <w:pPr>
        <w:pStyle w:val="Heading1"/>
        <w:pBdr>
          <w:bottom w:val="single" w:color="E07C16" w:sz="12" w:space="4"/>
        </w:pBdr>
        <w:bidi/>
        <w:spacing w:after="140" w:before="320"/>
        <w:jc w:val="right"/>
      </w:pPr>
      <w:r>
        <w:rPr>
          <w:rFonts w:ascii="Arial" w:cs="Arial" w:eastAsia="Arial" w:hAnsi="Arial"/>
          <w:b/>
          <w:bCs/>
          <w:color w:val="E07C16"/>
          <w:sz w:val="26"/>
          <w:szCs w:val="26"/>
          <w:rtl/>
        </w:rPr>
        <w:t xml:space="preserve">١.  </w:t>
      </w:r>
      <w:r>
        <w:rPr>
          <w:rFonts w:ascii="Arial" w:cs="Arial" w:eastAsia="Arial" w:hAnsi="Arial"/>
          <w:b/>
          <w:bCs/>
          <w:color w:val="26262A"/>
          <w:sz w:val="26"/>
          <w:szCs w:val="26"/>
          <w:rtl/>
        </w:rPr>
        <w:t xml:space="preserve">الملخص التنفيذي</w:t>
      </w:r>
    </w:p>
    <w:p>
      <w:pPr>
        <w:bidi/>
        <w:spacing w:after="120" w:before="0" w:line="300"/>
        <w:jc w:val="right"/>
      </w:pPr>
      <w:r>
        <w:rPr>
          <w:rFonts w:ascii="Arial" w:cs="Arial" w:eastAsia="Arial" w:hAnsi="Arial"/>
          <w:color w:val="26262A"/>
          <w:sz w:val="22"/>
          <w:szCs w:val="22"/>
          <w:rtl/>
        </w:rPr>
        <w:t xml:space="preserve">تعمل درب على إطلاق برنامج ولاء «تانكي» يربط تعبئة الوقود بالتجار والمحفظة الرقمية. تقدّمت شركة ديسكوير بعرض يتضمّن خارطة طريق لأربعة أشهر وقوائم شركاء مقترحة. يقيّم هذا التقرير العرض، ويوضّح أثره على </w:t>
      </w:r>
      <w:r>
        <w:rPr>
          <w:rFonts w:ascii="Arial" w:cs="Arial" w:eastAsia="Arial" w:hAnsi="Arial"/>
          <w:b/>
          <w:bCs/>
          <w:color w:val="26262A"/>
          <w:sz w:val="22"/>
          <w:szCs w:val="22"/>
          <w:rtl/>
        </w:rPr>
        <w:t xml:space="preserve">التشغيل والوضع المالي والتسويق والأصول الاستراتيجية</w:t>
      </w:r>
      <w:r>
        <w:rPr>
          <w:rFonts w:ascii="Arial" w:cs="Arial" w:eastAsia="Arial" w:hAnsi="Arial"/>
          <w:color w:val="26262A"/>
          <w:sz w:val="22"/>
          <w:szCs w:val="22"/>
          <w:rtl/>
        </w:rPr>
        <w:t xml:space="preserve">، ويقدّم توصية واضحة بمسار التنفيذ.</w:t>
      </w:r>
    </w:p>
    <w:p>
      <w:pPr>
        <w:bidi/>
        <w:spacing w:after="120" w:before="0" w:line="300"/>
        <w:jc w:val="right"/>
      </w:pPr>
      <w:r>
        <w:rPr>
          <w:rFonts w:ascii="Arial" w:cs="Arial" w:eastAsia="Arial" w:hAnsi="Arial"/>
          <w:b/>
          <w:bCs/>
          <w:color w:val="E07C16"/>
          <w:sz w:val="22"/>
          <w:szCs w:val="22"/>
          <w:rtl/>
        </w:rPr>
        <w:t xml:space="preserve">الخلاصة: </w:t>
      </w:r>
      <w:r>
        <w:rPr>
          <w:rFonts w:ascii="Arial" w:cs="Arial" w:eastAsia="Arial" w:hAnsi="Arial"/>
          <w:color w:val="26262A"/>
          <w:sz w:val="22"/>
          <w:szCs w:val="22"/>
          <w:rtl/>
        </w:rPr>
        <w:t xml:space="preserve">يوصى بأن تحتفظ درب بملكية </w:t>
      </w:r>
      <w:r>
        <w:rPr>
          <w:rFonts w:ascii="Arial" w:cs="Arial" w:eastAsia="Arial" w:hAnsi="Arial"/>
          <w:b/>
          <w:bCs/>
          <w:color w:val="26262A"/>
          <w:sz w:val="22"/>
          <w:szCs w:val="22"/>
          <w:rtl/>
        </w:rPr>
        <w:t xml:space="preserve">نواة البرنامج</w:t>
      </w:r>
      <w:r>
        <w:rPr>
          <w:rFonts w:ascii="Arial" w:cs="Arial" w:eastAsia="Arial" w:hAnsi="Arial"/>
          <w:color w:val="26262A"/>
          <w:sz w:val="22"/>
          <w:szCs w:val="22"/>
          <w:rtl/>
        </w:rPr>
        <w:t xml:space="preserve"> (محرّك النقاط + بيانات العملاء + المحفظة + العلامة)، وأن تستأجر </w:t>
      </w:r>
      <w:r>
        <w:rPr>
          <w:rFonts w:ascii="Arial" w:cs="Arial" w:eastAsia="Arial" w:hAnsi="Arial"/>
          <w:b/>
          <w:bCs/>
          <w:color w:val="26262A"/>
          <w:sz w:val="22"/>
          <w:szCs w:val="22"/>
          <w:rtl/>
        </w:rPr>
        <w:t xml:space="preserve">شركاء متخصّصين</w:t>
      </w:r>
      <w:r>
        <w:rPr>
          <w:rFonts w:ascii="Arial" w:cs="Arial" w:eastAsia="Arial" w:hAnsi="Arial"/>
          <w:color w:val="26262A"/>
          <w:sz w:val="22"/>
          <w:szCs w:val="22"/>
          <w:rtl/>
        </w:rPr>
        <w:t xml:space="preserve"> للأجزاء الصعبة فقط — تماماً كما فعل المنافس المباشر «ساسكو». تسليم المنصة والبيانات بالكامل لمشغّل خارجي يكلّف درب أثمن أصولها دون أن يحلّ أصعب بند تقني، الذي يبقى مسؤولية درب في كل السيناريوهات.</w:t>
      </w:r>
    </w:p>
    <w:p>
      <w:pPr>
        <w:pStyle w:val="Heading2"/>
        <w:bidi/>
        <w:spacing w:after="100" w:before="200"/>
        <w:jc w:val="right"/>
      </w:pPr>
      <w:r>
        <w:rPr>
          <w:rFonts w:ascii="Arial" w:cs="Arial" w:eastAsia="Arial" w:hAnsi="Arial"/>
          <w:b/>
          <w:bCs/>
          <w:color w:val="E07C16"/>
          <w:sz w:val="23"/>
          <w:szCs w:val="23"/>
          <w:rtl/>
        </w:rPr>
        <w:t xml:space="preserve">أبرز النتائج</w:t>
      </w:r>
    </w:p>
    <w:p>
      <w:pPr>
        <w:pStyle w:val="ListParagraph"/>
        <w:numPr>
          <w:ilvl w:val="0"/>
          <w:numId w:val="2"/>
        </w:numPr>
        <w:bidi/>
        <w:spacing w:after="60" w:before="0" w:line="290"/>
        <w:jc w:val="right"/>
      </w:pPr>
      <w:r>
        <w:rPr>
          <w:rFonts w:ascii="Arial" w:cs="Arial" w:eastAsia="Arial" w:hAnsi="Arial"/>
          <w:b/>
          <w:bCs/>
          <w:color w:val="26262A"/>
          <w:sz w:val="22"/>
          <w:szCs w:val="22"/>
          <w:rtl/>
        </w:rPr>
        <w:t xml:space="preserve">١) </w:t>
      </w:r>
      <w:r>
        <w:rPr>
          <w:rFonts w:ascii="Arial" w:cs="Arial" w:eastAsia="Arial" w:hAnsi="Arial"/>
          <w:color w:val="26262A"/>
          <w:sz w:val="22"/>
          <w:szCs w:val="22"/>
          <w:rtl/>
        </w:rPr>
        <w:t xml:space="preserve">قوائم شركاء ديسكوير عامة (أزياء وتجزئة وعطور) ولا تخدم عميل محطة الوقود ذا الصرف اليومي المتكرر.</w:t>
      </w:r>
    </w:p>
    <w:p>
      <w:pPr>
        <w:pStyle w:val="ListParagraph"/>
        <w:numPr>
          <w:ilvl w:val="0"/>
          <w:numId w:val="2"/>
        </w:numPr>
        <w:bidi/>
        <w:spacing w:after="60" w:before="0" w:line="290"/>
        <w:jc w:val="right"/>
      </w:pPr>
      <w:r>
        <w:rPr>
          <w:rFonts w:ascii="Arial" w:cs="Arial" w:eastAsia="Arial" w:hAnsi="Arial"/>
          <w:b/>
          <w:bCs/>
          <w:color w:val="26262A"/>
          <w:sz w:val="22"/>
          <w:szCs w:val="22"/>
          <w:rtl/>
        </w:rPr>
        <w:t xml:space="preserve">٢) </w:t>
      </w:r>
      <w:r>
        <w:rPr>
          <w:rFonts w:ascii="Arial" w:cs="Arial" w:eastAsia="Arial" w:hAnsi="Arial"/>
          <w:color w:val="26262A"/>
          <w:sz w:val="22"/>
          <w:szCs w:val="22"/>
          <w:rtl/>
        </w:rPr>
        <w:t xml:space="preserve">في نموذج ديسكوير، تصبح بيانات العملاء والحسابات على منصتهم — أي تفقد درب أثمن أصولها وتتحوّل إلى واجهة.</w:t>
      </w:r>
    </w:p>
    <w:p>
      <w:pPr>
        <w:pStyle w:val="ListParagraph"/>
        <w:numPr>
          <w:ilvl w:val="0"/>
          <w:numId w:val="2"/>
        </w:numPr>
        <w:bidi/>
        <w:spacing w:after="60" w:before="0" w:line="290"/>
        <w:jc w:val="right"/>
      </w:pPr>
      <w:r>
        <w:rPr>
          <w:rFonts w:ascii="Arial" w:cs="Arial" w:eastAsia="Arial" w:hAnsi="Arial"/>
          <w:b/>
          <w:bCs/>
          <w:color w:val="26262A"/>
          <w:sz w:val="22"/>
          <w:szCs w:val="22"/>
          <w:rtl/>
        </w:rPr>
        <w:t xml:space="preserve">٣) </w:t>
      </w:r>
      <w:r>
        <w:rPr>
          <w:rFonts w:ascii="Arial" w:cs="Arial" w:eastAsia="Arial" w:hAnsi="Arial"/>
          <w:color w:val="26262A"/>
          <w:sz w:val="22"/>
          <w:szCs w:val="22"/>
          <w:rtl/>
        </w:rPr>
        <w:t xml:space="preserve">أصعب بند (المحفظة + تكامل مضخات الوقود) يبقى مسؤولية درب في كل السيناريوهات، بإقرار خارطة ديسكوير نفسها.</w:t>
      </w:r>
    </w:p>
    <w:p>
      <w:pPr>
        <w:pStyle w:val="ListParagraph"/>
        <w:numPr>
          <w:ilvl w:val="0"/>
          <w:numId w:val="2"/>
        </w:numPr>
        <w:bidi/>
        <w:spacing w:after="60" w:before="0" w:line="290"/>
        <w:jc w:val="right"/>
      </w:pPr>
      <w:r>
        <w:rPr>
          <w:rFonts w:ascii="Arial" w:cs="Arial" w:eastAsia="Arial" w:hAnsi="Arial"/>
          <w:b/>
          <w:bCs/>
          <w:color w:val="26262A"/>
          <w:sz w:val="22"/>
          <w:szCs w:val="22"/>
          <w:rtl/>
        </w:rPr>
        <w:t xml:space="preserve">٤) </w:t>
      </w:r>
      <w:r>
        <w:rPr>
          <w:rFonts w:ascii="Arial" w:cs="Arial" w:eastAsia="Arial" w:hAnsi="Arial"/>
          <w:color w:val="26262A"/>
          <w:sz w:val="22"/>
          <w:szCs w:val="22"/>
          <w:rtl/>
        </w:rPr>
        <w:t xml:space="preserve">المحفظة النقدية تستلزم ترخيص/شراكة تنظيمية من ساما؛ النموذج المغلق يخفّف العبء، والشراكة المرخّصة تختصره.</w:t>
      </w:r>
    </w:p>
    <w:p>
      <w:pPr>
        <w:pStyle w:val="ListParagraph"/>
        <w:numPr>
          <w:ilvl w:val="0"/>
          <w:numId w:val="2"/>
        </w:numPr>
        <w:bidi/>
        <w:spacing w:after="60" w:before="0" w:line="290"/>
        <w:jc w:val="right"/>
      </w:pPr>
      <w:r>
        <w:rPr>
          <w:rFonts w:ascii="Arial" w:cs="Arial" w:eastAsia="Arial" w:hAnsi="Arial"/>
          <w:b/>
          <w:bCs/>
          <w:color w:val="26262A"/>
          <w:sz w:val="22"/>
          <w:szCs w:val="22"/>
          <w:rtl/>
        </w:rPr>
        <w:t xml:space="preserve">٥) </w:t>
      </w:r>
      <w:r>
        <w:rPr>
          <w:rFonts w:ascii="Arial" w:cs="Arial" w:eastAsia="Arial" w:hAnsi="Arial"/>
          <w:color w:val="26262A"/>
          <w:sz w:val="22"/>
          <w:szCs w:val="22"/>
          <w:rtl/>
        </w:rPr>
        <w:t xml:space="preserve">شبكة استبدال ديسكوير قابلة للاستبدال بمزوّد Gift Card API أبسط تقنياً مع احتفاظ درب بالملكية الكاملة.</w:t>
      </w:r>
    </w:p>
    <w:p>
      <w:pPr>
        <w:pStyle w:val="ListParagraph"/>
        <w:numPr>
          <w:ilvl w:val="0"/>
          <w:numId w:val="2"/>
        </w:numPr>
        <w:bidi/>
        <w:spacing w:after="60" w:before="0" w:line="290"/>
        <w:jc w:val="right"/>
      </w:pPr>
      <w:r>
        <w:rPr>
          <w:rFonts w:ascii="Arial" w:cs="Arial" w:eastAsia="Arial" w:hAnsi="Arial"/>
          <w:b/>
          <w:bCs/>
          <w:color w:val="26262A"/>
          <w:sz w:val="22"/>
          <w:szCs w:val="22"/>
          <w:rtl/>
        </w:rPr>
        <w:t xml:space="preserve">٦) </w:t>
      </w:r>
      <w:r>
        <w:rPr>
          <w:rFonts w:ascii="Arial" w:cs="Arial" w:eastAsia="Arial" w:hAnsi="Arial"/>
          <w:color w:val="26262A"/>
          <w:sz w:val="22"/>
          <w:szCs w:val="22"/>
          <w:rtl/>
        </w:rPr>
        <w:t xml:space="preserve">المنافس المباشر «ساسكو» اعتمد المسار الموصى به: برنامج مغلق يملكه، مع شريك تمويل مرخّص (إمكان).</w:t>
      </w:r>
    </w:p>
    <w:p>
      <w:pPr>
        <w:pStyle w:val="Heading1"/>
        <w:pBdr>
          <w:bottom w:val="single" w:color="E07C16" w:sz="12" w:space="4"/>
        </w:pBdr>
        <w:bidi/>
        <w:spacing w:after="140" w:before="320"/>
        <w:jc w:val="right"/>
      </w:pPr>
      <w:r>
        <w:rPr>
          <w:rFonts w:ascii="Arial" w:cs="Arial" w:eastAsia="Arial" w:hAnsi="Arial"/>
          <w:b/>
          <w:bCs/>
          <w:color w:val="E07C16"/>
          <w:sz w:val="26"/>
          <w:szCs w:val="26"/>
          <w:rtl/>
        </w:rPr>
        <w:t xml:space="preserve">٢.  </w:t>
      </w:r>
      <w:r>
        <w:rPr>
          <w:rFonts w:ascii="Arial" w:cs="Arial" w:eastAsia="Arial" w:hAnsi="Arial"/>
          <w:b/>
          <w:bCs/>
          <w:color w:val="26262A"/>
          <w:sz w:val="26"/>
          <w:szCs w:val="26"/>
          <w:rtl/>
        </w:rPr>
        <w:t xml:space="preserve">الخلفية والسياق</w:t>
      </w:r>
    </w:p>
    <w:p>
      <w:pPr>
        <w:bidi/>
        <w:spacing w:after="120" w:before="0" w:line="300"/>
        <w:jc w:val="right"/>
      </w:pPr>
      <w:r>
        <w:rPr>
          <w:rFonts w:ascii="Arial" w:cs="Arial" w:eastAsia="Arial" w:hAnsi="Arial"/>
          <w:color w:val="26262A"/>
          <w:sz w:val="22"/>
          <w:szCs w:val="22"/>
          <w:rtl/>
        </w:rPr>
        <w:t xml:space="preserve">«تانكي» هو برنامج ولاء تطبيق درب: يجمع العميل نقاطاً من تعبئة الوقود ومن التجار المتعاقدين، ويستبدلها داخل شبكة درب (وقود + باقات + عروض شركاء)، عبر محفظة رقمية مغلقة. صُمّم النموذج ليكون النظام محميّاً مالياً عبر آلية ضمان (Escrow)، وليخضع لتنظيم أخف عبر إبقاء المحفظة مغلقة.</w:t>
      </w:r>
    </w:p>
    <w:p>
      <w:pPr>
        <w:bidi/>
        <w:spacing w:after="120" w:before="0" w:line="300"/>
        <w:jc w:val="right"/>
      </w:pPr>
      <w:r>
        <w:rPr>
          <w:rFonts w:ascii="Arial" w:cs="Arial" w:eastAsia="Arial" w:hAnsi="Arial"/>
          <w:color w:val="26262A"/>
          <w:sz w:val="22"/>
          <w:szCs w:val="22"/>
          <w:rtl/>
        </w:rPr>
        <w:t xml:space="preserve">قدّمت ديسكوير مستندين: خارطة طريق للانطلاق على أربعة أشهر، وقائمة شركاء مقترحة (شركاء كسب وشركاء استبدال). يقيّم هذا التقرير الجدوى الاستراتيجية للعرض مقارنةً ببناء البرنامج داخلياً.</w:t>
      </w:r>
    </w:p>
    <w:p>
      <w:pPr>
        <w:pStyle w:val="Heading1"/>
        <w:pBdr>
          <w:bottom w:val="single" w:color="E07C16" w:sz="12" w:space="4"/>
        </w:pBdr>
        <w:bidi/>
        <w:spacing w:after="140" w:before="320"/>
        <w:jc w:val="right"/>
      </w:pPr>
      <w:r>
        <w:rPr>
          <w:rFonts w:ascii="Arial" w:cs="Arial" w:eastAsia="Arial" w:hAnsi="Arial"/>
          <w:b/>
          <w:bCs/>
          <w:color w:val="E07C16"/>
          <w:sz w:val="26"/>
          <w:szCs w:val="26"/>
          <w:rtl/>
        </w:rPr>
        <w:t xml:space="preserve">٣.  </w:t>
      </w:r>
      <w:r>
        <w:rPr>
          <w:rFonts w:ascii="Arial" w:cs="Arial" w:eastAsia="Arial" w:hAnsi="Arial"/>
          <w:b/>
          <w:bCs/>
          <w:color w:val="26262A"/>
          <w:sz w:val="26"/>
          <w:szCs w:val="26"/>
          <w:rtl/>
        </w:rPr>
        <w:t xml:space="preserve">تقييم عرض ديسكوير</w:t>
      </w:r>
    </w:p>
    <w:p>
      <w:pPr>
        <w:pStyle w:val="Heading2"/>
        <w:bidi/>
        <w:spacing w:after="100" w:before="200"/>
        <w:jc w:val="right"/>
      </w:pPr>
      <w:r>
        <w:rPr>
          <w:rFonts w:ascii="Arial" w:cs="Arial" w:eastAsia="Arial" w:hAnsi="Arial"/>
          <w:b/>
          <w:bCs/>
          <w:color w:val="E07C16"/>
          <w:sz w:val="23"/>
          <w:szCs w:val="23"/>
          <w:rtl/>
        </w:rPr>
        <w:t xml:space="preserve">٣.١  خارطة الطريق</w:t>
      </w:r>
    </w:p>
    <w:p>
      <w:pPr>
        <w:bidi/>
        <w:spacing w:after="120" w:before="0" w:line="300"/>
        <w:jc w:val="right"/>
      </w:pPr>
      <w:r>
        <w:rPr>
          <w:rFonts w:ascii="Arial" w:cs="Arial" w:eastAsia="Arial" w:hAnsi="Arial"/>
          <w:color w:val="26262A"/>
          <w:sz w:val="22"/>
          <w:szCs w:val="22"/>
          <w:rtl/>
        </w:rPr>
        <w:t xml:space="preserve">مقترح على مرحلتين خلال أربعة أشهر من الانطلاق (M0):</w:t>
      </w:r>
    </w:p>
    <w:p>
      <w:pPr>
        <w:pStyle w:val="ListParagraph"/>
        <w:numPr>
          <w:ilvl w:val="0"/>
          <w:numId w:val="2"/>
        </w:numPr>
        <w:bidi/>
        <w:spacing w:after="60" w:before="0" w:line="290"/>
        <w:jc w:val="right"/>
      </w:pPr>
      <w:r>
        <w:rPr>
          <w:rFonts w:ascii="Arial" w:cs="Arial" w:eastAsia="Arial" w:hAnsi="Arial"/>
          <w:b/>
          <w:bCs/>
          <w:color w:val="26262A"/>
          <w:sz w:val="22"/>
          <w:szCs w:val="22"/>
          <w:rtl/>
        </w:rPr>
        <w:t xml:space="preserve">المرحلة ١ (M0–M2) — الحد الأدنى القابل للتشغيل: </w:t>
      </w:r>
      <w:r>
        <w:rPr>
          <w:rFonts w:ascii="Arial" w:cs="Arial" w:eastAsia="Arial" w:hAnsi="Arial"/>
          <w:color w:val="26262A"/>
          <w:sz w:val="22"/>
          <w:szCs w:val="22"/>
          <w:rtl/>
        </w:rPr>
        <w:t xml:space="preserve">كسب واستبدال على الوقود + المستويات + كتالوج مكافآت (٢٠–٣٠ تاجراً) + استبدال قسائم في المتاجر عبر شبكتهم (١٥٠٠ فرع / ٣٠٠ علامة) + تسليم واجهات برمجية + اختبار وإطلاق.</w:t>
      </w:r>
    </w:p>
    <w:p>
      <w:pPr>
        <w:pStyle w:val="ListParagraph"/>
        <w:numPr>
          <w:ilvl w:val="0"/>
          <w:numId w:val="2"/>
        </w:numPr>
        <w:bidi/>
        <w:spacing w:after="60" w:before="0" w:line="290"/>
        <w:jc w:val="right"/>
      </w:pPr>
      <w:r>
        <w:rPr>
          <w:rFonts w:ascii="Arial" w:cs="Arial" w:eastAsia="Arial" w:hAnsi="Arial"/>
          <w:b/>
          <w:bCs/>
          <w:color w:val="26262A"/>
          <w:sz w:val="22"/>
          <w:szCs w:val="22"/>
          <w:rtl/>
        </w:rPr>
        <w:t xml:space="preserve">المرحلة ٢ (M2–M4) — التوسّع: </w:t>
      </w:r>
      <w:r>
        <w:rPr>
          <w:rFonts w:ascii="Arial" w:cs="Arial" w:eastAsia="Arial" w:hAnsi="Arial"/>
          <w:color w:val="26262A"/>
          <w:sz w:val="22"/>
          <w:szCs w:val="22"/>
          <w:rtl/>
        </w:rPr>
        <w:t xml:space="preserve">كسب من المتاجر على إجمالي الفاتورة + شحن جوال + تبرعات + الحلقة المفتوحة (Open Loop) على محفظة نقدية.</w:t>
      </w:r>
    </w:p>
    <w:p>
      <w:pPr>
        <w:bidi/>
        <w:spacing w:after="120" w:before="0" w:line="300"/>
        <w:jc w:val="right"/>
      </w:pPr>
      <w:r>
        <w:rPr>
          <w:rFonts w:ascii="Arial" w:cs="Arial" w:eastAsia="Arial" w:hAnsi="Arial"/>
          <w:b/>
          <w:bCs/>
          <w:color w:val="9A6A12"/>
          <w:sz w:val="22"/>
          <w:szCs w:val="22"/>
          <w:rtl/>
        </w:rPr>
        <w:t xml:space="preserve">ملاحظة جوهرية: </w:t>
      </w:r>
      <w:r>
        <w:rPr>
          <w:rFonts w:ascii="Arial" w:cs="Arial" w:eastAsia="Arial" w:hAnsi="Arial"/>
          <w:color w:val="26262A"/>
          <w:sz w:val="22"/>
          <w:szCs w:val="22"/>
          <w:rtl/>
        </w:rPr>
        <w:t xml:space="preserve">خارطة الطريق لا تتضمّن اقتصاد النقطة (قيمة النقطة، معدل الكسب، جهة التمويل، الرسوم)، وتضع «جاهزية المحفظة النقدية» و«تكامل مضخات الوقود» على المسار الحرج وبمسؤولية درب.</w:t>
      </w:r>
    </w:p>
    <w:p>
      <w:pPr>
        <w:pStyle w:val="Heading2"/>
        <w:bidi/>
        <w:spacing w:after="100" w:before="200"/>
        <w:jc w:val="right"/>
      </w:pPr>
      <w:r>
        <w:rPr>
          <w:rFonts w:ascii="Arial" w:cs="Arial" w:eastAsia="Arial" w:hAnsi="Arial"/>
          <w:b/>
          <w:bCs/>
          <w:color w:val="E07C16"/>
          <w:sz w:val="23"/>
          <w:szCs w:val="23"/>
          <w:rtl/>
        </w:rPr>
        <w:t xml:space="preserve">٣.٢  قوائم الشركاء</w:t>
      </w:r>
    </w:p>
    <w:tbl>
      <w:tblPr>
        <w:bidiVisual/>
        <w:tblW w:type="dxa" w:w="9360"/>
        <w:tblBorders>
          <w:top w:val="single" w:color="D9D7D3" w:sz="4"/>
          <w:left w:val="single" w:color="D9D7D3" w:sz="4"/>
          <w:bottom w:val="single" w:color="D9D7D3" w:sz="4"/>
          <w:right w:val="single" w:color="D9D7D3" w:sz="4"/>
          <w:insideH w:val="single" w:color="D9D7D3" w:sz="4"/>
          <w:insideV w:val="single" w:color="D9D7D3" w:sz="4"/>
        </w:tblBorders>
      </w:tblPr>
      <w:tblGrid>
        <w:gridCol w:w="2600"/>
        <w:gridCol w:w="2000"/>
        <w:gridCol w:w="4760"/>
      </w:tblGrid>
      <w:tr>
        <w:trPr>
          <w:tblHeader/>
        </w:trPr>
        <w:tc>
          <w:tcPr>
            <w:tcW w:type="dxa" w:w="2600"/>
            <w:shd w:fill="F3EFEA" w:color="auto" w:val="clear"/>
            <w:tcMar>
              <w:top w:type="dxa" w:w="70"/>
              <w:left w:type="dxa" w:w="90"/>
              <w:bottom w:type="dxa" w:w="70"/>
              <w:right w:type="dxa" w:w="90"/>
            </w:tcMar>
            <w:vAlign w:val="center"/>
          </w:tcPr>
          <w:p>
            <w:pPr>
              <w:bidi/>
              <w:spacing w:after="0" w:before="0" w:line="300"/>
              <w:jc w:val="center"/>
            </w:pPr>
            <w:r>
              <w:rPr>
                <w:rFonts w:ascii="Arial" w:cs="Arial" w:eastAsia="Arial" w:hAnsi="Arial"/>
                <w:b/>
                <w:bCs/>
                <w:color w:val="26262A"/>
                <w:sz w:val="20"/>
                <w:szCs w:val="20"/>
                <w:rtl/>
              </w:rPr>
              <w:t xml:space="preserve">القائمة</w:t>
            </w:r>
          </w:p>
        </w:tc>
        <w:tc>
          <w:tcPr>
            <w:tcW w:type="dxa" w:w="2000"/>
            <w:shd w:fill="F3EFEA" w:color="auto" w:val="clear"/>
            <w:tcMar>
              <w:top w:type="dxa" w:w="70"/>
              <w:left w:type="dxa" w:w="90"/>
              <w:bottom w:type="dxa" w:w="70"/>
              <w:right w:type="dxa" w:w="90"/>
            </w:tcMar>
            <w:vAlign w:val="center"/>
          </w:tcPr>
          <w:p>
            <w:pPr>
              <w:bidi/>
              <w:spacing w:after="0" w:before="0" w:line="300"/>
              <w:jc w:val="center"/>
            </w:pPr>
            <w:r>
              <w:rPr>
                <w:rFonts w:ascii="Arial" w:cs="Arial" w:eastAsia="Arial" w:hAnsi="Arial"/>
                <w:b/>
                <w:bCs/>
                <w:color w:val="26262A"/>
                <w:sz w:val="20"/>
                <w:szCs w:val="20"/>
                <w:rtl/>
              </w:rPr>
              <w:t xml:space="preserve">العدد المقترح</w:t>
            </w:r>
          </w:p>
        </w:tc>
        <w:tc>
          <w:tcPr>
            <w:tcW w:type="dxa" w:w="4760"/>
            <w:shd w:fill="F3EFEA" w:color="auto" w:val="clear"/>
            <w:tcMar>
              <w:top w:type="dxa" w:w="70"/>
              <w:left w:type="dxa" w:w="90"/>
              <w:bottom w:type="dxa" w:w="70"/>
              <w:right w:type="dxa" w:w="90"/>
            </w:tcMar>
            <w:vAlign w:val="center"/>
          </w:tcPr>
          <w:p>
            <w:pPr>
              <w:bidi/>
              <w:spacing w:after="0" w:before="0" w:line="300"/>
              <w:jc w:val="center"/>
            </w:pPr>
            <w:r>
              <w:rPr>
                <w:rFonts w:ascii="Arial" w:cs="Arial" w:eastAsia="Arial" w:hAnsi="Arial"/>
                <w:b/>
                <w:bCs/>
                <w:color w:val="26262A"/>
                <w:sz w:val="20"/>
                <w:szCs w:val="20"/>
                <w:rtl/>
              </w:rPr>
              <w:t xml:space="preserve">الملاحظة</w:t>
            </w:r>
          </w:p>
        </w:tc>
      </w:tr>
      <w:tr>
        <w:tc>
          <w:tcPr>
            <w:tcW w:type="dxa" w:w="2600"/>
            <w:tcMar>
              <w:top w:type="dxa" w:w="70"/>
              <w:left w:type="dxa" w:w="90"/>
              <w:bottom w:type="dxa" w:w="70"/>
              <w:right w:type="dxa" w:w="90"/>
            </w:tcMar>
            <w:vAlign w:val="center"/>
          </w:tcPr>
          <w:p>
            <w:pPr>
              <w:bidi/>
              <w:spacing w:after="0" w:before="0" w:line="260"/>
              <w:jc w:val="right"/>
            </w:pPr>
            <w:r>
              <w:rPr>
                <w:rFonts w:ascii="Arial" w:cs="Arial" w:eastAsia="Arial" w:hAnsi="Arial"/>
                <w:b/>
                <w:bCs/>
                <w:color w:val="26262A"/>
                <w:sz w:val="19"/>
                <w:szCs w:val="19"/>
                <w:rtl/>
              </w:rPr>
              <w:t xml:space="preserve">شركاء الاستبدال</w:t>
            </w:r>
          </w:p>
        </w:tc>
        <w:tc>
          <w:tcPr>
            <w:tcW w:type="dxa" w:w="2000"/>
            <w:tcMar>
              <w:top w:type="dxa" w:w="70"/>
              <w:left w:type="dxa" w:w="90"/>
              <w:bottom w:type="dxa" w:w="70"/>
              <w:right w:type="dxa" w:w="90"/>
            </w:tcMar>
            <w:vAlign w:val="center"/>
          </w:tcPr>
          <w:p>
            <w:pPr>
              <w:bidi/>
              <w:spacing w:after="0" w:before="0" w:line="260"/>
              <w:jc w:val="center"/>
            </w:pPr>
            <w:r>
              <w:rPr>
                <w:rFonts w:ascii="Arial" w:cs="Arial" w:eastAsia="Arial" w:hAnsi="Arial"/>
                <w:color w:val="26262A"/>
                <w:sz w:val="19"/>
                <w:szCs w:val="19"/>
                <w:rtl/>
              </w:rPr>
              <w:t xml:space="preserve">٢٠٢ تاجراً</w:t>
            </w:r>
          </w:p>
        </w:tc>
        <w:tc>
          <w:tcPr>
            <w:tcW w:type="dxa" w:w="4760"/>
            <w:tcMar>
              <w:top w:type="dxa" w:w="70"/>
              <w:left w:type="dxa" w:w="90"/>
              <w:bottom w:type="dxa" w:w="70"/>
              <w:right w:type="dxa" w:w="90"/>
            </w:tcMar>
            <w:vAlign w:val="center"/>
          </w:tcPr>
          <w:p>
            <w:pPr>
              <w:bidi/>
              <w:spacing w:after="0" w:before="0" w:line="260"/>
              <w:jc w:val="right"/>
            </w:pPr>
            <w:r>
              <w:rPr>
                <w:rFonts w:ascii="Arial" w:cs="Arial" w:eastAsia="Arial" w:hAnsi="Arial"/>
                <w:color w:val="26262A"/>
                <w:sz w:val="19"/>
                <w:szCs w:val="19"/>
                <w:rtl/>
              </w:rPr>
              <w:t xml:space="preserve">علامات كبيرة (أمازون، جرير، نون…)؛ استبدال بطاقات هدايا، هامش تفاوضي منخفض.</w:t>
            </w:r>
          </w:p>
        </w:tc>
      </w:tr>
      <w:tr>
        <w:tc>
          <w:tcPr>
            <w:tcW w:type="dxa" w:w="2600"/>
            <w:tcMar>
              <w:top w:type="dxa" w:w="70"/>
              <w:left w:type="dxa" w:w="90"/>
              <w:bottom w:type="dxa" w:w="70"/>
              <w:right w:type="dxa" w:w="90"/>
            </w:tcMar>
            <w:vAlign w:val="center"/>
          </w:tcPr>
          <w:p>
            <w:pPr>
              <w:bidi/>
              <w:spacing w:after="0" w:before="0" w:line="260"/>
              <w:jc w:val="right"/>
            </w:pPr>
            <w:r>
              <w:rPr>
                <w:rFonts w:ascii="Arial" w:cs="Arial" w:eastAsia="Arial" w:hAnsi="Arial"/>
                <w:b/>
                <w:bCs/>
                <w:color w:val="26262A"/>
                <w:sz w:val="19"/>
                <w:szCs w:val="19"/>
                <w:rtl/>
              </w:rPr>
              <w:t xml:space="preserve">شركاء الكسب</w:t>
            </w:r>
          </w:p>
        </w:tc>
        <w:tc>
          <w:tcPr>
            <w:tcW w:type="dxa" w:w="2000"/>
            <w:tcMar>
              <w:top w:type="dxa" w:w="70"/>
              <w:left w:type="dxa" w:w="90"/>
              <w:bottom w:type="dxa" w:w="70"/>
              <w:right w:type="dxa" w:w="90"/>
            </w:tcMar>
            <w:vAlign w:val="center"/>
          </w:tcPr>
          <w:p>
            <w:pPr>
              <w:bidi/>
              <w:spacing w:after="0" w:before="0" w:line="260"/>
              <w:jc w:val="center"/>
            </w:pPr>
            <w:r>
              <w:rPr>
                <w:rFonts w:ascii="Arial" w:cs="Arial" w:eastAsia="Arial" w:hAnsi="Arial"/>
                <w:color w:val="26262A"/>
                <w:sz w:val="19"/>
                <w:szCs w:val="19"/>
                <w:rtl/>
              </w:rPr>
              <w:t xml:space="preserve">٦٥ تاجراً</w:t>
            </w:r>
          </w:p>
        </w:tc>
        <w:tc>
          <w:tcPr>
            <w:tcW w:type="dxa" w:w="4760"/>
            <w:tcMar>
              <w:top w:type="dxa" w:w="70"/>
              <w:left w:type="dxa" w:w="90"/>
              <w:bottom w:type="dxa" w:w="70"/>
              <w:right w:type="dxa" w:w="90"/>
            </w:tcMar>
            <w:vAlign w:val="center"/>
          </w:tcPr>
          <w:p>
            <w:pPr>
              <w:bidi/>
              <w:spacing w:after="0" w:before="0" w:line="260"/>
              <w:jc w:val="right"/>
            </w:pPr>
            <w:r>
              <w:rPr>
                <w:rFonts w:ascii="Arial" w:cs="Arial" w:eastAsia="Arial" w:hAnsi="Arial"/>
                <w:color w:val="26262A"/>
                <w:sz w:val="19"/>
                <w:szCs w:val="19"/>
                <w:rtl/>
              </w:rPr>
              <w:t xml:space="preserve">علامات محلية أصغر (مطاعم ولايف ستايل)؛ ملائمة للتكرار لكن ضعيفة في الفئات اليومية.</w:t>
            </w:r>
          </w:p>
        </w:tc>
      </w:tr>
      <w:tr>
        <w:tc>
          <w:tcPr>
            <w:tcW w:type="dxa" w:w="2600"/>
            <w:shd w:fill="FEF3E6" w:color="auto" w:val="clear"/>
            <w:tcMar>
              <w:top w:type="dxa" w:w="70"/>
              <w:left w:type="dxa" w:w="90"/>
              <w:bottom w:type="dxa" w:w="70"/>
              <w:right w:type="dxa" w:w="90"/>
            </w:tcMar>
            <w:vAlign w:val="center"/>
          </w:tcPr>
          <w:p>
            <w:pPr>
              <w:bidi/>
              <w:spacing w:after="0" w:before="0" w:line="260"/>
              <w:jc w:val="right"/>
            </w:pPr>
            <w:r>
              <w:rPr>
                <w:rFonts w:ascii="Arial" w:cs="Arial" w:eastAsia="Arial" w:hAnsi="Arial"/>
                <w:b/>
                <w:bCs/>
                <w:color w:val="26262A"/>
                <w:sz w:val="19"/>
                <w:szCs w:val="19"/>
                <w:rtl/>
              </w:rPr>
              <w:t xml:space="preserve">نسبة النجاح الفعلية</w:t>
            </w:r>
          </w:p>
        </w:tc>
        <w:tc>
          <w:tcPr>
            <w:tcW w:type="dxa" w:w="2000"/>
            <w:shd w:fill="FEF3E6" w:color="auto" w:val="clear"/>
            <w:tcMar>
              <w:top w:type="dxa" w:w="70"/>
              <w:left w:type="dxa" w:w="90"/>
              <w:bottom w:type="dxa" w:w="70"/>
              <w:right w:type="dxa" w:w="90"/>
            </w:tcMar>
            <w:vAlign w:val="center"/>
          </w:tcPr>
          <w:p>
            <w:pPr>
              <w:bidi/>
              <w:spacing w:after="0" w:before="0" w:line="260"/>
              <w:jc w:val="center"/>
            </w:pPr>
            <w:r>
              <w:rPr>
                <w:rFonts w:ascii="Arial" w:cs="Arial" w:eastAsia="Arial" w:hAnsi="Arial"/>
                <w:b/>
                <w:bCs/>
                <w:color w:val="B23A34"/>
                <w:sz w:val="19"/>
                <w:szCs w:val="19"/>
                <w:rtl/>
              </w:rPr>
              <w:t xml:space="preserve">٢٥٪ – ٣٠٪</w:t>
            </w:r>
          </w:p>
        </w:tc>
        <w:tc>
          <w:tcPr>
            <w:tcW w:type="dxa" w:w="4760"/>
            <w:shd w:fill="FEF3E6" w:color="auto" w:val="clear"/>
            <w:tcMar>
              <w:top w:type="dxa" w:w="70"/>
              <w:left w:type="dxa" w:w="90"/>
              <w:bottom w:type="dxa" w:w="70"/>
              <w:right w:type="dxa" w:w="90"/>
            </w:tcMar>
            <w:vAlign w:val="center"/>
          </w:tcPr>
          <w:p>
            <w:pPr>
              <w:bidi/>
              <w:spacing w:after="0" w:before="0" w:line="260"/>
              <w:jc w:val="right"/>
            </w:pPr>
            <w:r>
              <w:rPr>
                <w:rFonts w:ascii="Arial" w:cs="Arial" w:eastAsia="Arial" w:hAnsi="Arial"/>
                <w:color w:val="26262A"/>
                <w:sz w:val="19"/>
                <w:szCs w:val="19"/>
                <w:rtl/>
              </w:rPr>
              <w:t xml:space="preserve">بإقرار ديسكوير: من ٢٠٢ تاجر استبدال يُتوقّع تعاقد ~٥٠–٦٠ فعلياً.</w:t>
            </w:r>
          </w:p>
        </w:tc>
      </w:tr>
    </w:tbl>
    <w:p>
      <w:pPr>
        <w:bidi/>
        <w:spacing w:after="120" w:before="80" w:line="300"/>
        <w:jc w:val="right"/>
      </w:pPr>
      <w:r>
        <w:rPr>
          <w:rFonts w:ascii="Arial" w:cs="Arial" w:eastAsia="Arial" w:hAnsi="Arial"/>
          <w:b/>
          <w:bCs/>
          <w:color w:val="26262A"/>
          <w:sz w:val="22"/>
          <w:szCs w:val="22"/>
          <w:rtl/>
        </w:rPr>
        <w:t xml:space="preserve">تنبيهات من إقرار ديسكوير: </w:t>
      </w:r>
      <w:r>
        <w:rPr>
          <w:rFonts w:ascii="Arial" w:cs="Arial" w:eastAsia="Arial" w:hAnsi="Arial"/>
          <w:color w:val="26262A"/>
          <w:sz w:val="22"/>
          <w:szCs w:val="22"/>
          <w:rtl/>
        </w:rPr>
        <w:t xml:space="preserve">بعض التجار يشترطون تمويلاً مشتركاً أو دعماً تسويقياً؛ نماذج الإصدار/التعبئة قد تتطلب رصيداً مقدّماً (Float) للحفاظ على مخزون القسائم — وهو بند سيولة نقدية يجب احتسابه.</w:t>
      </w:r>
    </w:p>
    <w:p>
      <w:pPr>
        <w:pStyle w:val="Heading1"/>
        <w:pBdr>
          <w:bottom w:val="single" w:color="E07C16" w:sz="12" w:space="4"/>
        </w:pBdr>
        <w:bidi/>
        <w:spacing w:after="140" w:before="320"/>
        <w:jc w:val="right"/>
      </w:pPr>
      <w:r>
        <w:rPr>
          <w:rFonts w:ascii="Arial" w:cs="Arial" w:eastAsia="Arial" w:hAnsi="Arial"/>
          <w:b/>
          <w:bCs/>
          <w:color w:val="E07C16"/>
          <w:sz w:val="26"/>
          <w:szCs w:val="26"/>
          <w:rtl/>
        </w:rPr>
        <w:t xml:space="preserve">٤.  </w:t>
      </w:r>
      <w:r>
        <w:rPr>
          <w:rFonts w:ascii="Arial" w:cs="Arial" w:eastAsia="Arial" w:hAnsi="Arial"/>
          <w:b/>
          <w:bCs/>
          <w:color w:val="26262A"/>
          <w:sz w:val="26"/>
          <w:szCs w:val="26"/>
          <w:rtl/>
        </w:rPr>
        <w:t xml:space="preserve">الاعتبارات الاستراتيجية الثلاثة</w:t>
      </w:r>
    </w:p>
    <w:p>
      <w:pPr>
        <w:pStyle w:val="ListParagraph"/>
        <w:numPr>
          <w:ilvl w:val="0"/>
          <w:numId w:val="2"/>
        </w:numPr>
        <w:bidi/>
        <w:spacing w:after="60" w:before="0" w:line="290"/>
        <w:jc w:val="right"/>
      </w:pPr>
      <w:r>
        <w:rPr>
          <w:rFonts w:ascii="Arial" w:cs="Arial" w:eastAsia="Arial" w:hAnsi="Arial"/>
          <w:b/>
          <w:bCs/>
          <w:color w:val="26262A"/>
          <w:sz w:val="22"/>
          <w:szCs w:val="22"/>
          <w:rtl/>
        </w:rPr>
        <w:t xml:space="preserve">ملاءمة القائمة لعميل المحطات: </w:t>
      </w:r>
      <w:r>
        <w:rPr>
          <w:rFonts w:ascii="Arial" w:cs="Arial" w:eastAsia="Arial" w:hAnsi="Arial"/>
          <w:color w:val="26262A"/>
          <w:sz w:val="22"/>
          <w:szCs w:val="22"/>
          <w:rtl/>
        </w:rPr>
        <w:t xml:space="preserve">قائمة ديسكوير مبنية لبرنامج بنك/بطاقة ائتمانية لا لمحطة وقود؛ يجمع العميل نقاطاً من الوقود دون قنوات استبدال تخدم يومه، فينخفض التفاعل.</w:t>
      </w:r>
    </w:p>
    <w:p>
      <w:pPr>
        <w:pStyle w:val="ListParagraph"/>
        <w:numPr>
          <w:ilvl w:val="0"/>
          <w:numId w:val="2"/>
        </w:numPr>
        <w:bidi/>
        <w:spacing w:after="60" w:before="0" w:line="290"/>
        <w:jc w:val="right"/>
      </w:pPr>
      <w:r>
        <w:rPr>
          <w:rFonts w:ascii="Arial" w:cs="Arial" w:eastAsia="Arial" w:hAnsi="Arial"/>
          <w:b/>
          <w:bCs/>
          <w:color w:val="26262A"/>
          <w:sz w:val="22"/>
          <w:szCs w:val="22"/>
          <w:rtl/>
        </w:rPr>
        <w:t xml:space="preserve">ملكية بيانات العميل: </w:t>
      </w:r>
      <w:r>
        <w:rPr>
          <w:rFonts w:ascii="Arial" w:cs="Arial" w:eastAsia="Arial" w:hAnsi="Arial"/>
          <w:color w:val="26262A"/>
          <w:sz w:val="22"/>
          <w:szCs w:val="22"/>
          <w:rtl/>
        </w:rPr>
        <w:t xml:space="preserve">من يملك البيانات يملك القدرة على التسويق والفهم والبناء المستقبلي. في نموذج ديسكوير تكون البيانات لديهم.</w:t>
      </w:r>
    </w:p>
    <w:p>
      <w:pPr>
        <w:pStyle w:val="ListParagraph"/>
        <w:numPr>
          <w:ilvl w:val="0"/>
          <w:numId w:val="2"/>
        </w:numPr>
        <w:bidi/>
        <w:spacing w:after="60" w:before="0" w:line="290"/>
        <w:jc w:val="right"/>
      </w:pPr>
      <w:r>
        <w:rPr>
          <w:rFonts w:ascii="Arial" w:cs="Arial" w:eastAsia="Arial" w:hAnsi="Arial"/>
          <w:b/>
          <w:bCs/>
          <w:color w:val="26262A"/>
          <w:sz w:val="22"/>
          <w:szCs w:val="22"/>
          <w:rtl/>
        </w:rPr>
        <w:t xml:space="preserve">منصة الحسابات: </w:t>
      </w:r>
      <w:r>
        <w:rPr>
          <w:rFonts w:ascii="Arial" w:cs="Arial" w:eastAsia="Arial" w:hAnsi="Arial"/>
          <w:color w:val="26262A"/>
          <w:sz w:val="22"/>
          <w:szCs w:val="22"/>
          <w:rtl/>
        </w:rPr>
        <w:t xml:space="preserve">إجراء كل نقطة ورصيد ومعاملة على منصتهم يجعل درب مستأجِرة للنظام لا مالكة له، مع ارتهان تعاقدي وخروج مكلف.</w:t>
      </w:r>
    </w:p>
    <w:p>
      <w:pPr>
        <w:pStyle w:val="Heading1"/>
        <w:pBdr>
          <w:bottom w:val="single" w:color="E07C16" w:sz="12" w:space="4"/>
        </w:pBdr>
        <w:bidi/>
        <w:spacing w:after="140" w:before="320"/>
        <w:jc w:val="right"/>
      </w:pPr>
      <w:r>
        <w:rPr>
          <w:rFonts w:ascii="Arial" w:cs="Arial" w:eastAsia="Arial" w:hAnsi="Arial"/>
          <w:b/>
          <w:bCs/>
          <w:color w:val="E07C16"/>
          <w:sz w:val="26"/>
          <w:szCs w:val="26"/>
          <w:rtl/>
        </w:rPr>
        <w:t xml:space="preserve">٥.  </w:t>
      </w:r>
      <w:r>
        <w:rPr>
          <w:rFonts w:ascii="Arial" w:cs="Arial" w:eastAsia="Arial" w:hAnsi="Arial"/>
          <w:b/>
          <w:bCs/>
          <w:color w:val="26262A"/>
          <w:sz w:val="26"/>
          <w:szCs w:val="26"/>
          <w:rtl/>
        </w:rPr>
        <w:t xml:space="preserve">تحليل المحفظة والترخيص التنظيمي</w:t>
      </w:r>
    </w:p>
    <w:p>
      <w:pPr>
        <w:bidi/>
        <w:spacing w:after="120" w:before="0" w:line="300"/>
        <w:jc w:val="right"/>
      </w:pPr>
      <w:r>
        <w:rPr>
          <w:rFonts w:ascii="Arial" w:cs="Arial" w:eastAsia="Arial" w:hAnsi="Arial"/>
          <w:b/>
          <w:bCs/>
          <w:color w:val="26262A"/>
          <w:sz w:val="22"/>
          <w:szCs w:val="22"/>
          <w:rtl/>
        </w:rPr>
        <w:t xml:space="preserve">القاعدة الأساسية: </w:t>
      </w:r>
      <w:r>
        <w:rPr>
          <w:rFonts w:ascii="Arial" w:cs="Arial" w:eastAsia="Arial" w:hAnsi="Arial"/>
          <w:color w:val="26262A"/>
          <w:sz w:val="22"/>
          <w:szCs w:val="22"/>
          <w:rtl/>
        </w:rPr>
        <w:t xml:space="preserve">النقاط مكافأة ولا تحتاج ترخيصاً؛ أما الرصيد النقدي الذي يشحنه العميل فهو أموال جمهور، ومسكها نشاط تنظّمه مؤسسة النقد (ساما) حمايةً للعميل ومكافحةً لغسل الأموال وضماناً للاستقرار المالي.</w:t>
      </w:r>
    </w:p>
    <w:p>
      <w:pPr>
        <w:bidi/>
        <w:spacing w:after="120" w:before="0" w:line="300"/>
        <w:jc w:val="right"/>
      </w:pPr>
      <w:r>
        <w:rPr>
          <w:rFonts w:ascii="Arial" w:cs="Arial" w:eastAsia="Arial" w:hAnsi="Arial"/>
          <w:b/>
          <w:bCs/>
          <w:color w:val="E07C16"/>
          <w:sz w:val="22"/>
          <w:szCs w:val="22"/>
          <w:rtl/>
        </w:rPr>
        <w:t xml:space="preserve">موقع درب: </w:t>
      </w:r>
      <w:r>
        <w:rPr>
          <w:rFonts w:ascii="Arial" w:cs="Arial" w:eastAsia="Arial" w:hAnsi="Arial"/>
          <w:color w:val="26262A"/>
          <w:sz w:val="22"/>
          <w:szCs w:val="22"/>
          <w:rtl/>
        </w:rPr>
        <w:t xml:space="preserve">هدف تجميع رصيد المحافظ (Float) يعني حكماً مسك أموال الجمهور. النموذج المغلق (الرصيد يشتري وقوداً وباقات درب فقط، بلا سحب نقدي أو دفع لطرف ثالث) يخفّف العبء التنظيمي مقارنةً بالحلقة المفتوحة التي تقترب من ترخيص الأموال الإلكترونية الكامل.</w:t>
      </w:r>
    </w:p>
    <w:p>
      <w:pPr>
        <w:pStyle w:val="Heading2"/>
        <w:bidi/>
        <w:spacing w:after="100" w:before="200"/>
        <w:jc w:val="right"/>
      </w:pPr>
      <w:r>
        <w:rPr>
          <w:rFonts w:ascii="Arial" w:cs="Arial" w:eastAsia="Arial" w:hAnsi="Arial"/>
          <w:b/>
          <w:bCs/>
          <w:color w:val="E07C16"/>
          <w:sz w:val="23"/>
          <w:szCs w:val="23"/>
          <w:rtl/>
        </w:rPr>
        <w:t xml:space="preserve">المخرجان</w:t>
      </w:r>
    </w:p>
    <w:p>
      <w:pPr>
        <w:pStyle w:val="ListParagraph"/>
        <w:numPr>
          <w:ilvl w:val="0"/>
          <w:numId w:val="2"/>
        </w:numPr>
        <w:bidi/>
        <w:spacing w:after="60" w:before="0" w:line="290"/>
        <w:jc w:val="right"/>
      </w:pPr>
      <w:r>
        <w:rPr>
          <w:rFonts w:ascii="Arial" w:cs="Arial" w:eastAsia="Arial" w:hAnsi="Arial"/>
          <w:b/>
          <w:bCs/>
          <w:color w:val="26262A"/>
          <w:sz w:val="22"/>
          <w:szCs w:val="22"/>
          <w:rtl/>
        </w:rPr>
        <w:t xml:space="preserve">١) </w:t>
      </w:r>
      <w:r>
        <w:rPr>
          <w:rFonts w:ascii="Arial" w:cs="Arial" w:eastAsia="Arial" w:hAnsi="Arial"/>
          <w:color w:val="26262A"/>
          <w:sz w:val="22"/>
          <w:szCs w:val="22"/>
          <w:rtl/>
        </w:rPr>
        <w:t xml:space="preserve">ترخيص خاص بدرب: سيطرة كاملة، لكن بطيء ومكلّف وبمتطلبات رأس مال وامتثال ثقيلة.</w:t>
      </w:r>
    </w:p>
    <w:p>
      <w:pPr>
        <w:pStyle w:val="ListParagraph"/>
        <w:numPr>
          <w:ilvl w:val="0"/>
          <w:numId w:val="2"/>
        </w:numPr>
        <w:bidi/>
        <w:spacing w:after="60" w:before="0" w:line="290"/>
        <w:jc w:val="right"/>
      </w:pPr>
      <w:r>
        <w:rPr>
          <w:rFonts w:ascii="Arial" w:cs="Arial" w:eastAsia="Arial" w:hAnsi="Arial"/>
          <w:b/>
          <w:bCs/>
          <w:color w:val="26262A"/>
          <w:sz w:val="22"/>
          <w:szCs w:val="22"/>
          <w:rtl/>
        </w:rPr>
        <w:t xml:space="preserve">٢) </w:t>
      </w:r>
      <w:r>
        <w:rPr>
          <w:rFonts w:ascii="Arial" w:cs="Arial" w:eastAsia="Arial" w:hAnsi="Arial"/>
          <w:color w:val="26262A"/>
          <w:sz w:val="22"/>
          <w:szCs w:val="22"/>
          <w:rtl/>
        </w:rPr>
        <w:t xml:space="preserve">شراكة محفظة/تمويل مرخّص (موصى به): يحمل الشريك عبء الترخيص والامتثال، وتحتفظ درب بالبرنامج والبيانات والعلاقة — ويختصر أثقل بند تنظيمي.</w:t>
      </w:r>
    </w:p>
    <w:p>
      <w:r>
        <w:br w:type="page"/>
      </w:r>
    </w:p>
    <w:p>
      <w:pPr>
        <w:pStyle w:val="Heading1"/>
        <w:pBdr>
          <w:bottom w:val="single" w:color="E07C16" w:sz="12" w:space="4"/>
        </w:pBdr>
        <w:bidi/>
        <w:spacing w:after="140" w:before="320"/>
        <w:jc w:val="right"/>
      </w:pPr>
      <w:r>
        <w:rPr>
          <w:rFonts w:ascii="Arial" w:cs="Arial" w:eastAsia="Arial" w:hAnsi="Arial"/>
          <w:b/>
          <w:bCs/>
          <w:color w:val="E07C16"/>
          <w:sz w:val="26"/>
          <w:szCs w:val="26"/>
          <w:rtl/>
        </w:rPr>
        <w:t xml:space="preserve">٦.  </w:t>
      </w:r>
      <w:r>
        <w:rPr>
          <w:rFonts w:ascii="Arial" w:cs="Arial" w:eastAsia="Arial" w:hAnsi="Arial"/>
          <w:b/>
          <w:bCs/>
          <w:color w:val="26262A"/>
          <w:sz w:val="26"/>
          <w:szCs w:val="26"/>
          <w:rtl/>
        </w:rPr>
        <w:t xml:space="preserve">المقارنة: درب مالكة للمنصة مقابل ديسكوير مشغّل كامل</w:t>
      </w:r>
    </w:p>
    <w:tbl>
      <w:tblPr>
        <w:bidiVisual/>
        <w:tblW w:type="dxa" w:w="9360"/>
        <w:tblBorders>
          <w:top w:val="single" w:color="D9D7D3" w:sz="4"/>
          <w:left w:val="single" w:color="D9D7D3" w:sz="4"/>
          <w:bottom w:val="single" w:color="D9D7D3" w:sz="4"/>
          <w:right w:val="single" w:color="D9D7D3" w:sz="4"/>
          <w:insideH w:val="single" w:color="D9D7D3" w:sz="4"/>
          <w:insideV w:val="single" w:color="D9D7D3" w:sz="4"/>
        </w:tblBorders>
      </w:tblPr>
      <w:tblGrid>
        <w:gridCol w:w="1700"/>
        <w:gridCol w:w="3830"/>
        <w:gridCol w:w="3830"/>
      </w:tblGrid>
      <w:tr>
        <w:trPr>
          <w:tblHeader/>
        </w:trPr>
        <w:tc>
          <w:tcPr>
            <w:tcW w:type="dxa" w:w="1700"/>
            <w:shd w:fill="F3EFEA" w:color="auto" w:val="clear"/>
            <w:tcMar>
              <w:top w:type="dxa" w:w="70"/>
              <w:left w:type="dxa" w:w="90"/>
              <w:bottom w:type="dxa" w:w="70"/>
              <w:right w:type="dxa" w:w="90"/>
            </w:tcMar>
            <w:vAlign w:val="center"/>
          </w:tcPr>
          <w:p>
            <w:pPr>
              <w:bidi/>
              <w:spacing w:after="0" w:before="0" w:line="300"/>
              <w:jc w:val="center"/>
            </w:pPr>
            <w:r>
              <w:rPr>
                <w:rFonts w:ascii="Arial" w:cs="Arial" w:eastAsia="Arial" w:hAnsi="Arial"/>
                <w:b/>
                <w:bCs/>
                <w:color w:val="26262A"/>
                <w:sz w:val="20"/>
                <w:szCs w:val="20"/>
                <w:rtl/>
              </w:rPr>
              <w:t xml:space="preserve">البُعد</w:t>
            </w:r>
          </w:p>
        </w:tc>
        <w:tc>
          <w:tcPr>
            <w:tcW w:type="dxa" w:w="3830"/>
            <w:shd w:fill="FEF3E6" w:color="auto" w:val="clear"/>
            <w:tcMar>
              <w:top w:type="dxa" w:w="70"/>
              <w:left w:type="dxa" w:w="90"/>
              <w:bottom w:type="dxa" w:w="70"/>
              <w:right w:type="dxa" w:w="90"/>
            </w:tcMar>
            <w:vAlign w:val="center"/>
          </w:tcPr>
          <w:p>
            <w:pPr>
              <w:bidi/>
              <w:spacing w:after="0" w:before="0" w:line="300"/>
              <w:jc w:val="center"/>
            </w:pPr>
            <w:r>
              <w:rPr>
                <w:rFonts w:ascii="Arial" w:cs="Arial" w:eastAsia="Arial" w:hAnsi="Arial"/>
                <w:b/>
                <w:bCs/>
                <w:color w:val="26262A"/>
                <w:sz w:val="20"/>
                <w:szCs w:val="20"/>
                <w:rtl/>
              </w:rPr>
              <w:t xml:space="preserve">🟠 درب تملك المنصة</w:t>
            </w:r>
          </w:p>
        </w:tc>
        <w:tc>
          <w:tcPr>
            <w:tcW w:type="dxa" w:w="3830"/>
            <w:shd w:fill="F3EFEA" w:color="auto" w:val="clear"/>
            <w:tcMar>
              <w:top w:type="dxa" w:w="70"/>
              <w:left w:type="dxa" w:w="90"/>
              <w:bottom w:type="dxa" w:w="70"/>
              <w:right w:type="dxa" w:w="90"/>
            </w:tcMar>
            <w:vAlign w:val="center"/>
          </w:tcPr>
          <w:p>
            <w:pPr>
              <w:bidi/>
              <w:spacing w:after="0" w:before="0" w:line="300"/>
              <w:jc w:val="center"/>
            </w:pPr>
            <w:r>
              <w:rPr>
                <w:rFonts w:ascii="Arial" w:cs="Arial" w:eastAsia="Arial" w:hAnsi="Arial"/>
                <w:b/>
                <w:bCs/>
                <w:color w:val="26262A"/>
                <w:sz w:val="20"/>
                <w:szCs w:val="20"/>
                <w:rtl/>
              </w:rPr>
              <w:t xml:space="preserve">⚪ ديسكوير مشغّل كامل</w:t>
            </w:r>
          </w:p>
        </w:tc>
      </w:tr>
      <w:tr>
        <w:tc>
          <w:tcPr>
            <w:tcW w:type="dxa" w:w="1700"/>
            <w:shd w:fill="F3EFEA" w:color="auto" w:val="clear"/>
            <w:tcMar>
              <w:top w:type="dxa" w:w="70"/>
              <w:left w:type="dxa" w:w="90"/>
              <w:bottom w:type="dxa" w:w="70"/>
              <w:right w:type="dxa" w:w="90"/>
            </w:tcMar>
            <w:vAlign w:val="center"/>
          </w:tcPr>
          <w:p>
            <w:pPr>
              <w:bidi/>
              <w:spacing w:after="0" w:before="0" w:line="260"/>
              <w:jc w:val="right"/>
            </w:pPr>
            <w:r>
              <w:rPr>
                <w:rFonts w:ascii="Arial" w:cs="Arial" w:eastAsia="Arial" w:hAnsi="Arial"/>
                <w:b/>
                <w:bCs/>
                <w:color w:val="26262A"/>
                <w:sz w:val="19"/>
                <w:szCs w:val="19"/>
                <w:rtl/>
              </w:rPr>
              <w:t xml:space="preserve">⚙️ التشغيل</w:t>
            </w:r>
          </w:p>
        </w:tc>
        <w:tc>
          <w:tcPr>
            <w:tcW w:type="dxa" w:w="3830"/>
            <w:shd w:fill="FEF3E6" w:color="auto" w:val="clear"/>
            <w:tcMar>
              <w:top w:type="dxa" w:w="70"/>
              <w:left w:type="dxa" w:w="90"/>
              <w:bottom w:type="dxa" w:w="70"/>
              <w:right w:type="dxa" w:w="90"/>
            </w:tcMar>
            <w:vAlign w:val="center"/>
          </w:tcPr>
          <w:p>
            <w:pPr>
              <w:bidi/>
              <w:spacing w:after="0" w:before="0" w:line="260"/>
              <w:jc w:val="right"/>
            </w:pPr>
            <w:r>
              <w:rPr>
                <w:rFonts w:ascii="Arial" w:cs="Arial" w:eastAsia="Arial" w:hAnsi="Arial"/>
                <w:color w:val="26262A"/>
                <w:sz w:val="19"/>
                <w:szCs w:val="19"/>
                <w:rtl/>
              </w:rPr>
              <w:t xml:space="preserve">تحكّم كامل بالمحرّك والقواعد؛ إطلاق أبطأ لكن مستقل.</w:t>
            </w:r>
          </w:p>
        </w:tc>
        <w:tc>
          <w:tcPr>
            <w:tcW w:type="dxa" w:w="3830"/>
            <w:tcMar>
              <w:top w:type="dxa" w:w="70"/>
              <w:left w:type="dxa" w:w="90"/>
              <w:bottom w:type="dxa" w:w="70"/>
              <w:right w:type="dxa" w:w="90"/>
            </w:tcMar>
            <w:vAlign w:val="center"/>
          </w:tcPr>
          <w:p>
            <w:pPr>
              <w:bidi/>
              <w:spacing w:after="0" w:before="0" w:line="260"/>
              <w:jc w:val="right"/>
            </w:pPr>
            <w:r>
              <w:rPr>
                <w:rFonts w:ascii="Arial" w:cs="Arial" w:eastAsia="Arial" w:hAnsi="Arial"/>
                <w:color w:val="26262A"/>
                <w:sz w:val="19"/>
                <w:szCs w:val="19"/>
                <w:rtl/>
              </w:rPr>
              <w:t xml:space="preserve">منصة جاهزة وإطلاق أسرع؛ أي تعديل يخضع لأولوياتهم.</w:t>
            </w:r>
          </w:p>
        </w:tc>
      </w:tr>
      <w:tr>
        <w:tc>
          <w:tcPr>
            <w:tcW w:type="dxa" w:w="1700"/>
            <w:shd w:fill="F3EFEA" w:color="auto" w:val="clear"/>
            <w:tcMar>
              <w:top w:type="dxa" w:w="70"/>
              <w:left w:type="dxa" w:w="90"/>
              <w:bottom w:type="dxa" w:w="70"/>
              <w:right w:type="dxa" w:w="90"/>
            </w:tcMar>
            <w:vAlign w:val="center"/>
          </w:tcPr>
          <w:p>
            <w:pPr>
              <w:bidi/>
              <w:spacing w:after="0" w:before="0" w:line="260"/>
              <w:jc w:val="right"/>
            </w:pPr>
            <w:r>
              <w:rPr>
                <w:rFonts w:ascii="Arial" w:cs="Arial" w:eastAsia="Arial" w:hAnsi="Arial"/>
                <w:b/>
                <w:bCs/>
                <w:color w:val="26262A"/>
                <w:sz w:val="19"/>
                <w:szCs w:val="19"/>
                <w:rtl/>
              </w:rPr>
              <w:t xml:space="preserve">💰 المالي</w:t>
            </w:r>
          </w:p>
        </w:tc>
        <w:tc>
          <w:tcPr>
            <w:tcW w:type="dxa" w:w="3830"/>
            <w:shd w:fill="FEF3E6" w:color="auto" w:val="clear"/>
            <w:tcMar>
              <w:top w:type="dxa" w:w="70"/>
              <w:left w:type="dxa" w:w="90"/>
              <w:bottom w:type="dxa" w:w="70"/>
              <w:right w:type="dxa" w:w="90"/>
            </w:tcMar>
            <w:vAlign w:val="center"/>
          </w:tcPr>
          <w:p>
            <w:pPr>
              <w:bidi/>
              <w:spacing w:after="0" w:before="0" w:line="260"/>
              <w:jc w:val="right"/>
            </w:pPr>
            <w:r>
              <w:rPr>
                <w:rFonts w:ascii="Arial" w:cs="Arial" w:eastAsia="Arial" w:hAnsi="Arial"/>
                <w:color w:val="26262A"/>
                <w:sz w:val="19"/>
                <w:szCs w:val="19"/>
                <w:rtl/>
              </w:rPr>
              <w:t xml:space="preserve">هامش النقطة كامل؛ الـ Float يبقى داخل درب؛ لا رسوم متكررة.</w:t>
            </w:r>
          </w:p>
        </w:tc>
        <w:tc>
          <w:tcPr>
            <w:tcW w:type="dxa" w:w="3830"/>
            <w:tcMar>
              <w:top w:type="dxa" w:w="70"/>
              <w:left w:type="dxa" w:w="90"/>
              <w:bottom w:type="dxa" w:w="70"/>
              <w:right w:type="dxa" w:w="90"/>
            </w:tcMar>
            <w:vAlign w:val="center"/>
          </w:tcPr>
          <w:p>
            <w:pPr>
              <w:bidi/>
              <w:spacing w:after="0" w:before="0" w:line="260"/>
              <w:jc w:val="right"/>
            </w:pPr>
            <w:r>
              <w:rPr>
                <w:rFonts w:ascii="Arial" w:cs="Arial" w:eastAsia="Arial" w:hAnsi="Arial"/>
                <w:color w:val="26262A"/>
                <w:sz w:val="19"/>
                <w:szCs w:val="19"/>
                <w:rtl/>
              </w:rPr>
              <w:t xml:space="preserve">Setup + رسوم شهرية + رسوم لكل معاملة؛ تسرّب الـ Float.</w:t>
            </w:r>
          </w:p>
        </w:tc>
      </w:tr>
      <w:tr>
        <w:tc>
          <w:tcPr>
            <w:tcW w:type="dxa" w:w="1700"/>
            <w:shd w:fill="F3EFEA" w:color="auto" w:val="clear"/>
            <w:tcMar>
              <w:top w:type="dxa" w:w="70"/>
              <w:left w:type="dxa" w:w="90"/>
              <w:bottom w:type="dxa" w:w="70"/>
              <w:right w:type="dxa" w:w="90"/>
            </w:tcMar>
            <w:vAlign w:val="center"/>
          </w:tcPr>
          <w:p>
            <w:pPr>
              <w:bidi/>
              <w:spacing w:after="0" w:before="0" w:line="260"/>
              <w:jc w:val="right"/>
            </w:pPr>
            <w:r>
              <w:rPr>
                <w:rFonts w:ascii="Arial" w:cs="Arial" w:eastAsia="Arial" w:hAnsi="Arial"/>
                <w:b/>
                <w:bCs/>
                <w:color w:val="26262A"/>
                <w:sz w:val="19"/>
                <w:szCs w:val="19"/>
                <w:rtl/>
              </w:rPr>
              <w:t xml:space="preserve">📣 التسويق</w:t>
            </w:r>
          </w:p>
        </w:tc>
        <w:tc>
          <w:tcPr>
            <w:tcW w:type="dxa" w:w="3830"/>
            <w:shd w:fill="FEF3E6" w:color="auto" w:val="clear"/>
            <w:tcMar>
              <w:top w:type="dxa" w:w="70"/>
              <w:left w:type="dxa" w:w="90"/>
              <w:bottom w:type="dxa" w:w="70"/>
              <w:right w:type="dxa" w:w="90"/>
            </w:tcMar>
            <w:vAlign w:val="center"/>
          </w:tcPr>
          <w:p>
            <w:pPr>
              <w:bidi/>
              <w:spacing w:after="0" w:before="0" w:line="260"/>
              <w:jc w:val="right"/>
            </w:pPr>
            <w:r>
              <w:rPr>
                <w:rFonts w:ascii="Arial" w:cs="Arial" w:eastAsia="Arial" w:hAnsi="Arial"/>
                <w:color w:val="26262A"/>
                <w:sz w:val="19"/>
                <w:szCs w:val="19"/>
                <w:rtl/>
              </w:rPr>
              <w:t xml:space="preserve">ملكية البيانات وحملات دقيقة؛ قائمة مخصّصة لعميل المحطات.</w:t>
            </w:r>
          </w:p>
        </w:tc>
        <w:tc>
          <w:tcPr>
            <w:tcW w:type="dxa" w:w="3830"/>
            <w:tcMar>
              <w:top w:type="dxa" w:w="70"/>
              <w:left w:type="dxa" w:w="90"/>
              <w:bottom w:type="dxa" w:w="70"/>
              <w:right w:type="dxa" w:w="90"/>
            </w:tcMar>
            <w:vAlign w:val="center"/>
          </w:tcPr>
          <w:p>
            <w:pPr>
              <w:bidi/>
              <w:spacing w:after="0" w:before="0" w:line="260"/>
              <w:jc w:val="right"/>
            </w:pPr>
            <w:r>
              <w:rPr>
                <w:rFonts w:ascii="Arial" w:cs="Arial" w:eastAsia="Arial" w:hAnsi="Arial"/>
                <w:color w:val="26262A"/>
                <w:sz w:val="19"/>
                <w:szCs w:val="19"/>
                <w:rtl/>
              </w:rPr>
              <w:t xml:space="preserve">قائمة عامة غير ملائمة؛ قدرة تسويق محدودة لأن البيانات لديهم.</w:t>
            </w:r>
          </w:p>
        </w:tc>
      </w:tr>
      <w:tr>
        <w:tc>
          <w:tcPr>
            <w:tcW w:type="dxa" w:w="1700"/>
            <w:shd w:fill="F3EFEA" w:color="auto" w:val="clear"/>
            <w:tcMar>
              <w:top w:type="dxa" w:w="70"/>
              <w:left w:type="dxa" w:w="90"/>
              <w:bottom w:type="dxa" w:w="70"/>
              <w:right w:type="dxa" w:w="90"/>
            </w:tcMar>
            <w:vAlign w:val="center"/>
          </w:tcPr>
          <w:p>
            <w:pPr>
              <w:bidi/>
              <w:spacing w:after="0" w:before="0" w:line="260"/>
              <w:jc w:val="right"/>
            </w:pPr>
            <w:r>
              <w:rPr>
                <w:rFonts w:ascii="Arial" w:cs="Arial" w:eastAsia="Arial" w:hAnsi="Arial"/>
                <w:b/>
                <w:bCs/>
                <w:color w:val="26262A"/>
                <w:sz w:val="19"/>
                <w:szCs w:val="19"/>
                <w:rtl/>
              </w:rPr>
              <w:t xml:space="preserve">🏛️ الأصول</w:t>
            </w:r>
          </w:p>
        </w:tc>
        <w:tc>
          <w:tcPr>
            <w:tcW w:type="dxa" w:w="3830"/>
            <w:shd w:fill="FEF3E6" w:color="auto" w:val="clear"/>
            <w:tcMar>
              <w:top w:type="dxa" w:w="70"/>
              <w:left w:type="dxa" w:w="90"/>
              <w:bottom w:type="dxa" w:w="70"/>
              <w:right w:type="dxa" w:w="90"/>
            </w:tcMar>
            <w:vAlign w:val="center"/>
          </w:tcPr>
          <w:p>
            <w:pPr>
              <w:bidi/>
              <w:spacing w:after="0" w:before="0" w:line="260"/>
              <w:jc w:val="right"/>
            </w:pPr>
            <w:r>
              <w:rPr>
                <w:rFonts w:ascii="Arial" w:cs="Arial" w:eastAsia="Arial" w:hAnsi="Arial"/>
                <w:color w:val="26262A"/>
                <w:sz w:val="19"/>
                <w:szCs w:val="19"/>
                <w:rtl/>
              </w:rPr>
              <w:t xml:space="preserve">البيانات والمحفظة والعلامة ملك درب؛ أصل متراكم بلا ارتهان.</w:t>
            </w:r>
          </w:p>
        </w:tc>
        <w:tc>
          <w:tcPr>
            <w:tcW w:type="dxa" w:w="3830"/>
            <w:tcMar>
              <w:top w:type="dxa" w:w="70"/>
              <w:left w:type="dxa" w:w="90"/>
              <w:bottom w:type="dxa" w:w="70"/>
              <w:right w:type="dxa" w:w="90"/>
            </w:tcMar>
            <w:vAlign w:val="center"/>
          </w:tcPr>
          <w:p>
            <w:pPr>
              <w:bidi/>
              <w:spacing w:after="0" w:before="0" w:line="260"/>
              <w:jc w:val="right"/>
            </w:pPr>
            <w:r>
              <w:rPr>
                <w:rFonts w:ascii="Arial" w:cs="Arial" w:eastAsia="Arial" w:hAnsi="Arial"/>
                <w:color w:val="26262A"/>
                <w:sz w:val="19"/>
                <w:szCs w:val="19"/>
                <w:rtl/>
              </w:rPr>
              <w:t xml:space="preserve">البيانات والحسابات لديهم؛ ارتهان تعاقدي وخروج مكلّف.</w:t>
            </w:r>
          </w:p>
        </w:tc>
      </w:tr>
    </w:tbl>
    <w:p>
      <w:pPr>
        <w:bidi/>
        <w:spacing w:after="120" w:before="100" w:line="300"/>
        <w:jc w:val="right"/>
      </w:pPr>
      <w:r>
        <w:rPr>
          <w:rFonts w:ascii="Arial" w:cs="Arial" w:eastAsia="Arial" w:hAnsi="Arial"/>
          <w:b/>
          <w:bCs/>
          <w:color w:val="E07C16"/>
          <w:sz w:val="22"/>
          <w:szCs w:val="22"/>
          <w:rtl/>
        </w:rPr>
        <w:t xml:space="preserve">الحكم: </w:t>
      </w:r>
      <w:r>
        <w:rPr>
          <w:rFonts w:ascii="Arial" w:cs="Arial" w:eastAsia="Arial" w:hAnsi="Arial"/>
          <w:color w:val="26262A"/>
          <w:sz w:val="22"/>
          <w:szCs w:val="22"/>
          <w:rtl/>
        </w:rPr>
        <w:t xml:space="preserve">متقارب في التشغيل، ولصالح درب في المالي والتسويق والأصول.</w:t>
      </w:r>
    </w:p>
    <w:p>
      <w:pPr>
        <w:pStyle w:val="Heading1"/>
        <w:pBdr>
          <w:bottom w:val="single" w:color="E07C16" w:sz="12" w:space="4"/>
        </w:pBdr>
        <w:bidi/>
        <w:spacing w:after="140" w:before="320"/>
        <w:jc w:val="right"/>
      </w:pPr>
      <w:r>
        <w:rPr>
          <w:rFonts w:ascii="Arial" w:cs="Arial" w:eastAsia="Arial" w:hAnsi="Arial"/>
          <w:b/>
          <w:bCs/>
          <w:color w:val="E07C16"/>
          <w:sz w:val="26"/>
          <w:szCs w:val="26"/>
          <w:rtl/>
        </w:rPr>
        <w:t xml:space="preserve">٧.  </w:t>
      </w:r>
      <w:r>
        <w:rPr>
          <w:rFonts w:ascii="Arial" w:cs="Arial" w:eastAsia="Arial" w:hAnsi="Arial"/>
          <w:b/>
          <w:bCs/>
          <w:color w:val="26262A"/>
          <w:sz w:val="26"/>
          <w:szCs w:val="26"/>
          <w:rtl/>
        </w:rPr>
        <w:t xml:space="preserve">المقارنة المرجعية — ساسكو (المنافس المباشر)</w:t>
      </w:r>
    </w:p>
    <w:p>
      <w:pPr>
        <w:bidi/>
        <w:spacing w:after="120" w:before="0" w:line="300"/>
        <w:jc w:val="right"/>
      </w:pPr>
      <w:r>
        <w:rPr>
          <w:rFonts w:ascii="Arial" w:cs="Arial" w:eastAsia="Arial" w:hAnsi="Arial"/>
          <w:color w:val="26262A"/>
          <w:sz w:val="22"/>
          <w:szCs w:val="22"/>
          <w:rtl/>
        </w:rPr>
        <w:t xml:space="preserve">يوفّر تطبيق «ساسكو Control» محفظة رقمية (شحن عبر مدى/فيزا/ماستركارد)، ودفعاً بـ QR، ونقاط كاش باك تُستبدل داخل مطاعم وكافيهات ساسكو، وخدمة «اشحن وادفع لاحقاً» بالشراكة مع شركة التمويل المرخّصة «إمكان».</w:t>
      </w:r>
    </w:p>
    <w:p>
      <w:pPr>
        <w:pStyle w:val="Heading2"/>
        <w:bidi/>
        <w:spacing w:after="100" w:before="200"/>
        <w:jc w:val="right"/>
      </w:pPr>
      <w:r>
        <w:rPr>
          <w:rFonts w:ascii="Arial" w:cs="Arial" w:eastAsia="Arial" w:hAnsi="Arial"/>
          <w:b/>
          <w:bCs/>
          <w:color w:val="E07C16"/>
          <w:sz w:val="23"/>
          <w:szCs w:val="23"/>
          <w:rtl/>
        </w:rPr>
        <w:t xml:space="preserve">الدلالة</w:t>
      </w:r>
    </w:p>
    <w:p>
      <w:pPr>
        <w:pStyle w:val="ListParagraph"/>
        <w:numPr>
          <w:ilvl w:val="0"/>
          <w:numId w:val="2"/>
        </w:numPr>
        <w:bidi/>
        <w:spacing w:after="60" w:before="0" w:line="290"/>
        <w:jc w:val="right"/>
      </w:pPr>
      <w:r>
        <w:rPr>
          <w:rFonts w:ascii="Arial" w:cs="Arial" w:eastAsia="Arial" w:hAnsi="Arial"/>
          <w:b/>
          <w:bCs/>
          <w:color w:val="26262A"/>
          <w:sz w:val="22"/>
          <w:szCs w:val="22"/>
          <w:rtl/>
        </w:rPr>
        <w:t xml:space="preserve">• </w:t>
      </w:r>
      <w:r>
        <w:rPr>
          <w:rFonts w:ascii="Arial" w:cs="Arial" w:eastAsia="Arial" w:hAnsi="Arial"/>
          <w:color w:val="26262A"/>
          <w:sz w:val="22"/>
          <w:szCs w:val="22"/>
          <w:rtl/>
        </w:rPr>
        <w:t xml:space="preserve">نقاط ساسكو مغلقة (تُستبدل داخل منافذهم) — نفس اختيار درب.</w:t>
      </w:r>
    </w:p>
    <w:p>
      <w:pPr>
        <w:pStyle w:val="ListParagraph"/>
        <w:numPr>
          <w:ilvl w:val="0"/>
          <w:numId w:val="2"/>
        </w:numPr>
        <w:bidi/>
        <w:spacing w:after="60" w:before="0" w:line="290"/>
        <w:jc w:val="right"/>
      </w:pPr>
      <w:r>
        <w:rPr>
          <w:rFonts w:ascii="Arial" w:cs="Arial" w:eastAsia="Arial" w:hAnsi="Arial"/>
          <w:b/>
          <w:bCs/>
          <w:color w:val="26262A"/>
          <w:sz w:val="22"/>
          <w:szCs w:val="22"/>
          <w:rtl/>
        </w:rPr>
        <w:t xml:space="preserve">• </w:t>
      </w:r>
      <w:r>
        <w:rPr>
          <w:rFonts w:ascii="Arial" w:cs="Arial" w:eastAsia="Arial" w:hAnsi="Arial"/>
          <w:color w:val="26262A"/>
          <w:sz w:val="22"/>
          <w:szCs w:val="22"/>
          <w:rtl/>
        </w:rPr>
        <w:t xml:space="preserve">لم يبنِ ساسكو الجزء المالي المرخّص بنفسه، بل استأجر شريكاً مرخّصاً (إمكان) — وهو المخرج الموصى به لدرب.</w:t>
      </w:r>
    </w:p>
    <w:p>
      <w:pPr>
        <w:pStyle w:val="ListParagraph"/>
        <w:numPr>
          <w:ilvl w:val="0"/>
          <w:numId w:val="2"/>
        </w:numPr>
        <w:bidi/>
        <w:spacing w:after="60" w:before="0" w:line="290"/>
        <w:jc w:val="right"/>
      </w:pPr>
      <w:r>
        <w:rPr>
          <w:rFonts w:ascii="Arial" w:cs="Arial" w:eastAsia="Arial" w:hAnsi="Arial"/>
          <w:b/>
          <w:bCs/>
          <w:color w:val="26262A"/>
          <w:sz w:val="22"/>
          <w:szCs w:val="22"/>
          <w:rtl/>
        </w:rPr>
        <w:t xml:space="preserve">• </w:t>
      </w:r>
      <w:r>
        <w:rPr>
          <w:rFonts w:ascii="Arial" w:cs="Arial" w:eastAsia="Arial" w:hAnsi="Arial"/>
          <w:color w:val="26262A"/>
          <w:sz w:val="22"/>
          <w:szCs w:val="22"/>
          <w:rtl/>
        </w:rPr>
        <w:t xml:space="preserve">احتفظ ساسكو بالمنصة والبيانات والعميل، ولم يسلّمها لمشغّل خارجي.</w:t>
      </w:r>
    </w:p>
    <w:p>
      <w:pPr>
        <w:bidi/>
        <w:spacing w:after="120" w:before="0" w:line="300"/>
        <w:jc w:val="right"/>
      </w:pPr>
      <w:r>
        <w:rPr>
          <w:rFonts w:ascii="Arial" w:cs="Arial" w:eastAsia="Arial" w:hAnsi="Arial"/>
          <w:b/>
          <w:bCs/>
          <w:color w:val="26262A"/>
          <w:sz w:val="22"/>
          <w:szCs w:val="22"/>
          <w:rtl/>
        </w:rPr>
        <w:t xml:space="preserve">الخلاصة: </w:t>
      </w:r>
      <w:r>
        <w:rPr>
          <w:rFonts w:ascii="Arial" w:cs="Arial" w:eastAsia="Arial" w:hAnsi="Arial"/>
          <w:color w:val="26262A"/>
          <w:sz w:val="22"/>
          <w:szCs w:val="22"/>
          <w:rtl/>
        </w:rPr>
        <w:t xml:space="preserve">اختار المنافس المباشر مسار الملكية + الشركاء المرخّصين، لا مسار التسليم الكامل — وهو ذاته المسار الموصى به في هذا التقرير.</w:t>
      </w:r>
    </w:p>
    <w:p>
      <w:pPr>
        <w:pStyle w:val="Heading1"/>
        <w:pBdr>
          <w:bottom w:val="single" w:color="E07C16" w:sz="12" w:space="4"/>
        </w:pBdr>
        <w:bidi/>
        <w:spacing w:after="140" w:before="320"/>
        <w:jc w:val="right"/>
      </w:pPr>
      <w:r>
        <w:rPr>
          <w:rFonts w:ascii="Arial" w:cs="Arial" w:eastAsia="Arial" w:hAnsi="Arial"/>
          <w:b/>
          <w:bCs/>
          <w:color w:val="E07C16"/>
          <w:sz w:val="26"/>
          <w:szCs w:val="26"/>
          <w:rtl/>
        </w:rPr>
        <w:t xml:space="preserve">٨.  </w:t>
      </w:r>
      <w:r>
        <w:rPr>
          <w:rFonts w:ascii="Arial" w:cs="Arial" w:eastAsia="Arial" w:hAnsi="Arial"/>
          <w:b/>
          <w:bCs/>
          <w:color w:val="26262A"/>
          <w:sz w:val="26"/>
          <w:szCs w:val="26"/>
          <w:rtl/>
        </w:rPr>
        <w:t xml:space="preserve">بدائل شبكة ديسكوير</w:t>
      </w:r>
    </w:p>
    <w:p>
      <w:pPr>
        <w:bidi/>
        <w:spacing w:after="120" w:before="0" w:line="300"/>
        <w:jc w:val="right"/>
      </w:pPr>
      <w:r>
        <w:rPr>
          <w:rFonts w:ascii="Arial" w:cs="Arial" w:eastAsia="Arial" w:hAnsi="Arial"/>
          <w:color w:val="26262A"/>
          <w:sz w:val="22"/>
          <w:szCs w:val="22"/>
          <w:rtl/>
        </w:rPr>
        <w:t xml:space="preserve">يجمع عرض ديسكوير خدمتين قابلتين للفصل: شبكة الاستبدال (بطاقات هدايا) وهي سهلة الاستبدال، وشركاء الكسب (تجار محليون) وهي قيمة درب الأساسية التي لا يُستحسن إسنادها لطرف خارجي.</w:t>
      </w:r>
    </w:p>
    <w:tbl>
      <w:tblPr>
        <w:bidiVisual/>
        <w:tblW w:type="dxa" w:w="9360"/>
        <w:tblBorders>
          <w:top w:val="single" w:color="D9D7D3" w:sz="4"/>
          <w:left w:val="single" w:color="D9D7D3" w:sz="4"/>
          <w:bottom w:val="single" w:color="D9D7D3" w:sz="4"/>
          <w:right w:val="single" w:color="D9D7D3" w:sz="4"/>
          <w:insideH w:val="single" w:color="D9D7D3" w:sz="4"/>
          <w:insideV w:val="single" w:color="D9D7D3" w:sz="4"/>
        </w:tblBorders>
      </w:tblPr>
      <w:tblGrid>
        <w:gridCol w:w="1900"/>
        <w:gridCol w:w="2490"/>
        <w:gridCol w:w="2490"/>
        <w:gridCol w:w="2480"/>
      </w:tblGrid>
      <w:tr>
        <w:trPr>
          <w:tblHeader/>
        </w:trPr>
        <w:tc>
          <w:tcPr>
            <w:tcW w:type="dxa" w:w="1900"/>
            <w:shd w:fill="F3EFEA" w:color="auto" w:val="clear"/>
            <w:tcMar>
              <w:top w:type="dxa" w:w="70"/>
              <w:left w:type="dxa" w:w="90"/>
              <w:bottom w:type="dxa" w:w="70"/>
              <w:right w:type="dxa" w:w="90"/>
            </w:tcMar>
            <w:vAlign w:val="center"/>
          </w:tcPr>
          <w:p>
            <w:pPr>
              <w:bidi/>
              <w:spacing w:after="0" w:before="0" w:line="300"/>
              <w:jc w:val="center"/>
            </w:pPr>
            <w:r>
              <w:rPr>
                <w:rFonts w:ascii="Arial" w:cs="Arial" w:eastAsia="Arial" w:hAnsi="Arial"/>
                <w:b/>
                <w:bCs/>
                <w:color w:val="26262A"/>
                <w:sz w:val="20"/>
                <w:szCs w:val="20"/>
                <w:rtl/>
              </w:rPr>
              <w:t xml:space="preserve">المعيار</w:t>
            </w:r>
          </w:p>
        </w:tc>
        <w:tc>
          <w:tcPr>
            <w:tcW w:type="dxa" w:w="2490"/>
            <w:shd w:fill="F3EFEA" w:color="auto" w:val="clear"/>
            <w:tcMar>
              <w:top w:type="dxa" w:w="70"/>
              <w:left w:type="dxa" w:w="90"/>
              <w:bottom w:type="dxa" w:w="70"/>
              <w:right w:type="dxa" w:w="90"/>
            </w:tcMar>
            <w:vAlign w:val="center"/>
          </w:tcPr>
          <w:p>
            <w:pPr>
              <w:bidi/>
              <w:spacing w:after="0" w:before="0" w:line="300"/>
              <w:jc w:val="center"/>
            </w:pPr>
            <w:r>
              <w:rPr>
                <w:rFonts w:ascii="Arial" w:cs="Arial" w:eastAsia="Arial" w:hAnsi="Arial"/>
                <w:b/>
                <w:bCs/>
                <w:color w:val="26262A"/>
                <w:sz w:val="20"/>
                <w:szCs w:val="20"/>
                <w:rtl/>
              </w:rPr>
              <w:t xml:space="preserve">ديسكوير — مشغّل كامل</w:t>
            </w:r>
          </w:p>
        </w:tc>
        <w:tc>
          <w:tcPr>
            <w:tcW w:type="dxa" w:w="2490"/>
            <w:shd w:fill="FEF3E6" w:color="auto" w:val="clear"/>
            <w:tcMar>
              <w:top w:type="dxa" w:w="70"/>
              <w:left w:type="dxa" w:w="90"/>
              <w:bottom w:type="dxa" w:w="70"/>
              <w:right w:type="dxa" w:w="90"/>
            </w:tcMar>
            <w:vAlign w:val="center"/>
          </w:tcPr>
          <w:p>
            <w:pPr>
              <w:bidi/>
              <w:spacing w:after="0" w:before="0" w:line="300"/>
              <w:jc w:val="center"/>
            </w:pPr>
            <w:r>
              <w:rPr>
                <w:rFonts w:ascii="Arial" w:cs="Arial" w:eastAsia="Arial" w:hAnsi="Arial"/>
                <w:b/>
                <w:bCs/>
                <w:color w:val="26262A"/>
                <w:sz w:val="20"/>
                <w:szCs w:val="20"/>
                <w:rtl/>
              </w:rPr>
              <w:t xml:space="preserve">البديل الموصى</w:t>
            </w:r>
          </w:p>
        </w:tc>
        <w:tc>
          <w:tcPr>
            <w:tcW w:type="dxa" w:w="2480"/>
            <w:shd w:fill="F3EFEA" w:color="auto" w:val="clear"/>
            <w:tcMar>
              <w:top w:type="dxa" w:w="70"/>
              <w:left w:type="dxa" w:w="90"/>
              <w:bottom w:type="dxa" w:w="70"/>
              <w:right w:type="dxa" w:w="90"/>
            </w:tcMar>
            <w:vAlign w:val="center"/>
          </w:tcPr>
          <w:p>
            <w:pPr>
              <w:bidi/>
              <w:spacing w:after="0" w:before="0" w:line="300"/>
              <w:jc w:val="center"/>
            </w:pPr>
            <w:r>
              <w:rPr>
                <w:rFonts w:ascii="Arial" w:cs="Arial" w:eastAsia="Arial" w:hAnsi="Arial"/>
                <w:b/>
                <w:bCs/>
                <w:color w:val="26262A"/>
                <w:sz w:val="20"/>
                <w:szCs w:val="20"/>
                <w:rtl/>
              </w:rPr>
              <w:t xml:space="preserve">بناء كامل من الصفر</w:t>
            </w:r>
          </w:p>
        </w:tc>
      </w:tr>
      <w:tr>
        <w:tc>
          <w:tcPr>
            <w:tcW w:type="dxa" w:w="1900"/>
            <w:shd w:fill="F3EFEA" w:color="auto" w:val="clear"/>
            <w:tcMar>
              <w:top w:type="dxa" w:w="70"/>
              <w:left w:type="dxa" w:w="90"/>
              <w:bottom w:type="dxa" w:w="70"/>
              <w:right w:type="dxa" w:w="90"/>
            </w:tcMar>
            <w:vAlign w:val="center"/>
          </w:tcPr>
          <w:p>
            <w:pPr>
              <w:bidi/>
              <w:spacing w:after="0" w:before="0" w:line="260"/>
              <w:jc w:val="right"/>
            </w:pPr>
            <w:r>
              <w:rPr>
                <w:rFonts w:ascii="Arial" w:cs="Arial" w:eastAsia="Arial" w:hAnsi="Arial"/>
                <w:b/>
                <w:bCs/>
                <w:color w:val="26262A"/>
                <w:sz w:val="19"/>
                <w:szCs w:val="19"/>
                <w:rtl/>
              </w:rPr>
              <w:t xml:space="preserve">سرعة الإطلاق</w:t>
            </w:r>
          </w:p>
        </w:tc>
        <w:tc>
          <w:tcPr>
            <w:tcW w:type="dxa" w:w="2490"/>
            <w:tcMar>
              <w:top w:type="dxa" w:w="70"/>
              <w:left w:type="dxa" w:w="90"/>
              <w:bottom w:type="dxa" w:w="70"/>
              <w:right w:type="dxa" w:w="90"/>
            </w:tcMar>
            <w:vAlign w:val="center"/>
          </w:tcPr>
          <w:p>
            <w:pPr>
              <w:bidi/>
              <w:spacing w:after="0" w:before="0" w:line="260"/>
              <w:jc w:val="center"/>
            </w:pPr>
            <w:r>
              <w:rPr>
                <w:rFonts w:ascii="Arial" w:cs="Arial" w:eastAsia="Arial" w:hAnsi="Arial"/>
                <w:color w:val="26262A"/>
                <w:sz w:val="19"/>
                <w:szCs w:val="19"/>
                <w:rtl/>
              </w:rPr>
              <w:t xml:space="preserve">سريعة</w:t>
            </w:r>
          </w:p>
        </w:tc>
        <w:tc>
          <w:tcPr>
            <w:tcW w:type="dxa" w:w="2490"/>
            <w:shd w:fill="FEF3E6" w:color="auto" w:val="clear"/>
            <w:tcMar>
              <w:top w:type="dxa" w:w="70"/>
              <w:left w:type="dxa" w:w="90"/>
              <w:bottom w:type="dxa" w:w="70"/>
              <w:right w:type="dxa" w:w="90"/>
            </w:tcMar>
            <w:vAlign w:val="center"/>
          </w:tcPr>
          <w:p>
            <w:pPr>
              <w:bidi/>
              <w:spacing w:after="0" w:before="0" w:line="260"/>
              <w:jc w:val="center"/>
            </w:pPr>
            <w:r>
              <w:rPr>
                <w:rFonts w:ascii="Arial" w:cs="Arial" w:eastAsia="Arial" w:hAnsi="Arial"/>
                <w:b/>
                <w:bCs/>
                <w:color w:val="26262A"/>
                <w:sz w:val="19"/>
                <w:szCs w:val="19"/>
                <w:rtl/>
              </w:rPr>
              <w:t xml:space="preserve">سريعة</w:t>
            </w:r>
          </w:p>
        </w:tc>
        <w:tc>
          <w:tcPr>
            <w:tcW w:type="dxa" w:w="2480"/>
            <w:tcMar>
              <w:top w:type="dxa" w:w="70"/>
              <w:left w:type="dxa" w:w="90"/>
              <w:bottom w:type="dxa" w:w="70"/>
              <w:right w:type="dxa" w:w="90"/>
            </w:tcMar>
            <w:vAlign w:val="center"/>
          </w:tcPr>
          <w:p>
            <w:pPr>
              <w:bidi/>
              <w:spacing w:after="0" w:before="0" w:line="260"/>
              <w:jc w:val="center"/>
            </w:pPr>
            <w:r>
              <w:rPr>
                <w:rFonts w:ascii="Arial" w:cs="Arial" w:eastAsia="Arial" w:hAnsi="Arial"/>
                <w:color w:val="26262A"/>
                <w:sz w:val="19"/>
                <w:szCs w:val="19"/>
                <w:rtl/>
              </w:rPr>
              <w:t xml:space="preserve">بطيئة</w:t>
            </w:r>
          </w:p>
        </w:tc>
      </w:tr>
      <w:tr>
        <w:tc>
          <w:tcPr>
            <w:tcW w:type="dxa" w:w="1900"/>
            <w:shd w:fill="F3EFEA" w:color="auto" w:val="clear"/>
            <w:tcMar>
              <w:top w:type="dxa" w:w="70"/>
              <w:left w:type="dxa" w:w="90"/>
              <w:bottom w:type="dxa" w:w="70"/>
              <w:right w:type="dxa" w:w="90"/>
            </w:tcMar>
            <w:vAlign w:val="center"/>
          </w:tcPr>
          <w:p>
            <w:pPr>
              <w:bidi/>
              <w:spacing w:after="0" w:before="0" w:line="260"/>
              <w:jc w:val="right"/>
            </w:pPr>
            <w:r>
              <w:rPr>
                <w:rFonts w:ascii="Arial" w:cs="Arial" w:eastAsia="Arial" w:hAnsi="Arial"/>
                <w:b/>
                <w:bCs/>
                <w:color w:val="26262A"/>
                <w:sz w:val="19"/>
                <w:szCs w:val="19"/>
                <w:rtl/>
              </w:rPr>
              <w:t xml:space="preserve">التكلفة</w:t>
            </w:r>
          </w:p>
        </w:tc>
        <w:tc>
          <w:tcPr>
            <w:tcW w:type="dxa" w:w="2490"/>
            <w:tcMar>
              <w:top w:type="dxa" w:w="70"/>
              <w:left w:type="dxa" w:w="90"/>
              <w:bottom w:type="dxa" w:w="70"/>
              <w:right w:type="dxa" w:w="90"/>
            </w:tcMar>
            <w:vAlign w:val="center"/>
          </w:tcPr>
          <w:p>
            <w:pPr>
              <w:bidi/>
              <w:spacing w:after="0" w:before="0" w:line="260"/>
              <w:jc w:val="center"/>
            </w:pPr>
            <w:r>
              <w:rPr>
                <w:rFonts w:ascii="Arial" w:cs="Arial" w:eastAsia="Arial" w:hAnsi="Arial"/>
                <w:color w:val="26262A"/>
                <w:sz w:val="19"/>
                <w:szCs w:val="19"/>
                <w:rtl/>
              </w:rPr>
              <w:t xml:space="preserve">رسوم متكررة</w:t>
            </w:r>
          </w:p>
        </w:tc>
        <w:tc>
          <w:tcPr>
            <w:tcW w:type="dxa" w:w="2490"/>
            <w:shd w:fill="FEF3E6" w:color="auto" w:val="clear"/>
            <w:tcMar>
              <w:top w:type="dxa" w:w="70"/>
              <w:left w:type="dxa" w:w="90"/>
              <w:bottom w:type="dxa" w:w="70"/>
              <w:right w:type="dxa" w:w="90"/>
            </w:tcMar>
            <w:vAlign w:val="center"/>
          </w:tcPr>
          <w:p>
            <w:pPr>
              <w:bidi/>
              <w:spacing w:after="0" w:before="0" w:line="260"/>
              <w:jc w:val="center"/>
            </w:pPr>
            <w:r>
              <w:rPr>
                <w:rFonts w:ascii="Arial" w:cs="Arial" w:eastAsia="Arial" w:hAnsi="Arial"/>
                <w:b/>
                <w:bCs/>
                <w:color w:val="26262A"/>
                <w:sz w:val="19"/>
                <w:szCs w:val="19"/>
                <w:rtl/>
              </w:rPr>
              <w:t xml:space="preserve">لكل قسيمة فقط</w:t>
            </w:r>
          </w:p>
        </w:tc>
        <w:tc>
          <w:tcPr>
            <w:tcW w:type="dxa" w:w="2480"/>
            <w:tcMar>
              <w:top w:type="dxa" w:w="70"/>
              <w:left w:type="dxa" w:w="90"/>
              <w:bottom w:type="dxa" w:w="70"/>
              <w:right w:type="dxa" w:w="90"/>
            </w:tcMar>
            <w:vAlign w:val="center"/>
          </w:tcPr>
          <w:p>
            <w:pPr>
              <w:bidi/>
              <w:spacing w:after="0" w:before="0" w:line="260"/>
              <w:jc w:val="center"/>
            </w:pPr>
            <w:r>
              <w:rPr>
                <w:rFonts w:ascii="Arial" w:cs="Arial" w:eastAsia="Arial" w:hAnsi="Arial"/>
                <w:color w:val="26262A"/>
                <w:sz w:val="19"/>
                <w:szCs w:val="19"/>
                <w:rtl/>
              </w:rPr>
              <w:t xml:space="preserve">Capex عالٍ</w:t>
            </w:r>
          </w:p>
        </w:tc>
      </w:tr>
      <w:tr>
        <w:tc>
          <w:tcPr>
            <w:tcW w:type="dxa" w:w="1900"/>
            <w:shd w:fill="F3EFEA" w:color="auto" w:val="clear"/>
            <w:tcMar>
              <w:top w:type="dxa" w:w="70"/>
              <w:left w:type="dxa" w:w="90"/>
              <w:bottom w:type="dxa" w:w="70"/>
              <w:right w:type="dxa" w:w="90"/>
            </w:tcMar>
            <w:vAlign w:val="center"/>
          </w:tcPr>
          <w:p>
            <w:pPr>
              <w:bidi/>
              <w:spacing w:after="0" w:before="0" w:line="260"/>
              <w:jc w:val="right"/>
            </w:pPr>
            <w:r>
              <w:rPr>
                <w:rFonts w:ascii="Arial" w:cs="Arial" w:eastAsia="Arial" w:hAnsi="Arial"/>
                <w:b/>
                <w:bCs/>
                <w:color w:val="26262A"/>
                <w:sz w:val="19"/>
                <w:szCs w:val="19"/>
                <w:rtl/>
              </w:rPr>
              <w:t xml:space="preserve">الجهد التقني</w:t>
            </w:r>
          </w:p>
        </w:tc>
        <w:tc>
          <w:tcPr>
            <w:tcW w:type="dxa" w:w="2490"/>
            <w:tcMar>
              <w:top w:type="dxa" w:w="70"/>
              <w:left w:type="dxa" w:w="90"/>
              <w:bottom w:type="dxa" w:w="70"/>
              <w:right w:type="dxa" w:w="90"/>
            </w:tcMar>
            <w:vAlign w:val="center"/>
          </w:tcPr>
          <w:p>
            <w:pPr>
              <w:bidi/>
              <w:spacing w:after="0" w:before="0" w:line="260"/>
              <w:jc w:val="center"/>
            </w:pPr>
            <w:r>
              <w:rPr>
                <w:rFonts w:ascii="Arial" w:cs="Arial" w:eastAsia="Arial" w:hAnsi="Arial"/>
                <w:color w:val="26262A"/>
                <w:sz w:val="19"/>
                <w:szCs w:val="19"/>
                <w:rtl/>
              </w:rPr>
              <w:t xml:space="preserve">منخفض</w:t>
            </w:r>
          </w:p>
        </w:tc>
        <w:tc>
          <w:tcPr>
            <w:tcW w:type="dxa" w:w="2490"/>
            <w:shd w:fill="FEF3E6" w:color="auto" w:val="clear"/>
            <w:tcMar>
              <w:top w:type="dxa" w:w="70"/>
              <w:left w:type="dxa" w:w="90"/>
              <w:bottom w:type="dxa" w:w="70"/>
              <w:right w:type="dxa" w:w="90"/>
            </w:tcMar>
            <w:vAlign w:val="center"/>
          </w:tcPr>
          <w:p>
            <w:pPr>
              <w:bidi/>
              <w:spacing w:after="0" w:before="0" w:line="260"/>
              <w:jc w:val="center"/>
            </w:pPr>
            <w:r>
              <w:rPr>
                <w:rFonts w:ascii="Arial" w:cs="Arial" w:eastAsia="Arial" w:hAnsi="Arial"/>
                <w:b/>
                <w:bCs/>
                <w:color w:val="26262A"/>
                <w:sz w:val="19"/>
                <w:szCs w:val="19"/>
                <w:rtl/>
              </w:rPr>
              <w:t xml:space="preserve">متوسط</w:t>
            </w:r>
          </w:p>
        </w:tc>
        <w:tc>
          <w:tcPr>
            <w:tcW w:type="dxa" w:w="2480"/>
            <w:tcMar>
              <w:top w:type="dxa" w:w="70"/>
              <w:left w:type="dxa" w:w="90"/>
              <w:bottom w:type="dxa" w:w="70"/>
              <w:right w:type="dxa" w:w="90"/>
            </w:tcMar>
            <w:vAlign w:val="center"/>
          </w:tcPr>
          <w:p>
            <w:pPr>
              <w:bidi/>
              <w:spacing w:after="0" w:before="0" w:line="260"/>
              <w:jc w:val="center"/>
            </w:pPr>
            <w:r>
              <w:rPr>
                <w:rFonts w:ascii="Arial" w:cs="Arial" w:eastAsia="Arial" w:hAnsi="Arial"/>
                <w:color w:val="26262A"/>
                <w:sz w:val="19"/>
                <w:szCs w:val="19"/>
                <w:rtl/>
              </w:rPr>
              <w:t xml:space="preserve">مرتفع جداً</w:t>
            </w:r>
          </w:p>
        </w:tc>
      </w:tr>
      <w:tr>
        <w:tc>
          <w:tcPr>
            <w:tcW w:type="dxa" w:w="1900"/>
            <w:shd w:fill="F3EFEA" w:color="auto" w:val="clear"/>
            <w:tcMar>
              <w:top w:type="dxa" w:w="70"/>
              <w:left w:type="dxa" w:w="90"/>
              <w:bottom w:type="dxa" w:w="70"/>
              <w:right w:type="dxa" w:w="90"/>
            </w:tcMar>
            <w:vAlign w:val="center"/>
          </w:tcPr>
          <w:p>
            <w:pPr>
              <w:bidi/>
              <w:spacing w:after="0" w:before="0" w:line="260"/>
              <w:jc w:val="right"/>
            </w:pPr>
            <w:r>
              <w:rPr>
                <w:rFonts w:ascii="Arial" w:cs="Arial" w:eastAsia="Arial" w:hAnsi="Arial"/>
                <w:b/>
                <w:bCs/>
                <w:color w:val="26262A"/>
                <w:sz w:val="19"/>
                <w:szCs w:val="19"/>
                <w:rtl/>
              </w:rPr>
              <w:t xml:space="preserve">الملكية والبيانات</w:t>
            </w:r>
          </w:p>
        </w:tc>
        <w:tc>
          <w:tcPr>
            <w:tcW w:type="dxa" w:w="2490"/>
            <w:tcMar>
              <w:top w:type="dxa" w:w="70"/>
              <w:left w:type="dxa" w:w="90"/>
              <w:bottom w:type="dxa" w:w="70"/>
              <w:right w:type="dxa" w:w="90"/>
            </w:tcMar>
            <w:vAlign w:val="center"/>
          </w:tcPr>
          <w:p>
            <w:pPr>
              <w:bidi/>
              <w:spacing w:after="0" w:before="0" w:line="260"/>
              <w:jc w:val="center"/>
            </w:pPr>
            <w:r>
              <w:rPr>
                <w:rFonts w:ascii="Arial" w:cs="Arial" w:eastAsia="Arial" w:hAnsi="Arial"/>
                <w:color w:val="26262A"/>
                <w:sz w:val="19"/>
                <w:szCs w:val="19"/>
                <w:rtl/>
              </w:rPr>
              <w:t xml:space="preserve">لديهم</w:t>
            </w:r>
          </w:p>
        </w:tc>
        <w:tc>
          <w:tcPr>
            <w:tcW w:type="dxa" w:w="2490"/>
            <w:shd w:fill="FEF3E6" w:color="auto" w:val="clear"/>
            <w:tcMar>
              <w:top w:type="dxa" w:w="70"/>
              <w:left w:type="dxa" w:w="90"/>
              <w:bottom w:type="dxa" w:w="70"/>
              <w:right w:type="dxa" w:w="90"/>
            </w:tcMar>
            <w:vAlign w:val="center"/>
          </w:tcPr>
          <w:p>
            <w:pPr>
              <w:bidi/>
              <w:spacing w:after="0" w:before="0" w:line="260"/>
              <w:jc w:val="center"/>
            </w:pPr>
            <w:r>
              <w:rPr>
                <w:rFonts w:ascii="Arial" w:cs="Arial" w:eastAsia="Arial" w:hAnsi="Arial"/>
                <w:b/>
                <w:bCs/>
                <w:color w:val="26262A"/>
                <w:sz w:val="19"/>
                <w:szCs w:val="19"/>
                <w:rtl/>
              </w:rPr>
              <w:t xml:space="preserve">كاملة لدرب</w:t>
            </w:r>
          </w:p>
        </w:tc>
        <w:tc>
          <w:tcPr>
            <w:tcW w:type="dxa" w:w="2480"/>
            <w:tcMar>
              <w:top w:type="dxa" w:w="70"/>
              <w:left w:type="dxa" w:w="90"/>
              <w:bottom w:type="dxa" w:w="70"/>
              <w:right w:type="dxa" w:w="90"/>
            </w:tcMar>
            <w:vAlign w:val="center"/>
          </w:tcPr>
          <w:p>
            <w:pPr>
              <w:bidi/>
              <w:spacing w:after="0" w:before="0" w:line="260"/>
              <w:jc w:val="center"/>
            </w:pPr>
            <w:r>
              <w:rPr>
                <w:rFonts w:ascii="Arial" w:cs="Arial" w:eastAsia="Arial" w:hAnsi="Arial"/>
                <w:color w:val="26262A"/>
                <w:sz w:val="19"/>
                <w:szCs w:val="19"/>
                <w:rtl/>
              </w:rPr>
              <w:t xml:space="preserve">كاملة لدرب</w:t>
            </w:r>
          </w:p>
        </w:tc>
      </w:tr>
      <w:tr>
        <w:tc>
          <w:tcPr>
            <w:tcW w:type="dxa" w:w="1900"/>
            <w:shd w:fill="F3EFEA" w:color="auto" w:val="clear"/>
            <w:tcMar>
              <w:top w:type="dxa" w:w="70"/>
              <w:left w:type="dxa" w:w="90"/>
              <w:bottom w:type="dxa" w:w="70"/>
              <w:right w:type="dxa" w:w="90"/>
            </w:tcMar>
            <w:vAlign w:val="center"/>
          </w:tcPr>
          <w:p>
            <w:pPr>
              <w:bidi/>
              <w:spacing w:after="0" w:before="0" w:line="260"/>
              <w:jc w:val="right"/>
            </w:pPr>
            <w:r>
              <w:rPr>
                <w:rFonts w:ascii="Arial" w:cs="Arial" w:eastAsia="Arial" w:hAnsi="Arial"/>
                <w:b/>
                <w:bCs/>
                <w:color w:val="26262A"/>
                <w:sz w:val="19"/>
                <w:szCs w:val="19"/>
                <w:rtl/>
              </w:rPr>
              <w:t xml:space="preserve">الارتهان</w:t>
            </w:r>
          </w:p>
        </w:tc>
        <w:tc>
          <w:tcPr>
            <w:tcW w:type="dxa" w:w="2490"/>
            <w:tcMar>
              <w:top w:type="dxa" w:w="70"/>
              <w:left w:type="dxa" w:w="90"/>
              <w:bottom w:type="dxa" w:w="70"/>
              <w:right w:type="dxa" w:w="90"/>
            </w:tcMar>
            <w:vAlign w:val="center"/>
          </w:tcPr>
          <w:p>
            <w:pPr>
              <w:bidi/>
              <w:spacing w:after="0" w:before="0" w:line="260"/>
              <w:jc w:val="center"/>
            </w:pPr>
            <w:r>
              <w:rPr>
                <w:rFonts w:ascii="Arial" w:cs="Arial" w:eastAsia="Arial" w:hAnsi="Arial"/>
                <w:color w:val="26262A"/>
                <w:sz w:val="19"/>
                <w:szCs w:val="19"/>
                <w:rtl/>
              </w:rPr>
              <w:t xml:space="preserve">مرتفع</w:t>
            </w:r>
          </w:p>
        </w:tc>
        <w:tc>
          <w:tcPr>
            <w:tcW w:type="dxa" w:w="2490"/>
            <w:shd w:fill="FEF3E6" w:color="auto" w:val="clear"/>
            <w:tcMar>
              <w:top w:type="dxa" w:w="70"/>
              <w:left w:type="dxa" w:w="90"/>
              <w:bottom w:type="dxa" w:w="70"/>
              <w:right w:type="dxa" w:w="90"/>
            </w:tcMar>
            <w:vAlign w:val="center"/>
          </w:tcPr>
          <w:p>
            <w:pPr>
              <w:bidi/>
              <w:spacing w:after="0" w:before="0" w:line="260"/>
              <w:jc w:val="center"/>
            </w:pPr>
            <w:r>
              <w:rPr>
                <w:rFonts w:ascii="Arial" w:cs="Arial" w:eastAsia="Arial" w:hAnsi="Arial"/>
                <w:b/>
                <w:bCs/>
                <w:color w:val="26262A"/>
                <w:sz w:val="19"/>
                <w:szCs w:val="19"/>
                <w:rtl/>
              </w:rPr>
              <w:t xml:space="preserve">شبه معدوم</w:t>
            </w:r>
          </w:p>
        </w:tc>
        <w:tc>
          <w:tcPr>
            <w:tcW w:type="dxa" w:w="2480"/>
            <w:tcMar>
              <w:top w:type="dxa" w:w="70"/>
              <w:left w:type="dxa" w:w="90"/>
              <w:bottom w:type="dxa" w:w="70"/>
              <w:right w:type="dxa" w:w="90"/>
            </w:tcMar>
            <w:vAlign w:val="center"/>
          </w:tcPr>
          <w:p>
            <w:pPr>
              <w:bidi/>
              <w:spacing w:after="0" w:before="0" w:line="260"/>
              <w:jc w:val="center"/>
            </w:pPr>
            <w:r>
              <w:rPr>
                <w:rFonts w:ascii="Arial" w:cs="Arial" w:eastAsia="Arial" w:hAnsi="Arial"/>
                <w:color w:val="26262A"/>
                <w:sz w:val="19"/>
                <w:szCs w:val="19"/>
                <w:rtl/>
              </w:rPr>
              <w:t xml:space="preserve">لا يوجد</w:t>
            </w:r>
          </w:p>
        </w:tc>
      </w:tr>
    </w:tbl>
    <w:p>
      <w:pPr>
        <w:pStyle w:val="Heading2"/>
        <w:bidi/>
        <w:spacing w:after="100" w:before="200"/>
        <w:jc w:val="right"/>
      </w:pPr>
      <w:r>
        <w:rPr>
          <w:rFonts w:ascii="Arial" w:cs="Arial" w:eastAsia="Arial" w:hAnsi="Arial"/>
          <w:b/>
          <w:bCs/>
          <w:color w:val="E07C16"/>
          <w:sz w:val="23"/>
          <w:szCs w:val="23"/>
          <w:rtl/>
        </w:rPr>
        <w:t xml:space="preserve">البديل الموصى — ثلاث قطع</w:t>
      </w:r>
    </w:p>
    <w:p>
      <w:pPr>
        <w:pStyle w:val="ListParagraph"/>
        <w:numPr>
          <w:ilvl w:val="0"/>
          <w:numId w:val="2"/>
        </w:numPr>
        <w:bidi/>
        <w:spacing w:after="60" w:before="0" w:line="290"/>
        <w:jc w:val="right"/>
      </w:pPr>
      <w:r>
        <w:rPr>
          <w:rFonts w:ascii="Arial" w:cs="Arial" w:eastAsia="Arial" w:hAnsi="Arial"/>
          <w:b/>
          <w:bCs/>
          <w:color w:val="26262A"/>
          <w:sz w:val="22"/>
          <w:szCs w:val="22"/>
          <w:rtl/>
        </w:rPr>
        <w:t xml:space="preserve">الاستبدال: </w:t>
      </w:r>
      <w:r>
        <w:rPr>
          <w:rFonts w:ascii="Arial" w:cs="Arial" w:eastAsia="Arial" w:hAnsi="Arial"/>
          <w:color w:val="26262A"/>
          <w:sz w:val="22"/>
          <w:szCs w:val="22"/>
          <w:rtl/>
        </w:rPr>
        <w:t xml:space="preserve">مزوّد Gift Card API نقي (مثل YouGotaGift أو Tillo) يوفّر كتالوج بطاقات هدايا عبر تكامل واحد، مع بقاء البيانات وحساب النقاط لدى درب. (تُثبَّت الأسماء والأسعار عند التعاقد.)</w:t>
      </w:r>
    </w:p>
    <w:p>
      <w:pPr>
        <w:pStyle w:val="ListParagraph"/>
        <w:numPr>
          <w:ilvl w:val="0"/>
          <w:numId w:val="2"/>
        </w:numPr>
        <w:bidi/>
        <w:spacing w:after="60" w:before="0" w:line="290"/>
        <w:jc w:val="right"/>
      </w:pPr>
      <w:r>
        <w:rPr>
          <w:rFonts w:ascii="Arial" w:cs="Arial" w:eastAsia="Arial" w:hAnsi="Arial"/>
          <w:b/>
          <w:bCs/>
          <w:color w:val="26262A"/>
          <w:sz w:val="22"/>
          <w:szCs w:val="22"/>
          <w:rtl/>
        </w:rPr>
        <w:t xml:space="preserve">الكسب: </w:t>
      </w:r>
      <w:r>
        <w:rPr>
          <w:rFonts w:ascii="Arial" w:cs="Arial" w:eastAsia="Arial" w:hAnsi="Arial"/>
          <w:color w:val="26262A"/>
          <w:sz w:val="22"/>
          <w:szCs w:val="22"/>
          <w:rtl/>
        </w:rPr>
        <w:t xml:space="preserve">توقيع التجار المحليين مباشرةً عبر فريق تطوير أعمال — مصدر الهامش والعلاقة بالعميل؛ والأداة (قاعدة التجار + نموذج Earn/Burn) مبنية في تطبيق تانكي.</w:t>
      </w:r>
    </w:p>
    <w:p>
      <w:pPr>
        <w:pStyle w:val="ListParagraph"/>
        <w:numPr>
          <w:ilvl w:val="0"/>
          <w:numId w:val="2"/>
        </w:numPr>
        <w:bidi/>
        <w:spacing w:after="60" w:before="0" w:line="290"/>
        <w:jc w:val="right"/>
      </w:pPr>
      <w:r>
        <w:rPr>
          <w:rFonts w:ascii="Arial" w:cs="Arial" w:eastAsia="Arial" w:hAnsi="Arial"/>
          <w:b/>
          <w:bCs/>
          <w:color w:val="26262A"/>
          <w:sz w:val="22"/>
          <w:szCs w:val="22"/>
          <w:rtl/>
        </w:rPr>
        <w:t xml:space="preserve">المحفظة: </w:t>
      </w:r>
      <w:r>
        <w:rPr>
          <w:rFonts w:ascii="Arial" w:cs="Arial" w:eastAsia="Arial" w:hAnsi="Arial"/>
          <w:color w:val="26262A"/>
          <w:sz w:val="22"/>
          <w:szCs w:val="22"/>
          <w:rtl/>
        </w:rPr>
        <w:t xml:space="preserve">التركيب فوق محفظة/تمويل مرخّص من ساما (كما فعل ساسكو مع إمكان) بدل الترخيص من الصفر.</w:t>
      </w:r>
    </w:p>
    <w:p>
      <w:pPr>
        <w:pStyle w:val="Heading1"/>
        <w:pBdr>
          <w:bottom w:val="single" w:color="E07C16" w:sz="12" w:space="4"/>
        </w:pBdr>
        <w:bidi/>
        <w:spacing w:after="140" w:before="320"/>
        <w:jc w:val="right"/>
      </w:pPr>
      <w:r>
        <w:rPr>
          <w:rFonts w:ascii="Arial" w:cs="Arial" w:eastAsia="Arial" w:hAnsi="Arial"/>
          <w:b/>
          <w:bCs/>
          <w:color w:val="E07C16"/>
          <w:sz w:val="26"/>
          <w:szCs w:val="26"/>
          <w:rtl/>
        </w:rPr>
        <w:t xml:space="preserve">٩.  </w:t>
      </w:r>
      <w:r>
        <w:rPr>
          <w:rFonts w:ascii="Arial" w:cs="Arial" w:eastAsia="Arial" w:hAnsi="Arial"/>
          <w:b/>
          <w:bCs/>
          <w:color w:val="26262A"/>
          <w:sz w:val="26"/>
          <w:szCs w:val="26"/>
          <w:rtl/>
        </w:rPr>
        <w:t xml:space="preserve">التوصيات</w:t>
      </w:r>
    </w:p>
    <w:p>
      <w:pPr>
        <w:bidi/>
        <w:spacing w:after="120" w:before="0" w:line="300"/>
        <w:jc w:val="right"/>
      </w:pPr>
      <w:r>
        <w:rPr>
          <w:rFonts w:ascii="Arial" w:cs="Arial" w:eastAsia="Arial" w:hAnsi="Arial"/>
          <w:b/>
          <w:bCs/>
          <w:color w:val="E07C16"/>
          <w:sz w:val="22"/>
          <w:szCs w:val="22"/>
          <w:rtl/>
        </w:rPr>
        <w:t xml:space="preserve">المسار الوسط: </w:t>
      </w:r>
      <w:r>
        <w:rPr>
          <w:rFonts w:ascii="Arial" w:cs="Arial" w:eastAsia="Arial" w:hAnsi="Arial"/>
          <w:color w:val="26262A"/>
          <w:sz w:val="22"/>
          <w:szCs w:val="22"/>
          <w:rtl/>
        </w:rPr>
        <w:t xml:space="preserve">لا بناء كل شيء، ولا تسليم كل شيء.</w:t>
      </w:r>
    </w:p>
    <w:p>
      <w:pPr>
        <w:pStyle w:val="ListParagraph"/>
        <w:numPr>
          <w:ilvl w:val="0"/>
          <w:numId w:val="2"/>
        </w:numPr>
        <w:bidi/>
        <w:spacing w:after="60" w:before="0" w:line="290"/>
        <w:jc w:val="right"/>
      </w:pPr>
      <w:r>
        <w:rPr>
          <w:rFonts w:ascii="Arial" w:cs="Arial" w:eastAsia="Arial" w:hAnsi="Arial"/>
          <w:b/>
          <w:bCs/>
          <w:color w:val="26262A"/>
          <w:sz w:val="22"/>
          <w:szCs w:val="22"/>
          <w:rtl/>
        </w:rPr>
        <w:t xml:space="preserve">١) </w:t>
      </w:r>
      <w:r>
        <w:rPr>
          <w:rFonts w:ascii="Arial" w:cs="Arial" w:eastAsia="Arial" w:hAnsi="Arial"/>
          <w:color w:val="26262A"/>
          <w:sz w:val="22"/>
          <w:szCs w:val="22"/>
          <w:rtl/>
        </w:rPr>
        <w:t xml:space="preserve">تملك درب النواة: محرّك النقاط + بيانات العملاء + المحفظة + العلامة.</w:t>
      </w:r>
    </w:p>
    <w:p>
      <w:pPr>
        <w:pStyle w:val="ListParagraph"/>
        <w:numPr>
          <w:ilvl w:val="0"/>
          <w:numId w:val="2"/>
        </w:numPr>
        <w:bidi/>
        <w:spacing w:after="60" w:before="0" w:line="290"/>
        <w:jc w:val="right"/>
      </w:pPr>
      <w:r>
        <w:rPr>
          <w:rFonts w:ascii="Arial" w:cs="Arial" w:eastAsia="Arial" w:hAnsi="Arial"/>
          <w:b/>
          <w:bCs/>
          <w:color w:val="26262A"/>
          <w:sz w:val="22"/>
          <w:szCs w:val="22"/>
          <w:rtl/>
        </w:rPr>
        <w:t xml:space="preserve">٢) </w:t>
      </w:r>
      <w:r>
        <w:rPr>
          <w:rFonts w:ascii="Arial" w:cs="Arial" w:eastAsia="Arial" w:hAnsi="Arial"/>
          <w:color w:val="26262A"/>
          <w:sz w:val="22"/>
          <w:szCs w:val="22"/>
          <w:rtl/>
        </w:rPr>
        <w:t xml:space="preserve">شراكة محفظة/تمويل مرخّص لاختصار أثقل بند تنظيمي.</w:t>
      </w:r>
    </w:p>
    <w:p>
      <w:pPr>
        <w:pStyle w:val="ListParagraph"/>
        <w:numPr>
          <w:ilvl w:val="0"/>
          <w:numId w:val="2"/>
        </w:numPr>
        <w:bidi/>
        <w:spacing w:after="60" w:before="0" w:line="290"/>
        <w:jc w:val="right"/>
      </w:pPr>
      <w:r>
        <w:rPr>
          <w:rFonts w:ascii="Arial" w:cs="Arial" w:eastAsia="Arial" w:hAnsi="Arial"/>
          <w:b/>
          <w:bCs/>
          <w:color w:val="26262A"/>
          <w:sz w:val="22"/>
          <w:szCs w:val="22"/>
          <w:rtl/>
        </w:rPr>
        <w:t xml:space="preserve">٣) </w:t>
      </w:r>
      <w:r>
        <w:rPr>
          <w:rFonts w:ascii="Arial" w:cs="Arial" w:eastAsia="Arial" w:hAnsi="Arial"/>
          <w:color w:val="26262A"/>
          <w:sz w:val="22"/>
          <w:szCs w:val="22"/>
          <w:rtl/>
        </w:rPr>
        <w:t xml:space="preserve">استبدال شبكة ديسكوير بمزوّد Gift Card API لقناة الاستبدال، مع بقاء البيانات لدى درب.</w:t>
      </w:r>
    </w:p>
    <w:p>
      <w:pPr>
        <w:pStyle w:val="ListParagraph"/>
        <w:numPr>
          <w:ilvl w:val="0"/>
          <w:numId w:val="2"/>
        </w:numPr>
        <w:bidi/>
        <w:spacing w:after="60" w:before="0" w:line="290"/>
        <w:jc w:val="right"/>
      </w:pPr>
      <w:r>
        <w:rPr>
          <w:rFonts w:ascii="Arial" w:cs="Arial" w:eastAsia="Arial" w:hAnsi="Arial"/>
          <w:b/>
          <w:bCs/>
          <w:color w:val="26262A"/>
          <w:sz w:val="22"/>
          <w:szCs w:val="22"/>
          <w:rtl/>
        </w:rPr>
        <w:t xml:space="preserve">٤) </w:t>
      </w:r>
      <w:r>
        <w:rPr>
          <w:rFonts w:ascii="Arial" w:cs="Arial" w:eastAsia="Arial" w:hAnsi="Arial"/>
          <w:color w:val="26262A"/>
          <w:sz w:val="22"/>
          <w:szCs w:val="22"/>
          <w:rtl/>
        </w:rPr>
        <w:t xml:space="preserve">بناء شبكة شركاء الكسب داخلياً باستخدام أدوات تانكي الجاهزة.</w:t>
      </w:r>
    </w:p>
    <w:p>
      <w:pPr>
        <w:pStyle w:val="ListParagraph"/>
        <w:numPr>
          <w:ilvl w:val="0"/>
          <w:numId w:val="2"/>
        </w:numPr>
        <w:bidi/>
        <w:spacing w:after="60" w:before="0" w:line="290"/>
        <w:jc w:val="right"/>
      </w:pPr>
      <w:r>
        <w:rPr>
          <w:rFonts w:ascii="Arial" w:cs="Arial" w:eastAsia="Arial" w:hAnsi="Arial"/>
          <w:b/>
          <w:bCs/>
          <w:color w:val="26262A"/>
          <w:sz w:val="22"/>
          <w:szCs w:val="22"/>
          <w:rtl/>
        </w:rPr>
        <w:t xml:space="preserve">٥) </w:t>
      </w:r>
      <w:r>
        <w:rPr>
          <w:rFonts w:ascii="Arial" w:cs="Arial" w:eastAsia="Arial" w:hAnsi="Arial"/>
          <w:color w:val="26262A"/>
          <w:sz w:val="22"/>
          <w:szCs w:val="22"/>
          <w:rtl/>
        </w:rPr>
        <w:t xml:space="preserve">حصر أي تعامل مع ديسكوير في دور مورّد قناة استبدال ثانوية عند الحاجة — لا مشغّل للمنصة.</w:t>
      </w:r>
    </w:p>
    <w:p>
      <w:pPr>
        <w:pStyle w:val="Heading1"/>
        <w:pBdr>
          <w:bottom w:val="single" w:color="E07C16" w:sz="12" w:space="4"/>
        </w:pBdr>
        <w:bidi/>
        <w:spacing w:after="140" w:before="320"/>
        <w:jc w:val="right"/>
      </w:pPr>
      <w:r>
        <w:rPr>
          <w:rFonts w:ascii="Arial" w:cs="Arial" w:eastAsia="Arial" w:hAnsi="Arial"/>
          <w:b/>
          <w:bCs/>
          <w:color w:val="E07C16"/>
          <w:sz w:val="26"/>
          <w:szCs w:val="26"/>
          <w:rtl/>
        </w:rPr>
        <w:t xml:space="preserve">١٠.  </w:t>
      </w:r>
      <w:r>
        <w:rPr>
          <w:rFonts w:ascii="Arial" w:cs="Arial" w:eastAsia="Arial" w:hAnsi="Arial"/>
          <w:b/>
          <w:bCs/>
          <w:color w:val="26262A"/>
          <w:sz w:val="26"/>
          <w:szCs w:val="26"/>
          <w:rtl/>
        </w:rPr>
        <w:t xml:space="preserve">أسئلة ما قبل التوقيع (لأي مورّد)</w:t>
      </w:r>
    </w:p>
    <w:p>
      <w:pPr>
        <w:pStyle w:val="ListParagraph"/>
        <w:numPr>
          <w:ilvl w:val="0"/>
          <w:numId w:val="2"/>
        </w:numPr>
        <w:bidi/>
        <w:spacing w:after="60" w:before="0" w:line="290"/>
        <w:jc w:val="right"/>
      </w:pPr>
      <w:r>
        <w:rPr>
          <w:rFonts w:ascii="Arial" w:cs="Arial" w:eastAsia="Arial" w:hAnsi="Arial"/>
          <w:b/>
          <w:bCs/>
          <w:color w:val="26262A"/>
          <w:sz w:val="22"/>
          <w:szCs w:val="22"/>
          <w:rtl/>
        </w:rPr>
        <w:t xml:space="preserve">• </w:t>
      </w:r>
      <w:r>
        <w:rPr>
          <w:rFonts w:ascii="Arial" w:cs="Arial" w:eastAsia="Arial" w:hAnsi="Arial"/>
          <w:color w:val="26262A"/>
          <w:sz w:val="22"/>
          <w:szCs w:val="22"/>
          <w:rtl/>
        </w:rPr>
        <w:t xml:space="preserve">ورقة اقتصاد كاملة: قيمة النقطة، معدل الكسب، جهة تمويل الاستبدال، وهيكل الرسوم (Setup + شهري + لكل معاملة).</w:t>
      </w:r>
    </w:p>
    <w:p>
      <w:pPr>
        <w:pStyle w:val="ListParagraph"/>
        <w:numPr>
          <w:ilvl w:val="0"/>
          <w:numId w:val="2"/>
        </w:numPr>
        <w:bidi/>
        <w:spacing w:after="60" w:before="0" w:line="290"/>
        <w:jc w:val="right"/>
      </w:pPr>
      <w:r>
        <w:rPr>
          <w:rFonts w:ascii="Arial" w:cs="Arial" w:eastAsia="Arial" w:hAnsi="Arial"/>
          <w:b/>
          <w:bCs/>
          <w:color w:val="26262A"/>
          <w:sz w:val="22"/>
          <w:szCs w:val="22"/>
          <w:rtl/>
        </w:rPr>
        <w:t xml:space="preserve">• </w:t>
      </w:r>
      <w:r>
        <w:rPr>
          <w:rFonts w:ascii="Arial" w:cs="Arial" w:eastAsia="Arial" w:hAnsi="Arial"/>
          <w:color w:val="26262A"/>
          <w:sz w:val="22"/>
          <w:szCs w:val="22"/>
          <w:rtl/>
        </w:rPr>
        <w:t xml:space="preserve">مَن يملك بيانات العملاء والمحفظة تعاقدياً؟ وهل يُضمن التصدير الكامل عند الخروج؟</w:t>
      </w:r>
    </w:p>
    <w:p>
      <w:pPr>
        <w:pStyle w:val="ListParagraph"/>
        <w:numPr>
          <w:ilvl w:val="0"/>
          <w:numId w:val="2"/>
        </w:numPr>
        <w:bidi/>
        <w:spacing w:after="60" w:before="0" w:line="290"/>
        <w:jc w:val="right"/>
      </w:pPr>
      <w:r>
        <w:rPr>
          <w:rFonts w:ascii="Arial" w:cs="Arial" w:eastAsia="Arial" w:hAnsi="Arial"/>
          <w:b/>
          <w:bCs/>
          <w:color w:val="26262A"/>
          <w:sz w:val="22"/>
          <w:szCs w:val="22"/>
          <w:rtl/>
        </w:rPr>
        <w:t xml:space="preserve">• </w:t>
      </w:r>
      <w:r>
        <w:rPr>
          <w:rFonts w:ascii="Arial" w:cs="Arial" w:eastAsia="Arial" w:hAnsi="Arial"/>
          <w:color w:val="26262A"/>
          <w:sz w:val="22"/>
          <w:szCs w:val="22"/>
          <w:rtl/>
        </w:rPr>
        <w:t xml:space="preserve">موقف الترخيص للمحفظة النقدية والحلقة المفتوحة، ومَن يتحمّل تبعة ساما.</w:t>
      </w:r>
    </w:p>
    <w:p>
      <w:pPr>
        <w:pStyle w:val="ListParagraph"/>
        <w:numPr>
          <w:ilvl w:val="0"/>
          <w:numId w:val="2"/>
        </w:numPr>
        <w:bidi/>
        <w:spacing w:after="60" w:before="0" w:line="290"/>
        <w:jc w:val="right"/>
      </w:pPr>
      <w:r>
        <w:rPr>
          <w:rFonts w:ascii="Arial" w:cs="Arial" w:eastAsia="Arial" w:hAnsi="Arial"/>
          <w:b/>
          <w:bCs/>
          <w:color w:val="26262A"/>
          <w:sz w:val="22"/>
          <w:szCs w:val="22"/>
          <w:rtl/>
        </w:rPr>
        <w:t xml:space="preserve">• </w:t>
      </w:r>
      <w:r>
        <w:rPr>
          <w:rFonts w:ascii="Arial" w:cs="Arial" w:eastAsia="Arial" w:hAnsi="Arial"/>
          <w:color w:val="26262A"/>
          <w:sz w:val="22"/>
          <w:szCs w:val="22"/>
          <w:rtl/>
        </w:rPr>
        <w:t xml:space="preserve">حجم الرصيد المقدّم (Float) المطلوب للقسائم، وشروط الدفع للتجار.</w:t>
      </w:r>
    </w:p>
    <w:p>
      <w:pPr>
        <w:pStyle w:val="ListParagraph"/>
        <w:numPr>
          <w:ilvl w:val="0"/>
          <w:numId w:val="2"/>
        </w:numPr>
        <w:bidi/>
        <w:spacing w:after="60" w:before="0" w:line="290"/>
        <w:jc w:val="right"/>
      </w:pPr>
      <w:r>
        <w:rPr>
          <w:rFonts w:ascii="Arial" w:cs="Arial" w:eastAsia="Arial" w:hAnsi="Arial"/>
          <w:b/>
          <w:bCs/>
          <w:color w:val="26262A"/>
          <w:sz w:val="22"/>
          <w:szCs w:val="22"/>
          <w:rtl/>
        </w:rPr>
        <w:t xml:space="preserve">• </w:t>
      </w:r>
      <w:r>
        <w:rPr>
          <w:rFonts w:ascii="Arial" w:cs="Arial" w:eastAsia="Arial" w:hAnsi="Arial"/>
          <w:color w:val="26262A"/>
          <w:sz w:val="22"/>
          <w:szCs w:val="22"/>
          <w:rtl/>
        </w:rPr>
        <w:t xml:space="preserve">قائمة الكسب المضمونة فعلاً (لا المقترحة) بأسعار مثبّتة.</w:t>
      </w:r>
    </w:p>
    <w:p>
      <w:pPr>
        <w:pStyle w:val="Heading1"/>
        <w:pBdr>
          <w:bottom w:val="single" w:color="E07C16" w:sz="12" w:space="4"/>
        </w:pBdr>
        <w:bidi/>
        <w:spacing w:after="140" w:before="320"/>
        <w:jc w:val="right"/>
      </w:pPr>
      <w:r>
        <w:rPr>
          <w:rFonts w:ascii="Arial" w:cs="Arial" w:eastAsia="Arial" w:hAnsi="Arial"/>
          <w:b/>
          <w:bCs/>
          <w:color w:val="E07C16"/>
          <w:sz w:val="26"/>
          <w:szCs w:val="26"/>
          <w:rtl/>
        </w:rPr>
        <w:t xml:space="preserve">١١.  </w:t>
      </w:r>
      <w:r>
        <w:rPr>
          <w:rFonts w:ascii="Arial" w:cs="Arial" w:eastAsia="Arial" w:hAnsi="Arial"/>
          <w:b/>
          <w:bCs/>
          <w:color w:val="26262A"/>
          <w:sz w:val="26"/>
          <w:szCs w:val="26"/>
          <w:rtl/>
        </w:rPr>
        <w:t xml:space="preserve">الخلاصة</w:t>
      </w:r>
    </w:p>
    <w:p>
      <w:pPr>
        <w:bidi/>
        <w:spacing w:after="120" w:before="0" w:line="300"/>
        <w:jc w:val="right"/>
      </w:pPr>
      <w:r>
        <w:rPr>
          <w:rFonts w:ascii="Arial" w:cs="Arial" w:eastAsia="Arial" w:hAnsi="Arial"/>
          <w:color w:val="26262A"/>
          <w:sz w:val="22"/>
          <w:szCs w:val="22"/>
          <w:rtl/>
        </w:rPr>
        <w:t xml:space="preserve">بما أن أصعب بند (المحفظة وتكامل المضخات) يبقى مسؤولية درب في كل السيناريوهات، فإن التنازل عن ملكية المنصة والبيانات لمشغّل خارجي لا يحلّ هذا البند، بل يكلّف درب أثمن أصولها دون مقابل حقيقي. التوصية أن تحتفظ درب بملكية نواة برنامج تانكي، وتستأجر شركاء متخصّصين مرخّصين للأجزاء الصعبة — وهو المسار الذي أثبت المنافس المباشر «ساسكو» جدواه.</w:t>
      </w:r>
    </w:p>
    <w:p>
      <w:pPr>
        <w:bidi/>
        <w:spacing w:after="120" w:before="240" w:line="300"/>
        <w:jc w:val="center"/>
      </w:pPr>
      <w:r>
        <w:rPr>
          <w:rFonts w:ascii="Arial" w:cs="Arial" w:eastAsia="Arial" w:hAnsi="Arial"/>
          <w:i/>
          <w:iCs/>
          <w:color w:val="6D6E70"/>
          <w:sz w:val="18"/>
          <w:szCs w:val="18"/>
          <w:rtl/>
        </w:rPr>
        <w:t xml:space="preserve">وثيقة داخلية للمناقشة التنفيذية — تُثبَّت الأرقام والبنود التجارية وأسماء المورّدين عند التفاوض النهائي.</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20"/>
      </w:pPr>
      <w:rPr>
        <w:rFonts w:ascii="Arial" w:cs="Arial" w:eastAsia="Arial" w:hAnsi="Arial"/>
        <w:color w:val="E07C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26262A"/>
      <w:sz w:val="26"/>
      <w:szCs w:val="26"/>
    </w:rPr>
  </w:style>
  <w:style w:type="paragraph" w:styleId="Heading2">
    <w:name w:val="Heading 2"/>
    <w:basedOn w:val="Normal"/>
    <w:next w:val="Normal"/>
    <w:qFormat/>
    <w:rPr>
      <w:rFonts w:ascii="Arial" w:cs="Arial" w:eastAsia="Arial" w:hAnsi="Arial"/>
      <w:b/>
      <w:bCs/>
      <w:color w:val="E07C1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تانكي التنفيذي</dc:title>
  <dc:creator>Darb</dc:creator>
  <cp:lastModifiedBy>Un-named</cp:lastModifiedBy>
  <cp:revision>1</cp:revision>
  <dcterms:created xsi:type="dcterms:W3CDTF">2026-07-23T10:18:04.836Z</dcterms:created>
  <dcterms:modified xsi:type="dcterms:W3CDTF">2026-07-23T10:18:04.836Z</dcterms:modified>
</cp:coreProperties>
</file>

<file path=docProps/custom.xml><?xml version="1.0" encoding="utf-8"?>
<Properties xmlns="http://schemas.openxmlformats.org/officeDocument/2006/custom-properties" xmlns:vt="http://schemas.openxmlformats.org/officeDocument/2006/docPropsVTypes"/>
</file>