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/>
        <w:jc w:val="right"/>
      </w:pPr>
      <w:r>
        <w:rPr>
          <w:rFonts w:ascii="Arial" w:cs="Arial" w:eastAsia="Arial" w:hAnsi="Arial"/>
          <w:b/>
          <w:bCs/>
          <w:color w:val="6D6E70"/>
          <w:sz w:val="22"/>
          <w:szCs w:val="22"/>
          <w:rtl/>
        </w:rPr>
        <w:t xml:space="preserve">درب لخدمات المحطات</w:t>
      </w:r>
    </w:p>
    <w:p>
      <w:pPr>
        <w:bidi/>
        <w:spacing w:after="0" w:before="60"/>
        <w:jc w:val="right"/>
      </w:pPr>
      <w:r>
        <w:rPr>
          <w:rFonts w:ascii="Arial" w:cs="Arial" w:eastAsia="Arial" w:hAnsi="Arial"/>
          <w:b/>
          <w:bCs/>
          <w:color w:val="26262A"/>
          <w:sz w:val="32"/>
          <w:szCs w:val="32"/>
          <w:rtl/>
        </w:rPr>
        <w:t xml:space="preserve">مقارنة مزوّدي بوابات الدفع وقائمة الأسئلة — محفظة تانكي</w:t>
      </w:r>
    </w:p>
    <w:p>
      <w:pPr>
        <w:bidi/>
        <w:spacing w:after="0" w:before="40"/>
        <w:jc w:val="right"/>
      </w:pPr>
      <w:r>
        <w:rPr>
          <w:rFonts w:ascii="Arial" w:cs="Arial" w:eastAsia="Arial" w:hAnsi="Arial"/>
          <w:b/>
          <w:bCs/>
          <w:color w:val="E07C16"/>
          <w:sz w:val="22"/>
          <w:szCs w:val="22"/>
          <w:rtl/>
        </w:rPr>
        <w:t xml:space="preserve">أداة تقييم موحّدة لإدارة المالية · تُعبّأ لكل مزوّد</w:t>
      </w:r>
    </w:p>
    <w:p>
      <w:pPr>
        <w:pBdr>
          <w:bottom w:val="single" w:color="E07C16" w:sz="18" w:space="8"/>
        </w:pBdr>
        <w:spacing w:after="150" w:before="120"/>
        <w:jc w:val="right"/>
      </w:pPr>
    </w:p>
    <w:p>
      <w:pPr>
        <w:bidi/>
        <w:spacing w:after="180" w:before="0" w:line="300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تُستخدم هذه الوثيقة لمقارنة عروض مزوّدي بوابات الدفع بنفس المعايير. تُعبّأ الأعمدة من عروض كل مزوّد (الراجحي / HyperPay / جيديا …)، وتُرفق قائمة الأسئلة عند طلب العروض.</w:t>
      </w:r>
    </w:p>
    <w:p>
      <w:pPr>
        <w:pStyle w:val="Heading1"/>
        <w:pBdr>
          <w:bottom w:val="single" w:color="E07C16" w:sz="12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E07C16"/>
          <w:sz w:val="26"/>
          <w:szCs w:val="26"/>
          <w:rtl/>
        </w:rPr>
        <w:t xml:space="preserve">١.  </w:t>
      </w:r>
      <w:r>
        <w:rPr>
          <w:rFonts w:ascii="Arial" w:cs="Arial" w:eastAsia="Arial" w:hAnsi="Arial"/>
          <w:b/>
          <w:bCs/>
          <w:color w:val="26262A"/>
          <w:sz w:val="26"/>
          <w:szCs w:val="26"/>
          <w:rtl/>
        </w:rPr>
        <w:t xml:space="preserve">جدول مقارنة الرسوم</w:t>
      </w:r>
    </w:p>
    <w:tbl>
      <w:tblPr>
        <w:bidiVisual/>
        <w:tblW w:type="dxa" w:w="9360"/>
        <w:tblBorders>
          <w:top w:val="single" w:color="D9D7D3" w:sz="4"/>
          <w:left w:val="single" w:color="D9D7D3" w:sz="4"/>
          <w:bottom w:val="single" w:color="D9D7D3" w:sz="4"/>
          <w:right w:val="single" w:color="D9D7D3" w:sz="4"/>
          <w:insideH w:val="single" w:color="D9D7D3" w:sz="4"/>
          <w:insideV w:val="single" w:color="D9D7D3" w:sz="4"/>
        </w:tblBorders>
      </w:tblPr>
      <w:tblGrid>
        <w:gridCol w:w="3060"/>
        <w:gridCol w:w="2100"/>
        <w:gridCol w:w="2100"/>
        <w:gridCol w:w="2100"/>
      </w:tblGrid>
      <w:tr>
        <w:trPr>
          <w:tblHeader/>
        </w:trPr>
        <w:tc>
          <w:tcPr>
            <w:tcW w:type="dxa" w:w="3060"/>
            <w:shd w:fill="F3EFEA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A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2100"/>
            <w:shd w:fill="F3EFEA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A"/>
                <w:sz w:val="18"/>
                <w:szCs w:val="18"/>
                <w:rtl/>
              </w:rPr>
              <w:t xml:space="preserve">الراجحي (مرجع)</w:t>
            </w:r>
          </w:p>
        </w:tc>
        <w:tc>
          <w:tcPr>
            <w:tcW w:type="dxa" w:w="2100"/>
            <w:shd w:fill="F3EFEA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A"/>
                <w:sz w:val="18"/>
                <w:szCs w:val="18"/>
                <w:rtl/>
              </w:rPr>
              <w:t xml:space="preserve">HyperPay</w:t>
            </w:r>
          </w:p>
        </w:tc>
        <w:tc>
          <w:tcPr>
            <w:tcW w:type="dxa" w:w="2100"/>
            <w:shd w:fill="F3EFEA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A"/>
                <w:sz w:val="18"/>
                <w:szCs w:val="18"/>
                <w:rtl/>
              </w:rPr>
              <w:t xml:space="preserve">مزوّد ٣</w:t>
            </w:r>
          </w:p>
        </w:tc>
      </w:tr>
      <w:tr>
        <w:tc>
          <w:tcPr>
            <w:tcW w:type="dxa" w:w="3060"/>
            <w:shd w:fill="F3EFEA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8"/>
                <w:szCs w:val="18"/>
                <w:rtl/>
              </w:rPr>
              <w:t xml:space="preserve">رسوم التأسيس (لمرة)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٣,٠٠٠ ﷼</w:t>
            </w:r>
          </w:p>
        </w:tc>
        <w:tc>
          <w:tcPr>
            <w:tcW w:type="dxa" w:w="2100"/>
            <w:shd w:fill="FEF3E6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</w:tr>
      <w:tr>
        <w:tc>
          <w:tcPr>
            <w:tcW w:type="dxa" w:w="3060"/>
            <w:shd w:fill="F3EFEA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8"/>
                <w:szCs w:val="18"/>
                <w:rtl/>
              </w:rPr>
              <w:t xml:space="preserve">الاشتراك الشهري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٣٠٠ ﷼</w:t>
            </w:r>
          </w:p>
        </w:tc>
        <w:tc>
          <w:tcPr>
            <w:tcW w:type="dxa" w:w="2100"/>
            <w:shd w:fill="FEF3E6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</w:tr>
      <w:tr>
        <w:tc>
          <w:tcPr>
            <w:tcW w:type="dxa" w:w="3060"/>
            <w:shd w:fill="F3EFEA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8"/>
                <w:szCs w:val="18"/>
                <w:rtl/>
              </w:rPr>
              <w:t xml:space="preserve">عمولة مدى (MDR)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١٪ (بحد ٢٠٠ ﷼)</w:t>
            </w:r>
          </w:p>
        </w:tc>
        <w:tc>
          <w:tcPr>
            <w:tcW w:type="dxa" w:w="2100"/>
            <w:shd w:fill="FEF3E6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</w:tr>
      <w:tr>
        <w:tc>
          <w:tcPr>
            <w:tcW w:type="dxa" w:w="3060"/>
            <w:shd w:fill="F3EFEA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8"/>
                <w:szCs w:val="18"/>
                <w:rtl/>
              </w:rPr>
              <w:t xml:space="preserve">عمولة البطاقات الائتمانية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٢٫٥٠٪ + ١ ﷼</w:t>
            </w:r>
          </w:p>
        </w:tc>
        <w:tc>
          <w:tcPr>
            <w:tcW w:type="dxa" w:w="2100"/>
            <w:shd w:fill="FEF3E6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</w:tr>
      <w:tr>
        <w:tc>
          <w:tcPr>
            <w:tcW w:type="dxa" w:w="3060"/>
            <w:shd w:fill="FBF1DD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9A6A12"/>
                <w:sz w:val="18"/>
                <w:szCs w:val="18"/>
                <w:rtl/>
              </w:rPr>
              <w:t xml:space="preserve">رسم شحن المحفظة عبر مدى</w:t>
            </w:r>
          </w:p>
        </w:tc>
        <w:tc>
          <w:tcPr>
            <w:tcW w:type="dxa" w:w="2100"/>
            <w:shd w:fill="FBF1DD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b/>
                <w:bCs/>
                <w:color w:val="26262A"/>
                <w:sz w:val="18"/>
                <w:szCs w:val="18"/>
                <w:rtl/>
              </w:rPr>
              <w:t xml:space="preserve">١٫٥ ﷼ ثابت</w:t>
            </w:r>
          </w:p>
        </w:tc>
        <w:tc>
          <w:tcPr>
            <w:tcW w:type="dxa" w:w="2100"/>
            <w:shd w:fill="FBF1DD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  <w:tc>
          <w:tcPr>
            <w:tcW w:type="dxa" w:w="2100"/>
            <w:shd w:fill="FBF1DD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</w:tr>
      <w:tr>
        <w:tc>
          <w:tcPr>
            <w:tcW w:type="dxa" w:w="3060"/>
            <w:shd w:fill="F3EFEA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8"/>
                <w:szCs w:val="18"/>
                <w:rtl/>
              </w:rPr>
              <w:t xml:space="preserve">رسوم الاسترجاع (Refund)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١ ﷼</w:t>
            </w:r>
          </w:p>
        </w:tc>
        <w:tc>
          <w:tcPr>
            <w:tcW w:type="dxa" w:w="2100"/>
            <w:shd w:fill="FEF3E6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</w:tr>
      <w:tr>
        <w:tc>
          <w:tcPr>
            <w:tcW w:type="dxa" w:w="3060"/>
            <w:shd w:fill="F3EFEA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8"/>
                <w:szCs w:val="18"/>
                <w:rtl/>
              </w:rPr>
              <w:t xml:space="preserve">رسوم الاعتراض (Chargeback)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على التاجر</w:t>
            </w:r>
          </w:p>
        </w:tc>
        <w:tc>
          <w:tcPr>
            <w:tcW w:type="dxa" w:w="2100"/>
            <w:shd w:fill="FEF3E6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</w:tr>
      <w:tr>
        <w:tc>
          <w:tcPr>
            <w:tcW w:type="dxa" w:w="3060"/>
            <w:shd w:fill="F3EFEA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8"/>
                <w:szCs w:val="18"/>
                <w:rtl/>
              </w:rPr>
              <w:t xml:space="preserve">ضريبة القيمة المضافة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تُضاف</w:t>
            </w:r>
          </w:p>
        </w:tc>
        <w:tc>
          <w:tcPr>
            <w:tcW w:type="dxa" w:w="2100"/>
            <w:shd w:fill="FEF3E6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</w:tr>
    </w:tbl>
    <w:p>
      <w:pPr>
        <w:pStyle w:val="Heading1"/>
        <w:pBdr>
          <w:bottom w:val="single" w:color="E07C16" w:sz="12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E07C16"/>
          <w:sz w:val="26"/>
          <w:szCs w:val="26"/>
          <w:rtl/>
        </w:rPr>
        <w:t xml:space="preserve">٢.  </w:t>
      </w:r>
      <w:r>
        <w:rPr>
          <w:rFonts w:ascii="Arial" w:cs="Arial" w:eastAsia="Arial" w:hAnsi="Arial"/>
          <w:b/>
          <w:bCs/>
          <w:color w:val="26262A"/>
          <w:sz w:val="26"/>
          <w:szCs w:val="26"/>
          <w:rtl/>
        </w:rPr>
        <w:t xml:space="preserve">جدول مقارنة القدرات والشروط</w:t>
      </w:r>
    </w:p>
    <w:tbl>
      <w:tblPr>
        <w:bidiVisual/>
        <w:tblW w:type="dxa" w:w="9360"/>
        <w:tblBorders>
          <w:top w:val="single" w:color="D9D7D3" w:sz="4"/>
          <w:left w:val="single" w:color="D9D7D3" w:sz="4"/>
          <w:bottom w:val="single" w:color="D9D7D3" w:sz="4"/>
          <w:right w:val="single" w:color="D9D7D3" w:sz="4"/>
          <w:insideH w:val="single" w:color="D9D7D3" w:sz="4"/>
          <w:insideV w:val="single" w:color="D9D7D3" w:sz="4"/>
        </w:tblBorders>
      </w:tblPr>
      <w:tblGrid>
        <w:gridCol w:w="3060"/>
        <w:gridCol w:w="2100"/>
        <w:gridCol w:w="2100"/>
        <w:gridCol w:w="2100"/>
      </w:tblGrid>
      <w:tr>
        <w:trPr>
          <w:tblHeader/>
        </w:trPr>
        <w:tc>
          <w:tcPr>
            <w:tcW w:type="dxa" w:w="3060"/>
            <w:shd w:fill="F3EFEA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A"/>
                <w:sz w:val="18"/>
                <w:szCs w:val="18"/>
                <w:rtl/>
              </w:rPr>
              <w:t xml:space="preserve">المعيار</w:t>
            </w:r>
          </w:p>
        </w:tc>
        <w:tc>
          <w:tcPr>
            <w:tcW w:type="dxa" w:w="2100"/>
            <w:shd w:fill="F3EFEA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A"/>
                <w:sz w:val="18"/>
                <w:szCs w:val="18"/>
                <w:rtl/>
              </w:rPr>
              <w:t xml:space="preserve">الراجحي (مرجع)</w:t>
            </w:r>
          </w:p>
        </w:tc>
        <w:tc>
          <w:tcPr>
            <w:tcW w:type="dxa" w:w="2100"/>
            <w:shd w:fill="F3EFEA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A"/>
                <w:sz w:val="18"/>
                <w:szCs w:val="18"/>
                <w:rtl/>
              </w:rPr>
              <w:t xml:space="preserve">HyperPay</w:t>
            </w:r>
          </w:p>
        </w:tc>
        <w:tc>
          <w:tcPr>
            <w:tcW w:type="dxa" w:w="2100"/>
            <w:shd w:fill="F3EFEA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26262A"/>
                <w:sz w:val="18"/>
                <w:szCs w:val="18"/>
                <w:rtl/>
              </w:rPr>
              <w:t xml:space="preserve">مزوّد ٣</w:t>
            </w:r>
          </w:p>
        </w:tc>
      </w:tr>
      <w:tr>
        <w:tc>
          <w:tcPr>
            <w:tcW w:type="dxa" w:w="3060"/>
            <w:shd w:fill="F3EFEA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8"/>
                <w:szCs w:val="18"/>
                <w:rtl/>
              </w:rPr>
              <w:t xml:space="preserve">منتج محفظة/قيمة مخزّنة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لا (قبول فقط)</w:t>
            </w:r>
          </w:p>
        </w:tc>
        <w:tc>
          <w:tcPr>
            <w:tcW w:type="dxa" w:w="2100"/>
            <w:shd w:fill="FEF3E6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</w:tr>
      <w:tr>
        <w:tc>
          <w:tcPr>
            <w:tcW w:type="dxa" w:w="3060"/>
            <w:shd w:fill="F3EFEA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8"/>
                <w:szCs w:val="18"/>
                <w:rtl/>
              </w:rPr>
              <w:t xml:space="preserve">Apple Pay / STC Pay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  <w:tc>
          <w:tcPr>
            <w:tcW w:type="dxa" w:w="2100"/>
            <w:shd w:fill="FEF3E6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</w:tr>
      <w:tr>
        <w:tc>
          <w:tcPr>
            <w:tcW w:type="dxa" w:w="3060"/>
            <w:shd w:fill="F3EFEA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8"/>
                <w:szCs w:val="18"/>
                <w:rtl/>
              </w:rPr>
              <w:t xml:space="preserve">التقسيط (تابي/تمارا)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  <w:tc>
          <w:tcPr>
            <w:tcW w:type="dxa" w:w="2100"/>
            <w:shd w:fill="FEF3E6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</w:tr>
      <w:tr>
        <w:tc>
          <w:tcPr>
            <w:tcW w:type="dxa" w:w="3060"/>
            <w:shd w:fill="FBF1DD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9A6A12"/>
                <w:sz w:val="18"/>
                <w:szCs w:val="18"/>
                <w:rtl/>
              </w:rPr>
              <w:t xml:space="preserve">صرف للتجار (Payout)</w:t>
            </w:r>
          </w:p>
        </w:tc>
        <w:tc>
          <w:tcPr>
            <w:tcW w:type="dxa" w:w="2100"/>
            <w:shd w:fill="FBF1DD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  <w:tc>
          <w:tcPr>
            <w:tcW w:type="dxa" w:w="2100"/>
            <w:shd w:fill="FBF1DD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  <w:tc>
          <w:tcPr>
            <w:tcW w:type="dxa" w:w="2100"/>
            <w:shd w:fill="FBF1DD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</w:tr>
      <w:tr>
        <w:tc>
          <w:tcPr>
            <w:tcW w:type="dxa" w:w="3060"/>
            <w:shd w:fill="F3EFEA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8"/>
                <w:szCs w:val="18"/>
                <w:rtl/>
              </w:rPr>
              <w:t xml:space="preserve">دعم KYC / نفاذ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  <w:tc>
          <w:tcPr>
            <w:tcW w:type="dxa" w:w="2100"/>
            <w:shd w:fill="FEF3E6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</w:tr>
      <w:tr>
        <w:tc>
          <w:tcPr>
            <w:tcW w:type="dxa" w:w="3060"/>
            <w:shd w:fill="F3EFEA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8"/>
                <w:szCs w:val="18"/>
                <w:rtl/>
              </w:rPr>
              <w:t xml:space="preserve">تقليل نطاق PCI (Hosted)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  <w:tc>
          <w:tcPr>
            <w:tcW w:type="dxa" w:w="2100"/>
            <w:shd w:fill="FEF3E6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</w:tr>
      <w:tr>
        <w:tc>
          <w:tcPr>
            <w:tcW w:type="dxa" w:w="3060"/>
            <w:shd w:fill="F3EFEA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8"/>
                <w:szCs w:val="18"/>
                <w:rtl/>
              </w:rPr>
              <w:t xml:space="preserve">مدة العقد / الخروج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سنتان · تلقائي</w:t>
            </w:r>
          </w:p>
        </w:tc>
        <w:tc>
          <w:tcPr>
            <w:tcW w:type="dxa" w:w="2100"/>
            <w:shd w:fill="FEF3E6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</w:tr>
      <w:tr>
        <w:tc>
          <w:tcPr>
            <w:tcW w:type="dxa" w:w="3060"/>
            <w:shd w:fill="F3EFEA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8"/>
                <w:szCs w:val="18"/>
                <w:rtl/>
              </w:rPr>
              <w:t xml:space="preserve">مدة التسوية للحساب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  <w:tc>
          <w:tcPr>
            <w:tcW w:type="dxa" w:w="2100"/>
            <w:shd w:fill="FEF3E6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</w:tr>
      <w:tr>
        <w:tc>
          <w:tcPr>
            <w:tcW w:type="dxa" w:w="3060"/>
            <w:shd w:fill="F3EFEA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26262A"/>
                <w:sz w:val="18"/>
                <w:szCs w:val="18"/>
                <w:rtl/>
              </w:rPr>
              <w:t xml:space="preserve">زمن التكامل التقني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  <w:tc>
          <w:tcPr>
            <w:tcW w:type="dxa" w:w="2100"/>
            <w:shd w:fill="FEF3E6" w:color="auto" w:val="clear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  <w:tc>
          <w:tcPr>
            <w:tcW w:type="dxa" w:w="2100"/>
            <w:tcMar>
              <w:top w:type="dxa" w:w="64"/>
              <w:left w:type="dxa" w:w="90"/>
              <w:bottom w:type="dxa" w:w="64"/>
              <w:right w:type="dxa" w:w="90"/>
            </w:tcMar>
            <w:vAlign w:val="center"/>
          </w:tcPr>
          <w:p>
            <w:pPr>
              <w:bidi/>
              <w:spacing w:after="0" w:before="0" w:line="255"/>
              <w:jc w:val="center"/>
            </w:pPr>
            <w:r>
              <w:rPr>
                <w:rFonts w:ascii="Arial" w:cs="Arial" w:eastAsia="Arial" w:hAnsi="Arial"/>
                <w:color w:val="26262A"/>
                <w:sz w:val="18"/>
                <w:szCs w:val="18"/>
                <w:rtl/>
              </w:rPr>
              <w:t xml:space="preserve">……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07C16" w:sz="12" w:space="4"/>
        </w:pBd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E07C16"/>
          <w:sz w:val="26"/>
          <w:szCs w:val="26"/>
          <w:rtl/>
        </w:rPr>
        <w:t xml:space="preserve">٣.  </w:t>
      </w:r>
      <w:r>
        <w:rPr>
          <w:rFonts w:ascii="Arial" w:cs="Arial" w:eastAsia="Arial" w:hAnsi="Arial"/>
          <w:b/>
          <w:bCs/>
          <w:color w:val="26262A"/>
          <w:sz w:val="26"/>
          <w:szCs w:val="26"/>
          <w:rtl/>
        </w:rPr>
        <w:t xml:space="preserve">قائمة الأسئلة (تُرسل لكل مزوّد)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color w:val="E07C16"/>
          <w:sz w:val="23"/>
          <w:szCs w:val="23"/>
          <w:rtl/>
        </w:rPr>
        <w:t xml:space="preserve">أ) الرسوم والتكاليف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ما رسوم التأسيس (لمرة واحدة) والاشتراك الشهري/السنوي؟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ما نسبة العمولة (MDR) لكل عملية — لمدى وللبطاقات الائتمانية منفصلين؟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هل لديكم سعر خاص لشحن المحفظة الإلكترونية عبر مدى؟ (مرجع: الراجحي ١٫٥ ﷼ ثابت للعملية.)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ما رسوم الاسترجاع (Refund) والاعتراض (Chargeback) ومَن يتحمّلها؟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هل الرسوم شاملة أم تُضاف عليها ضريبة القيمة المضافة؟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هل تنخفض النسب مع زيادة حجم المعاملات؟ وما الشرائح؟</w:t>
      </w:r>
    </w:p>
    <w:p>
      <w:pPr>
        <w:bidi/>
        <w:spacing w:after="80" w:before="120" w:line="300"/>
        <w:jc w:val="right"/>
      </w:pPr>
      <w:r>
        <w:rPr>
          <w:rFonts w:ascii="Arial" w:cs="Arial" w:eastAsia="Arial" w:hAnsi="Arial"/>
          <w:b/>
          <w:bCs/>
          <w:color w:val="E07C16"/>
          <w:sz w:val="23"/>
          <w:szCs w:val="23"/>
          <w:rtl/>
        </w:rPr>
        <w:t xml:space="preserve">ب) القدرات التقنية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هل تقدّمون منتج محفظة/قيمة مخزّنة، أم قبول الدفع فقط؟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هل تدعمون Apple Pay و STC Pay والتقسيط (تابي/تمارا)؟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هل تدعمون الصرف للتجار (Payout/Disbursement) لتسوية شركاء الولاء؟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هل تدعمون التحقق من الهوية (نفاذ/Nafath) أو نحتاجه من مزوّد خارجي؟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هل يقلّل حلّكم من نطاق امتثال PCI-DSS لدينا (Hosted fields/Tokenization)؟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كم مدة التكامل التقني المتوقعة؟ وما مستوى الدعم أثناءه؟</w:t>
      </w:r>
    </w:p>
    <w:p>
      <w:pPr>
        <w:bidi/>
        <w:spacing w:after="80" w:before="120" w:line="300"/>
        <w:jc w:val="right"/>
      </w:pPr>
      <w:r>
        <w:rPr>
          <w:rFonts w:ascii="Arial" w:cs="Arial" w:eastAsia="Arial" w:hAnsi="Arial"/>
          <w:b/>
          <w:bCs/>
          <w:color w:val="E07C16"/>
          <w:sz w:val="23"/>
          <w:szCs w:val="23"/>
          <w:rtl/>
        </w:rPr>
        <w:t xml:space="preserve">ج) الشروط التعاقدية والتشغيلية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ما مدة العقد وآلية التجديد وشروط الخروج؟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هل يمكنكم تعديل الأسعار خلال مدة العقد؟ وبأي إشعار؟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ما مدة تسوية الأموال إلى حسابنا البنكي؟ وهل هناك رسم تسوية؟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ما اتفاقية مستوى الخدمة (SLA) للتوفّر والدعم؟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كيف تُدار حالات الاحتيال والاعتراضات إجرائياً؟</w:t>
      </w:r>
    </w:p>
    <w:p>
      <w:pPr>
        <w:pStyle w:val="ListParagraph"/>
        <w:numPr>
          <w:ilvl w:val="0"/>
          <w:numId w:val="1"/>
        </w:numPr>
        <w:bidi/>
        <w:spacing w:after="70" w:line="285"/>
        <w:jc w:val="right"/>
      </w:pP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هل هناك حدّ أدنى شهري للمعاملات أو رسوم عدم استخدام؟</w:t>
      </w:r>
    </w:p>
    <w:p>
      <w:pPr>
        <w:pBdr>
          <w:left w:val="single" w:color="9A6A12" w:sz="18" w:space="8"/>
        </w:pBdr>
        <w:shd w:fill="FBF1DD" w:color="auto" w:val="clear"/>
        <w:bidi/>
        <w:spacing w:after="110" w:before="200" w:line="290"/>
        <w:jc w:val="right"/>
      </w:pPr>
      <w:r>
        <w:rPr>
          <w:rFonts w:ascii="Arial" w:cs="Arial" w:eastAsia="Arial" w:hAnsi="Arial"/>
          <w:b/>
          <w:bCs/>
          <w:color w:val="9A6A12"/>
          <w:sz w:val="22"/>
          <w:szCs w:val="22"/>
          <w:rtl/>
        </w:rPr>
        <w:t xml:space="preserve">تنبيه مهم:  </w:t>
      </w:r>
      <w:r>
        <w:rPr>
          <w:rFonts w:ascii="Arial" w:cs="Arial" w:eastAsia="Arial" w:hAnsi="Arial"/>
          <w:color w:val="26262A"/>
          <w:sz w:val="22"/>
          <w:szCs w:val="22"/>
          <w:rtl/>
        </w:rPr>
        <w:t xml:space="preserve">بوابة الدفع تغطّي «قبول الشحن» فقط. الاحتفاظ برصيد المحفظة نشاط منظّم من ساما يتطلب ترخيصاً خاصاً أو شراكة مع محفظة مرخّصة (STC Pay / urpay / بنك) — يُقيَّم بالتوازي مع البوابة.</w:t>
      </w:r>
    </w:p>
    <w:p>
      <w:pPr>
        <w:bidi/>
        <w:spacing w:after="110" w:before="200" w:line="300"/>
        <w:jc w:val="center"/>
      </w:pPr>
      <w:r>
        <w:rPr>
          <w:rFonts w:ascii="Arial" w:cs="Arial" w:eastAsia="Arial" w:hAnsi="Arial"/>
          <w:i/>
          <w:iCs/>
          <w:color w:val="6D6E70"/>
          <w:sz w:val="18"/>
          <w:szCs w:val="18"/>
          <w:rtl/>
        </w:rPr>
        <w:t xml:space="preserve">وثيقة داخلية — أداة تقييم لإدارة المالية. الأرقام المرجعية للراجحي من عرضهم القياسي وقابلة للتفاوض.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20"/>
      </w:pPr>
      <w:rPr>
        <w:rFonts w:ascii="Arial" w:cs="Arial" w:eastAsia="Arial" w:hAnsi="Arial"/>
        <w:color w:val="E07C1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626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مقارنة مزوّدي بوابات الدفع - تانكي</dc:title>
  <dc:creator>Darb</dc:creator>
  <cp:lastModifiedBy>Un-named</cp:lastModifiedBy>
  <cp:revision>1</cp:revision>
  <dcterms:created xsi:type="dcterms:W3CDTF">2026-08-17T06:48:22.651Z</dcterms:created>
  <dcterms:modified xsi:type="dcterms:W3CDTF">2026-08-17T06:48:22.666Z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