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F3864"/>
          <w:sz w:val="36"/>
          <w:szCs w:val="36"/>
        </w:rPr>
        <w:t xml:space="preserve">HEALTHCARE FRAUD IN AMERICA: FCA SETTLEMENT ANALYSIS</w:t>
      </w:r>
    </w:p>
    <w:p>
      <w:pPr>
        <w:spacing w:after="40" w:before="0"/>
        <w:jc w:val="center"/>
      </w:pPr>
      <w:r>
        <w:rPr>
          <w:rFonts w:ascii="Arial" w:cs="Arial" w:eastAsia="Arial" w:hAnsi="Arial"/>
          <w:b/>
          <w:bCs/>
          <w:color w:val="1F3864"/>
          <w:sz w:val="26"/>
          <w:szCs w:val="26"/>
        </w:rPr>
        <w:t xml:space="preserve">Phase 1 — Medicaid Provider Spending Anomaly Detection</w:t>
      </w:r>
    </w:p>
    <w:p>
      <w:pPr>
        <w:spacing w:after="40" w:before="0"/>
        <w:jc w:val="center"/>
      </w:pPr>
      <w:r>
        <w:rPr>
          <w:rFonts w:ascii="Arial" w:cs="Arial" w:eastAsia="Arial" w:hAnsi="Arial"/>
          <w:i/>
          <w:iCs/>
          <w:color w:val="555555"/>
          <w:sz w:val="22"/>
          <w:szCs w:val="22"/>
        </w:rPr>
        <w:t xml:space="preserve">Anomalous LPN Billing Patterns in Home Health: A Data-Driven Investigation</w:t>
      </w:r>
    </w:p>
    <w:p>
      <w:pPr>
        <w:spacing w:after="40" w:before="0"/>
        <w:jc w:val="center"/>
      </w:pPr>
      <w:r>
        <w:rPr>
          <w:rFonts w:ascii="Arial" w:cs="Arial" w:eastAsia="Arial" w:hAnsi="Arial"/>
          <w:color w:val="555555"/>
          <w:sz w:val="22"/>
          <w:szCs w:val="22"/>
        </w:rPr>
        <w:t xml:space="preserve">Dawn Krysa, PA-C, MSHIIM, CHDA</w:t>
      </w:r>
    </w:p>
    <w:p>
      <w:pPr>
        <w:spacing w:after="200" w:before="0"/>
        <w:jc w:val="center"/>
      </w:pPr>
      <w:r>
        <w:rPr>
          <w:rFonts w:ascii="Arial" w:cs="Arial" w:eastAsia="Arial" w:hAnsi="Arial"/>
          <w:i/>
          <w:iCs/>
          <w:color w:val="555555"/>
          <w:sz w:val="20"/>
          <w:szCs w:val="20"/>
        </w:rPr>
        <w:t xml:space="preserve">April 2026  |  Portfolio Project</w:t>
      </w:r>
    </w:p>
    <w:p>
      <w:pPr>
        <w:pBdr>
          <w:bottom w:val="single" w:color="1F3864" w:sz="8" w:space="4"/>
        </w:pBdr>
        <w:spacing w:after="80" w:before="280"/>
      </w:pPr>
      <w:r>
        <w:rPr>
          <w:rFonts w:ascii="Arial" w:cs="Arial" w:eastAsia="Arial" w:hAnsi="Arial"/>
          <w:b/>
          <w:bCs/>
          <w:color w:val="1F3864"/>
          <w:sz w:val="26"/>
          <w:szCs w:val="26"/>
        </w:rPr>
        <w:t xml:space="preserve">EXECUTIVE SUMMARY</w:t>
      </w:r>
    </w:p>
    <w:p>
      <w:pPr>
        <w:spacing w:after="80" w:before="60"/>
      </w:pPr>
      <w:r>
        <w:rPr>
          <w:rFonts w:ascii="Arial" w:cs="Arial" w:eastAsia="Arial" w:hAnsi="Arial"/>
          <w:b w:val="false"/>
          <w:bCs w:val="false"/>
          <w:i w:val="false"/>
          <w:iCs w:val="false"/>
          <w:color w:val="000000"/>
          <w:sz w:val="21"/>
          <w:szCs w:val="21"/>
        </w:rPr>
        <w:t xml:space="preserve">This report documents findings from an exploratory analysis of the CMS T-MSIS Medicaid Provider Spending dataset, released publicly by HHS in February 2026. Using Python (pandas) applied to 100,000 rows of provider-level claims data spanning 2018–2024, this analysis identified statistically anomalous billing patterns consistent with potential Medicaid fraud in the home health sector.</w:t>
      </w:r>
    </w:p>
    <w:p>
      <w:pPr>
        <w:spacing w:after="80" w:before="60"/>
      </w:pPr>
      <w:r>
        <w:rPr>
          <w:rFonts w:ascii="Arial" w:cs="Arial" w:eastAsia="Arial" w:hAnsi="Arial"/>
          <w:b w:val="false"/>
          <w:bCs w:val="false"/>
          <w:i w:val="false"/>
          <w:iCs w:val="false"/>
          <w:color w:val="000000"/>
          <w:sz w:val="21"/>
          <w:szCs w:val="21"/>
        </w:rPr>
        <w:t xml:space="preserve">Two providers were identified with mathematically impossible LPN nursing service volumes, sustained high-dollar billing over multiple years, and identical HCPCS code utilization patterns. Neither provider appeared in the 2025 DOJ National Health Care Fraud Takedown, suggesting these findings may represent previously undetected fraud.</w:t>
      </w:r>
    </w:p>
    <w:p>
      <w:pPr>
        <w:spacing w:after="80" w:before="60"/>
      </w:pPr>
      <w:r>
        <w:rPr>
          <w:rFonts w:ascii="Arial" w:cs="Arial" w:eastAsia="Arial" w:hAnsi="Arial"/>
          <w:b w:val="false"/>
          <w:bCs w:val="false"/>
          <w:i w:val="false"/>
          <w:iCs w:val="false"/>
          <w:color w:val="000000"/>
          <w:sz w:val="21"/>
          <w:szCs w:val="21"/>
        </w:rPr>
        <w:t xml:space="preserve">Combined, these two providers received an estimated $123.1 million in Medicaid payments within the analyzed sample alone — representing a fraction of their likely total program exposure across the full dataset.</w:t>
      </w:r>
    </w:p>
    <w:p>
      <w:pPr>
        <w:spacing w:after="100" w:before="0"/>
      </w:pPr>
      <w:r>
        <w:rPr>
          <w:sz w:val="20"/>
          <w:szCs w:val="20"/>
        </w:rPr>
        <w:t xml:space="preserve"/>
      </w:r>
    </w:p>
    <w:p>
      <w:pPr>
        <w:pBdr>
          <w:bottom w:val="single" w:color="1F3864" w:sz="8" w:space="4"/>
        </w:pBdr>
        <w:spacing w:after="80" w:before="280"/>
      </w:pPr>
      <w:r>
        <w:rPr>
          <w:rFonts w:ascii="Arial" w:cs="Arial" w:eastAsia="Arial" w:hAnsi="Arial"/>
          <w:b/>
          <w:bCs/>
          <w:color w:val="1F3864"/>
          <w:sz w:val="26"/>
          <w:szCs w:val="26"/>
        </w:rPr>
        <w:t xml:space="preserve">DATA SOURCE &amp; METHODOLOGY</w:t>
      </w:r>
    </w:p>
    <w:p>
      <w:pPr>
        <w:spacing w:after="60" w:before="200"/>
      </w:pPr>
      <w:r>
        <w:rPr>
          <w:rFonts w:ascii="Arial" w:cs="Arial" w:eastAsia="Arial" w:hAnsi="Arial"/>
          <w:b/>
          <w:bCs/>
          <w:color w:val="000000"/>
          <w:sz w:val="22"/>
          <w:szCs w:val="22"/>
        </w:rPr>
        <w:t xml:space="preserve">Dataset</w:t>
      </w:r>
    </w:p>
    <w:p>
      <w:pPr>
        <w:pStyle w:val="ListParagraph"/>
        <w:numPr>
          <w:ilvl w:val="0"/>
          <w:numId w:val="2"/>
        </w:numPr>
        <w:spacing w:after="40" w:before="40"/>
      </w:pPr>
      <w:r>
        <w:rPr>
          <w:rFonts w:ascii="Arial" w:cs="Arial" w:eastAsia="Arial" w:hAnsi="Arial"/>
          <w:color w:val="000000"/>
          <w:sz w:val="21"/>
          <w:szCs w:val="21"/>
        </w:rPr>
        <w:t xml:space="preserve">Source: CMS T-MSIS Medicaid Provider Spending by HCPCS (opendata.hhs.gov)</w:t>
      </w:r>
    </w:p>
    <w:p>
      <w:pPr>
        <w:pStyle w:val="ListParagraph"/>
        <w:numPr>
          <w:ilvl w:val="0"/>
          <w:numId w:val="2"/>
        </w:numPr>
        <w:spacing w:after="40" w:before="40"/>
      </w:pPr>
      <w:r>
        <w:rPr>
          <w:rFonts w:ascii="Arial" w:cs="Arial" w:eastAsia="Arial" w:hAnsi="Arial"/>
          <w:color w:val="000000"/>
          <w:sz w:val="21"/>
          <w:szCs w:val="21"/>
        </w:rPr>
        <w:t xml:space="preserve">Released: February 13, 2026 by HHS/DOGE — described as the largest Medicaid claims dataset ever made publicly available</w:t>
      </w:r>
    </w:p>
    <w:p>
      <w:pPr>
        <w:pStyle w:val="ListParagraph"/>
        <w:numPr>
          <w:ilvl w:val="0"/>
          <w:numId w:val="2"/>
        </w:numPr>
        <w:spacing w:after="40" w:before="40"/>
      </w:pPr>
      <w:r>
        <w:rPr>
          <w:rFonts w:ascii="Arial" w:cs="Arial" w:eastAsia="Arial" w:hAnsi="Arial"/>
          <w:color w:val="000000"/>
          <w:sz w:val="21"/>
          <w:szCs w:val="21"/>
        </w:rPr>
        <w:t xml:space="preserve">Coverage: January 2018 – December 2024, all 50 states and territories</w:t>
      </w:r>
    </w:p>
    <w:p>
      <w:pPr>
        <w:pStyle w:val="ListParagraph"/>
        <w:numPr>
          <w:ilvl w:val="0"/>
          <w:numId w:val="2"/>
        </w:numPr>
        <w:spacing w:after="40" w:before="40"/>
      </w:pPr>
      <w:r>
        <w:rPr>
          <w:rFonts w:ascii="Arial" w:cs="Arial" w:eastAsia="Arial" w:hAnsi="Arial"/>
          <w:color w:val="000000"/>
          <w:sz w:val="21"/>
          <w:szCs w:val="21"/>
        </w:rPr>
        <w:t xml:space="preserve">Granularity: Billing Provider NPI × Servicing Provider NPI × HCPCS Code × Month</w:t>
      </w:r>
    </w:p>
    <w:p>
      <w:pPr>
        <w:pStyle w:val="ListParagraph"/>
        <w:numPr>
          <w:ilvl w:val="0"/>
          <w:numId w:val="2"/>
        </w:numPr>
        <w:spacing w:after="40" w:before="40"/>
      </w:pPr>
      <w:r>
        <w:rPr>
          <w:rFonts w:ascii="Arial" w:cs="Arial" w:eastAsia="Arial" w:hAnsi="Arial"/>
          <w:color w:val="000000"/>
          <w:sz w:val="21"/>
          <w:szCs w:val="21"/>
        </w:rPr>
        <w:t xml:space="preserve">Sample analyzed: First 100,000 rows (dataset sorted by TOTAL_PAID descending)</w:t>
      </w:r>
    </w:p>
    <w:p>
      <w:pPr>
        <w:pStyle w:val="ListParagraph"/>
        <w:numPr>
          <w:ilvl w:val="0"/>
          <w:numId w:val="2"/>
        </w:numPr>
        <w:spacing w:after="40" w:before="40"/>
      </w:pPr>
      <w:r>
        <w:rPr>
          <w:rFonts w:ascii="Arial" w:cs="Arial" w:eastAsia="Arial" w:hAnsi="Arial"/>
          <w:color w:val="000000"/>
          <w:sz w:val="21"/>
          <w:szCs w:val="21"/>
        </w:rPr>
        <w:t xml:space="preserve">Full dataset size: Approximately 10GB</w:t>
      </w:r>
    </w:p>
    <w:p>
      <w:pPr>
        <w:spacing w:after="100" w:before="0"/>
      </w:pPr>
      <w:r>
        <w:rPr>
          <w:sz w:val="20"/>
          <w:szCs w:val="20"/>
        </w:rPr>
        <w:t xml:space="preserve"/>
      </w:r>
    </w:p>
    <w:p>
      <w:pPr>
        <w:spacing w:after="60" w:before="200"/>
      </w:pPr>
      <w:r>
        <w:rPr>
          <w:rFonts w:ascii="Arial" w:cs="Arial" w:eastAsia="Arial" w:hAnsi="Arial"/>
          <w:b/>
          <w:bCs/>
          <w:color w:val="000000"/>
          <w:sz w:val="22"/>
          <w:szCs w:val="22"/>
        </w:rPr>
        <w:t xml:space="preserve">Methodology</w:t>
      </w:r>
    </w:p>
    <w:p>
      <w:pPr>
        <w:pStyle w:val="ListParagraph"/>
        <w:numPr>
          <w:ilvl w:val="0"/>
          <w:numId w:val="2"/>
        </w:numPr>
        <w:spacing w:after="40" w:before="40"/>
      </w:pPr>
      <w:r>
        <w:rPr>
          <w:rFonts w:ascii="Arial" w:cs="Arial" w:eastAsia="Arial" w:hAnsi="Arial"/>
          <w:color w:val="000000"/>
          <w:sz w:val="21"/>
          <w:szCs w:val="21"/>
        </w:rPr>
        <w:t xml:space="preserve">Loaded dataset using Python pandas with nrows=100,000 to explore highest-spend records</w:t>
      </w:r>
    </w:p>
    <w:p>
      <w:pPr>
        <w:pStyle w:val="ListParagraph"/>
        <w:numPr>
          <w:ilvl w:val="0"/>
          <w:numId w:val="2"/>
        </w:numPr>
        <w:spacing w:after="40" w:before="40"/>
      </w:pPr>
      <w:r>
        <w:rPr>
          <w:rFonts w:ascii="Arial" w:cs="Arial" w:eastAsia="Arial" w:hAnsi="Arial"/>
          <w:color w:val="000000"/>
          <w:sz w:val="21"/>
          <w:szCs w:val="21"/>
        </w:rPr>
        <w:t xml:space="preserve">Calculated SPEND_PER_BENEFICIARY = TOTAL_PAID / TOTAL_UNIQUE_BENEFICIARIES</w:t>
      </w:r>
    </w:p>
    <w:p>
      <w:pPr>
        <w:pStyle w:val="ListParagraph"/>
        <w:numPr>
          <w:ilvl w:val="0"/>
          <w:numId w:val="2"/>
        </w:numPr>
        <w:spacing w:after="40" w:before="40"/>
      </w:pPr>
      <w:r>
        <w:rPr>
          <w:rFonts w:ascii="Arial" w:cs="Arial" w:eastAsia="Arial" w:hAnsi="Arial"/>
          <w:color w:val="000000"/>
          <w:sz w:val="21"/>
          <w:szCs w:val="21"/>
        </w:rPr>
        <w:t xml:space="preserve">Applied statistical outlier detection using 3 standard deviation threshold per HCPCS code</w:t>
      </w:r>
    </w:p>
    <w:p>
      <w:pPr>
        <w:pStyle w:val="ListParagraph"/>
        <w:numPr>
          <w:ilvl w:val="0"/>
          <w:numId w:val="2"/>
        </w:numPr>
        <w:spacing w:after="40" w:before="40"/>
      </w:pPr>
      <w:r>
        <w:rPr>
          <w:rFonts w:ascii="Arial" w:cs="Arial" w:eastAsia="Arial" w:hAnsi="Arial"/>
          <w:color w:val="000000"/>
          <w:sz w:val="21"/>
          <w:szCs w:val="21"/>
        </w:rPr>
        <w:t xml:space="preserve">Cross-referenced flagged NPIs against NPPES NPI Registry</w:t>
      </w:r>
    </w:p>
    <w:p>
      <w:pPr>
        <w:pStyle w:val="ListParagraph"/>
        <w:numPr>
          <w:ilvl w:val="0"/>
          <w:numId w:val="2"/>
        </w:numPr>
        <w:spacing w:after="40" w:before="40"/>
      </w:pPr>
      <w:r>
        <w:rPr>
          <w:rFonts w:ascii="Arial" w:cs="Arial" w:eastAsia="Arial" w:hAnsi="Arial"/>
          <w:color w:val="000000"/>
          <w:sz w:val="21"/>
          <w:szCs w:val="21"/>
        </w:rPr>
        <w:t xml:space="preserve">Applied clinical judgment to distinguish legitimate high-cost codes (e.g., J2326 Spinraza) from anomalous LPN billing patterns</w:t>
      </w:r>
    </w:p>
    <w:p>
      <w:pPr>
        <w:pStyle w:val="ListParagraph"/>
        <w:numPr>
          <w:ilvl w:val="0"/>
          <w:numId w:val="2"/>
        </w:numPr>
        <w:spacing w:after="40" w:before="40"/>
      </w:pPr>
      <w:r>
        <w:rPr>
          <w:rFonts w:ascii="Arial" w:cs="Arial" w:eastAsia="Arial" w:hAnsi="Arial"/>
          <w:color w:val="000000"/>
          <w:sz w:val="21"/>
          <w:szCs w:val="21"/>
        </w:rPr>
        <w:t xml:space="preserve">Documented findings with mathematical impossibility analysis</w:t>
      </w:r>
    </w:p>
    <w:p>
      <w:pPr>
        <w:spacing w:after="100" w:before="0"/>
      </w:pPr>
      <w:r>
        <w:rPr>
          <w:sz w:val="20"/>
          <w:szCs w:val="20"/>
        </w:rPr>
        <w:t xml:space="preserve"/>
      </w:r>
    </w:p>
    <w:p>
      <w:pPr>
        <w:pBdr>
          <w:bottom w:val="single" w:color="1F3864" w:sz="8" w:space="4"/>
        </w:pBdr>
        <w:spacing w:after="80" w:before="280"/>
      </w:pPr>
      <w:r>
        <w:rPr>
          <w:rFonts w:ascii="Arial" w:cs="Arial" w:eastAsia="Arial" w:hAnsi="Arial"/>
          <w:b/>
          <w:bCs/>
          <w:color w:val="1F3864"/>
          <w:sz w:val="26"/>
          <w:szCs w:val="26"/>
        </w:rPr>
        <w:t xml:space="preserve">HCPCS CODES OF INTEREST</w:t>
      </w:r>
    </w:p>
    <w:p>
      <w:pPr>
        <w:spacing w:after="80" w:before="60"/>
      </w:pPr>
      <w:r>
        <w:rPr>
          <w:rFonts w:ascii="Arial" w:cs="Arial" w:eastAsia="Arial" w:hAnsi="Arial"/>
          <w:b w:val="false"/>
          <w:bCs w:val="false"/>
          <w:i w:val="false"/>
          <w:iCs w:val="false"/>
          <w:color w:val="000000"/>
          <w:sz w:val="21"/>
          <w:szCs w:val="21"/>
        </w:rPr>
        <w:t xml:space="preserve">Two LPN nursing service codes were central to both fraud flags identified:</w:t>
      </w:r>
    </w:p>
    <w:p>
      <w:pPr>
        <w:spacing w:after="100" w:before="0"/>
      </w:pPr>
      <w:r>
        <w:rPr>
          <w:sz w:val="20"/>
          <w:szCs w:val="20"/>
        </w:rPr>
        <w:t xml:space="preserve"/>
      </w:r>
    </w:p>
    <w:p>
      <w:pPr>
        <w:spacing w:after="80" w:before="60"/>
      </w:pPr>
      <w:r>
        <w:rPr>
          <w:rFonts w:ascii="Arial" w:cs="Arial" w:eastAsia="Arial" w:hAnsi="Arial"/>
          <w:b/>
          <w:bCs/>
          <w:i w:val="false"/>
          <w:iCs w:val="false"/>
          <w:color w:val="000000"/>
          <w:sz w:val="21"/>
          <w:szCs w:val="21"/>
        </w:rPr>
        <w:t xml:space="preserve">T1003 — LPN/LVN services, up to 15 minutes</w:t>
      </w:r>
    </w:p>
    <w:p>
      <w:pPr>
        <w:spacing w:after="80" w:before="60"/>
      </w:pPr>
      <w:r>
        <w:rPr>
          <w:rFonts w:ascii="Arial" w:cs="Arial" w:eastAsia="Arial" w:hAnsi="Arial"/>
          <w:b w:val="false"/>
          <w:bCs w:val="false"/>
          <w:i w:val="false"/>
          <w:iCs w:val="false"/>
          <w:color w:val="000000"/>
          <w:sz w:val="21"/>
          <w:szCs w:val="21"/>
        </w:rPr>
        <w:t xml:space="preserve">Billed per 15-minute unit. Typical reimbursement: $25–$40 per unit. Maximum billable: 96 units per patient per day (24 hours). Note: Medicare does not cover this code; Medicaid only.</w:t>
      </w:r>
    </w:p>
    <w:p>
      <w:pPr>
        <w:spacing w:after="100" w:before="0"/>
      </w:pPr>
      <w:r>
        <w:rPr>
          <w:sz w:val="20"/>
          <w:szCs w:val="20"/>
        </w:rPr>
        <w:t xml:space="preserve"/>
      </w:r>
    </w:p>
    <w:p>
      <w:pPr>
        <w:spacing w:after="80" w:before="60"/>
      </w:pPr>
      <w:r>
        <w:rPr>
          <w:rFonts w:ascii="Arial" w:cs="Arial" w:eastAsia="Arial" w:hAnsi="Arial"/>
          <w:b/>
          <w:bCs/>
          <w:i w:val="false"/>
          <w:iCs w:val="false"/>
          <w:color w:val="000000"/>
          <w:sz w:val="21"/>
          <w:szCs w:val="21"/>
        </w:rPr>
        <w:t xml:space="preserve">S9124 — Nursing care in the home; by licensed practical nurse, per hour</w:t>
      </w:r>
    </w:p>
    <w:p>
      <w:pPr>
        <w:spacing w:after="80" w:before="60"/>
      </w:pPr>
      <w:r>
        <w:rPr>
          <w:rFonts w:ascii="Arial" w:cs="Arial" w:eastAsia="Arial" w:hAnsi="Arial"/>
          <w:b w:val="false"/>
          <w:bCs w:val="false"/>
          <w:i w:val="false"/>
          <w:iCs w:val="false"/>
          <w:color w:val="000000"/>
          <w:sz w:val="21"/>
          <w:szCs w:val="21"/>
        </w:rPr>
        <w:t xml:space="preserve">Billed per hour. Maximum billable: 24 units per patient per day. Note: Medicare does not cover this code; Medicaid only.</w:t>
      </w:r>
    </w:p>
    <w:p>
      <w:pPr>
        <w:spacing w:after="100" w:before="0"/>
      </w:pPr>
      <w:r>
        <w:rPr>
          <w:sz w:val="20"/>
          <w:szCs w:val="20"/>
        </w:rPr>
        <w:t xml:space="preserve"/>
      </w:r>
    </w:p>
    <w:p>
      <w:pPr>
        <w:spacing w:after="80" w:before="60"/>
      </w:pPr>
      <w:r>
        <w:rPr>
          <w:rFonts w:ascii="Arial" w:cs="Arial" w:eastAsia="Arial" w:hAnsi="Arial"/>
          <w:b w:val="false"/>
          <w:bCs w:val="false"/>
          <w:i/>
          <w:iCs/>
          <w:color w:val="C00000"/>
          <w:sz w:val="21"/>
          <w:szCs w:val="21"/>
        </w:rPr>
        <w:t xml:space="preserve">Both codes are Medicaid-only, high-volume LPN codes with no Medicare oversight — making them particularly vulnerable to overbilling without federal detection.</w:t>
      </w:r>
    </w:p>
    <w:p>
      <w:pPr>
        <w:spacing w:after="100" w:before="0"/>
      </w:pPr>
      <w:r>
        <w:rPr>
          <w:sz w:val="20"/>
          <w:szCs w:val="20"/>
        </w:rPr>
        <w:t xml:space="preserve"/>
      </w:r>
    </w:p>
    <w:p>
      <w:pPr>
        <w:pBdr>
          <w:bottom w:val="single" w:color="1F3864" w:sz="8" w:space="4"/>
        </w:pBdr>
        <w:spacing w:after="80" w:before="280"/>
      </w:pPr>
      <w:r>
        <w:rPr>
          <w:rFonts w:ascii="Arial" w:cs="Arial" w:eastAsia="Arial" w:hAnsi="Arial"/>
          <w:b/>
          <w:bCs/>
          <w:color w:val="1F3864"/>
          <w:sz w:val="26"/>
          <w:szCs w:val="26"/>
        </w:rPr>
        <w:t xml:space="preserve">FRAUD FLAG #1: QUALITY ONE CARE HOME HEALTH INC.</w:t>
      </w:r>
    </w:p>
    <w:p>
      <w:pPr>
        <w:spacing w:after="100" w:before="0"/>
      </w:pPr>
      <w:r>
        <w:rPr>
          <w:sz w:val="20"/>
          <w:szCs w:val="20"/>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00"/>
            <w:shd w:fill="C00000"/>
            <w:tcMar>
              <w:top w:type="dxa" w:w="80"/>
              <w:left w:type="dxa" w:w="120"/>
              <w:bottom w:type="dxa" w:w="80"/>
              <w:right w:type="dxa" w:w="120"/>
            </w:tcMar>
          </w:tcPr>
          <w:p>
            <w:r>
              <w:rPr>
                <w:rFonts w:ascii="Arial" w:cs="Arial" w:eastAsia="Arial" w:hAnsi="Arial"/>
                <w:b/>
                <w:bCs/>
                <w:color w:val="FFFFFF"/>
                <w:sz w:val="22"/>
                <w:szCs w:val="22"/>
              </w:rPr>
              <w:t xml:space="preserve">⚠ FRAUD FLAG #1 — QUALITY ONE CARE HOME HEALTH INC.</w:t>
            </w:r>
          </w:p>
        </w:tc>
      </w:tr>
      <w:tr>
        <w:tc>
          <w:tcPr>
            <w:tcW w:type="dxa" w:w="10000"/>
            <w:shd w:fill="FFF2CC"/>
            <w:tcMar>
              <w:top w:type="dxa" w:w="80"/>
              <w:left w:type="dxa" w:w="120"/>
              <w:bottom w:type="dxa" w:w="80"/>
              <w:right w:type="dxa" w:w="120"/>
            </w:tcMar>
          </w:tcPr>
          <w:p>
            <w:r>
              <w:rPr>
                <w:rFonts w:ascii="Arial" w:cs="Arial" w:eastAsia="Arial" w:hAnsi="Arial"/>
                <w:color w:val="000000"/>
                <w:sz w:val="20"/>
                <w:szCs w:val="20"/>
              </w:rPr>
              <w:t xml:space="preserve">NPI: 1528351285</w:t>
            </w:r>
          </w:p>
        </w:tc>
      </w:tr>
      <w:tr>
        <w:tc>
          <w:tcPr>
            <w:tcW w:type="dxa" w:w="10000"/>
            <w:shd w:fill="FFF2CC"/>
            <w:tcMar>
              <w:top w:type="dxa" w:w="80"/>
              <w:left w:type="dxa" w:w="120"/>
              <w:bottom w:type="dxa" w:w="80"/>
              <w:right w:type="dxa" w:w="120"/>
            </w:tcMar>
          </w:tcPr>
          <w:p>
            <w:r>
              <w:rPr>
                <w:rFonts w:ascii="Arial" w:cs="Arial" w:eastAsia="Arial" w:hAnsi="Arial"/>
                <w:color w:val="000000"/>
                <w:sz w:val="20"/>
                <w:szCs w:val="20"/>
              </w:rPr>
              <w:t xml:space="preserve">Organization: Quality One Care Home Health Inc.</w:t>
            </w:r>
          </w:p>
        </w:tc>
      </w:tr>
      <w:tr>
        <w:tc>
          <w:tcPr>
            <w:tcW w:type="dxa" w:w="10000"/>
            <w:shd w:fill="FFF2CC"/>
            <w:tcMar>
              <w:top w:type="dxa" w:w="80"/>
              <w:left w:type="dxa" w:w="120"/>
              <w:bottom w:type="dxa" w:w="80"/>
              <w:right w:type="dxa" w:w="120"/>
            </w:tcMar>
          </w:tcPr>
          <w:p>
            <w:r>
              <w:rPr>
                <w:rFonts w:ascii="Arial" w:cs="Arial" w:eastAsia="Arial" w:hAnsi="Arial"/>
                <w:color w:val="000000"/>
                <w:sz w:val="20"/>
                <w:szCs w:val="20"/>
              </w:rPr>
              <w:t xml:space="preserve">Location: 9221 Colesville Rd, Silver Spring, MD 20910</w:t>
            </w:r>
          </w:p>
        </w:tc>
      </w:tr>
      <w:tr>
        <w:tc>
          <w:tcPr>
            <w:tcW w:type="dxa" w:w="10000"/>
            <w:shd w:fill="FFF2CC"/>
            <w:tcMar>
              <w:top w:type="dxa" w:w="80"/>
              <w:left w:type="dxa" w:w="120"/>
              <w:bottom w:type="dxa" w:w="80"/>
              <w:right w:type="dxa" w:w="120"/>
            </w:tcMar>
          </w:tcPr>
          <w:p>
            <w:r>
              <w:rPr>
                <w:rFonts w:ascii="Arial" w:cs="Arial" w:eastAsia="Arial" w:hAnsi="Arial"/>
                <w:color w:val="000000"/>
                <w:sz w:val="20"/>
                <w:szCs w:val="20"/>
              </w:rPr>
              <w:t xml:space="preserve">Taxonomy: 251E00000X (Home Health)</w:t>
            </w:r>
          </w:p>
        </w:tc>
      </w:tr>
      <w:tr>
        <w:tc>
          <w:tcPr>
            <w:tcW w:type="dxa" w:w="10000"/>
            <w:shd w:fill="FFF2CC"/>
            <w:tcMar>
              <w:top w:type="dxa" w:w="80"/>
              <w:left w:type="dxa" w:w="120"/>
              <w:bottom w:type="dxa" w:w="80"/>
              <w:right w:type="dxa" w:w="120"/>
            </w:tcMar>
          </w:tcPr>
          <w:p>
            <w:r>
              <w:rPr>
                <w:rFonts w:ascii="Arial" w:cs="Arial" w:eastAsia="Arial" w:hAnsi="Arial"/>
                <w:color w:val="000000"/>
                <w:sz w:val="20"/>
                <w:szCs w:val="20"/>
              </w:rPr>
              <w:t xml:space="preserve">NPI Last Updated: April 6, 2022</w:t>
            </w:r>
          </w:p>
        </w:tc>
      </w:tr>
      <w:tr>
        <w:tc>
          <w:tcPr>
            <w:tcW w:type="dxa" w:w="10000"/>
            <w:shd w:fill="FFF2CC"/>
            <w:tcMar>
              <w:top w:type="dxa" w:w="80"/>
              <w:left w:type="dxa" w:w="120"/>
              <w:bottom w:type="dxa" w:w="80"/>
              <w:right w:type="dxa" w:w="120"/>
            </w:tcMar>
          </w:tcPr>
          <w:p>
            <w:r>
              <w:rPr>
                <w:rFonts w:ascii="Arial" w:cs="Arial" w:eastAsia="Arial" w:hAnsi="Arial"/>
                <w:color w:val="000000"/>
                <w:sz w:val="20"/>
                <w:szCs w:val="20"/>
              </w:rPr>
              <w:t xml:space="preserve">HCPCS Codes: T1003, S9124</w:t>
            </w:r>
          </w:p>
        </w:tc>
      </w:tr>
      <w:tr>
        <w:tc>
          <w:tcPr>
            <w:tcW w:type="dxa" w:w="10000"/>
            <w:shd w:fill="FFF2CC"/>
            <w:tcMar>
              <w:top w:type="dxa" w:w="80"/>
              <w:left w:type="dxa" w:w="120"/>
              <w:bottom w:type="dxa" w:w="80"/>
              <w:right w:type="dxa" w:w="120"/>
            </w:tcMar>
          </w:tcPr>
          <w:p>
            <w:r>
              <w:rPr>
                <w:rFonts w:ascii="Arial" w:cs="Arial" w:eastAsia="Arial" w:hAnsi="Arial"/>
                <w:color w:val="000000"/>
                <w:sz w:val="20"/>
                <w:szCs w:val="20"/>
              </w:rPr>
              <w:t xml:space="preserve">Months Active in Sample: 37 (2021–2024)</w:t>
            </w:r>
          </w:p>
        </w:tc>
      </w:tr>
      <w:tr>
        <w:tc>
          <w:tcPr>
            <w:tcW w:type="dxa" w:w="10000"/>
            <w:shd w:fill="FFF2CC"/>
            <w:tcMar>
              <w:top w:type="dxa" w:w="80"/>
              <w:left w:type="dxa" w:w="120"/>
              <w:bottom w:type="dxa" w:w="80"/>
              <w:right w:type="dxa" w:w="120"/>
            </w:tcMar>
          </w:tcPr>
          <w:p>
            <w:r>
              <w:rPr>
                <w:rFonts w:ascii="Arial" w:cs="Arial" w:eastAsia="Arial" w:hAnsi="Arial"/>
                <w:color w:val="000000"/>
                <w:sz w:val="20"/>
                <w:szCs w:val="20"/>
              </w:rPr>
              <w:t xml:space="preserve">Total Medicaid Paid (Sample): $43,573,205.20</w:t>
            </w:r>
          </w:p>
        </w:tc>
      </w:tr>
      <w:tr>
        <w:tc>
          <w:tcPr>
            <w:tcW w:type="dxa" w:w="10000"/>
            <w:shd w:fill="FFF2CC"/>
            <w:tcMar>
              <w:top w:type="dxa" w:w="80"/>
              <w:left w:type="dxa" w:w="120"/>
              <w:bottom w:type="dxa" w:w="80"/>
              <w:right w:type="dxa" w:w="120"/>
            </w:tcMar>
          </w:tcPr>
          <w:p>
            <w:r>
              <w:rPr>
                <w:rFonts w:ascii="Arial" w:cs="Arial" w:eastAsia="Arial" w:hAnsi="Arial"/>
                <w:color w:val="000000"/>
                <w:sz w:val="20"/>
                <w:szCs w:val="20"/>
              </w:rPr>
              <w:t xml:space="preserve">Flag Type: Mathematically impossible LPN hours per beneficiary</w:t>
            </w:r>
          </w:p>
        </w:tc>
      </w:tr>
    </w:tbl>
    <w:p>
      <w:pPr>
        <w:spacing w:after="100" w:before="0"/>
      </w:pPr>
      <w:r>
        <w:rPr>
          <w:sz w:val="20"/>
          <w:szCs w:val="20"/>
        </w:rPr>
        <w:t xml:space="preserve"/>
      </w:r>
    </w:p>
    <w:p>
      <w:pPr>
        <w:spacing w:after="60" w:before="200"/>
      </w:pPr>
      <w:r>
        <w:rPr>
          <w:rFonts w:ascii="Arial" w:cs="Arial" w:eastAsia="Arial" w:hAnsi="Arial"/>
          <w:b/>
          <w:bCs/>
          <w:color w:val="000000"/>
          <w:sz w:val="22"/>
          <w:szCs w:val="22"/>
        </w:rPr>
        <w:t xml:space="preserve">Key Finding</w:t>
      </w:r>
    </w:p>
    <w:p>
      <w:pPr>
        <w:spacing w:after="80" w:before="60"/>
      </w:pPr>
      <w:r>
        <w:rPr>
          <w:rFonts w:ascii="Arial" w:cs="Arial" w:eastAsia="Arial" w:hAnsi="Arial"/>
          <w:b w:val="false"/>
          <w:bCs w:val="false"/>
          <w:i w:val="false"/>
          <w:iCs w:val="false"/>
          <w:color w:val="000000"/>
          <w:sz w:val="21"/>
          <w:szCs w:val="21"/>
        </w:rPr>
        <w:t xml:space="preserve">In February 2024, this provider billed $3,744,754 for S9124 (LPN home nursing, per hour) for only 13 unique beneficiaries — yielding $288,058 per beneficiary in a single month.</w:t>
      </w:r>
    </w:p>
    <w:p>
      <w:pPr>
        <w:spacing w:after="80" w:before="60"/>
      </w:pPr>
      <w:r>
        <w:rPr>
          <w:rFonts w:ascii="Arial" w:cs="Arial" w:eastAsia="Arial" w:hAnsi="Arial"/>
          <w:b w:val="false"/>
          <w:bCs w:val="false"/>
          <w:i w:val="false"/>
          <w:iCs w:val="false"/>
          <w:color w:val="000000"/>
          <w:sz w:val="21"/>
          <w:szCs w:val="21"/>
        </w:rPr>
        <w:t xml:space="preserve">At a typical LPN hourly rate of $40, this represents approximately 7,201 hours of LPN care per patient in a 28-day month. A 28-day month contains 672 hours total. This is physically impossible.</w:t>
      </w:r>
    </w:p>
    <w:p>
      <w:pPr>
        <w:spacing w:after="100" w:before="0"/>
      </w:pPr>
      <w:r>
        <w:rPr>
          <w:sz w:val="20"/>
          <w:szCs w:val="20"/>
        </w:rPr>
        <w:t xml:space="preserve"/>
      </w:r>
    </w:p>
    <w:p>
      <w:pPr>
        <w:spacing w:after="60" w:before="200"/>
      </w:pPr>
      <w:r>
        <w:rPr>
          <w:rFonts w:ascii="Arial" w:cs="Arial" w:eastAsia="Arial" w:hAnsi="Arial"/>
          <w:b/>
          <w:bCs/>
          <w:color w:val="000000"/>
          <w:sz w:val="22"/>
          <w:szCs w:val="22"/>
        </w:rPr>
        <w:t xml:space="preserve">Billing Pattern</w:t>
      </w:r>
    </w:p>
    <w:p>
      <w:pPr>
        <w:pStyle w:val="ListParagraph"/>
        <w:numPr>
          <w:ilvl w:val="0"/>
          <w:numId w:val="2"/>
        </w:numPr>
        <w:spacing w:after="40" w:before="40"/>
      </w:pPr>
      <w:r>
        <w:rPr>
          <w:rFonts w:ascii="Arial" w:cs="Arial" w:eastAsia="Arial" w:hAnsi="Arial"/>
          <w:color w:val="000000"/>
          <w:sz w:val="21"/>
          <w:szCs w:val="21"/>
        </w:rPr>
        <w:t xml:space="preserve">37 consecutive months of billing identified in sample</w:t>
      </w:r>
    </w:p>
    <w:p>
      <w:pPr>
        <w:pStyle w:val="ListParagraph"/>
        <w:numPr>
          <w:ilvl w:val="0"/>
          <w:numId w:val="2"/>
        </w:numPr>
        <w:spacing w:after="40" w:before="40"/>
      </w:pPr>
      <w:r>
        <w:rPr>
          <w:rFonts w:ascii="Arial" w:cs="Arial" w:eastAsia="Arial" w:hAnsi="Arial"/>
          <w:color w:val="000000"/>
          <w:sz w:val="21"/>
          <w:szCs w:val="21"/>
        </w:rPr>
        <w:t xml:space="preserve">Consistent monthly billing of $750K–$1.25M for T1003 across 60–70 patients</w:t>
      </w:r>
    </w:p>
    <w:p>
      <w:pPr>
        <w:pStyle w:val="ListParagraph"/>
        <w:numPr>
          <w:ilvl w:val="0"/>
          <w:numId w:val="2"/>
        </w:numPr>
        <w:spacing w:after="40" w:before="40"/>
      </w:pPr>
      <w:r>
        <w:rPr>
          <w:rFonts w:ascii="Arial" w:cs="Arial" w:eastAsia="Arial" w:hAnsi="Arial"/>
          <w:color w:val="000000"/>
          <w:sz w:val="21"/>
          <w:szCs w:val="21"/>
        </w:rPr>
        <w:t xml:space="preserve">February 2024 S9124 anomaly represents spend 5x higher than the next highest S9124 outlier</w:t>
      </w:r>
    </w:p>
    <w:p>
      <w:pPr>
        <w:pStyle w:val="ListParagraph"/>
        <w:numPr>
          <w:ilvl w:val="0"/>
          <w:numId w:val="2"/>
        </w:numPr>
        <w:spacing w:after="40" w:before="40"/>
      </w:pPr>
      <w:r>
        <w:rPr>
          <w:rFonts w:ascii="Arial" w:cs="Arial" w:eastAsia="Arial" w:hAnsi="Arial"/>
          <w:color w:val="000000"/>
          <w:sz w:val="21"/>
          <w:szCs w:val="21"/>
        </w:rPr>
        <w:t xml:space="preserve">NPI not updated since April 2022 despite active high-volume billing through 2024</w:t>
      </w:r>
    </w:p>
    <w:p>
      <w:pPr>
        <w:pStyle w:val="ListParagraph"/>
        <w:numPr>
          <w:ilvl w:val="0"/>
          <w:numId w:val="2"/>
        </w:numPr>
        <w:spacing w:after="40" w:before="40"/>
      </w:pPr>
      <w:r>
        <w:rPr>
          <w:rFonts w:ascii="Arial" w:cs="Arial" w:eastAsia="Arial" w:hAnsi="Arial"/>
          <w:color w:val="000000"/>
          <w:sz w:val="21"/>
          <w:szCs w:val="21"/>
        </w:rPr>
        <w:t xml:space="preserve">No prior fraud convictions identified in public records as of April 2026</w:t>
      </w:r>
    </w:p>
    <w:p>
      <w:pPr>
        <w:spacing w:after="100" w:before="0"/>
      </w:pPr>
      <w:r>
        <w:rPr>
          <w:sz w:val="20"/>
          <w:szCs w:val="20"/>
        </w:rPr>
        <w:t xml:space="preserve"/>
      </w:r>
    </w:p>
    <w:p>
      <w:pPr>
        <w:pBdr>
          <w:bottom w:val="single" w:color="1F3864" w:sz="8" w:space="4"/>
        </w:pBdr>
        <w:spacing w:after="80" w:before="280"/>
      </w:pPr>
      <w:r>
        <w:rPr>
          <w:rFonts w:ascii="Arial" w:cs="Arial" w:eastAsia="Arial" w:hAnsi="Arial"/>
          <w:b/>
          <w:bCs/>
          <w:color w:val="1F3864"/>
          <w:sz w:val="26"/>
          <w:szCs w:val="26"/>
        </w:rPr>
        <w:t xml:space="preserve">FRAUD FLAG #2: GREATER NEW YORK HOME CARE LLC</w:t>
      </w:r>
    </w:p>
    <w:p>
      <w:pPr>
        <w:spacing w:after="100" w:before="0"/>
      </w:pPr>
      <w:r>
        <w:rPr>
          <w:sz w:val="20"/>
          <w:szCs w:val="20"/>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00"/>
            <w:shd w:fill="C00000"/>
            <w:tcMar>
              <w:top w:type="dxa" w:w="80"/>
              <w:left w:type="dxa" w:w="120"/>
              <w:bottom w:type="dxa" w:w="80"/>
              <w:right w:type="dxa" w:w="120"/>
            </w:tcMar>
          </w:tcPr>
          <w:p>
            <w:r>
              <w:rPr>
                <w:rFonts w:ascii="Arial" w:cs="Arial" w:eastAsia="Arial" w:hAnsi="Arial"/>
                <w:b/>
                <w:bCs/>
                <w:color w:val="FFFFFF"/>
                <w:sz w:val="22"/>
                <w:szCs w:val="22"/>
              </w:rPr>
              <w:t xml:space="preserve">⚠ FRAUD FLAG #2 — GREATER NEW YORK HOME CARE LLC</w:t>
            </w:r>
          </w:p>
        </w:tc>
      </w:tr>
      <w:tr>
        <w:tc>
          <w:tcPr>
            <w:tcW w:type="dxa" w:w="10000"/>
            <w:shd w:fill="FFF2CC"/>
            <w:tcMar>
              <w:top w:type="dxa" w:w="80"/>
              <w:left w:type="dxa" w:w="120"/>
              <w:bottom w:type="dxa" w:w="80"/>
              <w:right w:type="dxa" w:w="120"/>
            </w:tcMar>
          </w:tcPr>
          <w:p>
            <w:r>
              <w:rPr>
                <w:rFonts w:ascii="Arial" w:cs="Arial" w:eastAsia="Arial" w:hAnsi="Arial"/>
                <w:color w:val="000000"/>
                <w:sz w:val="20"/>
                <w:szCs w:val="20"/>
              </w:rPr>
              <w:t xml:space="preserve">NPI: 1225205354</w:t>
            </w:r>
          </w:p>
        </w:tc>
      </w:tr>
      <w:tr>
        <w:tc>
          <w:tcPr>
            <w:tcW w:type="dxa" w:w="10000"/>
            <w:shd w:fill="FFF2CC"/>
            <w:tcMar>
              <w:top w:type="dxa" w:w="80"/>
              <w:left w:type="dxa" w:w="120"/>
              <w:bottom w:type="dxa" w:w="80"/>
              <w:right w:type="dxa" w:w="120"/>
            </w:tcMar>
          </w:tcPr>
          <w:p>
            <w:r>
              <w:rPr>
                <w:rFonts w:ascii="Arial" w:cs="Arial" w:eastAsia="Arial" w:hAnsi="Arial"/>
                <w:color w:val="000000"/>
                <w:sz w:val="20"/>
                <w:szCs w:val="20"/>
              </w:rPr>
              <w:t xml:space="preserve">Organization: Greater New York Home Care LLC</w:t>
            </w:r>
          </w:p>
        </w:tc>
      </w:tr>
      <w:tr>
        <w:tc>
          <w:tcPr>
            <w:tcW w:type="dxa" w:w="10000"/>
            <w:shd w:fill="FFF2CC"/>
            <w:tcMar>
              <w:top w:type="dxa" w:w="80"/>
              <w:left w:type="dxa" w:w="120"/>
              <w:bottom w:type="dxa" w:w="80"/>
              <w:right w:type="dxa" w:w="120"/>
            </w:tcMar>
          </w:tcPr>
          <w:p>
            <w:r>
              <w:rPr>
                <w:rFonts w:ascii="Arial" w:cs="Arial" w:eastAsia="Arial" w:hAnsi="Arial"/>
                <w:color w:val="000000"/>
                <w:sz w:val="20"/>
                <w:szCs w:val="20"/>
              </w:rPr>
              <w:t xml:space="preserve">DBA: Greater New York Nursing Services</w:t>
            </w:r>
          </w:p>
        </w:tc>
      </w:tr>
      <w:tr>
        <w:tc>
          <w:tcPr>
            <w:tcW w:type="dxa" w:w="10000"/>
            <w:shd w:fill="FFF2CC"/>
            <w:tcMar>
              <w:top w:type="dxa" w:w="80"/>
              <w:left w:type="dxa" w:w="120"/>
              <w:bottom w:type="dxa" w:w="80"/>
              <w:right w:type="dxa" w:w="120"/>
            </w:tcMar>
          </w:tcPr>
          <w:p>
            <w:r>
              <w:rPr>
                <w:rFonts w:ascii="Arial" w:cs="Arial" w:eastAsia="Arial" w:hAnsi="Arial"/>
                <w:color w:val="000000"/>
                <w:sz w:val="20"/>
                <w:szCs w:val="20"/>
              </w:rPr>
              <w:t xml:space="preserve">Authorized Official: Mr. Shlomie Weiss, President</w:t>
            </w:r>
          </w:p>
        </w:tc>
      </w:tr>
      <w:tr>
        <w:tc>
          <w:tcPr>
            <w:tcW w:type="dxa" w:w="10000"/>
            <w:shd w:fill="FFF2CC"/>
            <w:tcMar>
              <w:top w:type="dxa" w:w="80"/>
              <w:left w:type="dxa" w:w="120"/>
              <w:bottom w:type="dxa" w:w="80"/>
              <w:right w:type="dxa" w:w="120"/>
            </w:tcMar>
          </w:tcPr>
          <w:p>
            <w:r>
              <w:rPr>
                <w:rFonts w:ascii="Arial" w:cs="Arial" w:eastAsia="Arial" w:hAnsi="Arial"/>
                <w:color w:val="000000"/>
                <w:sz w:val="20"/>
                <w:szCs w:val="20"/>
              </w:rPr>
              <w:t xml:space="preserve">Location: 6321 New Utrecht Ave FL 2, Brooklyn, NY 11219</w:t>
            </w:r>
          </w:p>
        </w:tc>
      </w:tr>
      <w:tr>
        <w:tc>
          <w:tcPr>
            <w:tcW w:type="dxa" w:w="10000"/>
            <w:shd w:fill="FFF2CC"/>
            <w:tcMar>
              <w:top w:type="dxa" w:w="80"/>
              <w:left w:type="dxa" w:w="120"/>
              <w:bottom w:type="dxa" w:w="80"/>
              <w:right w:type="dxa" w:w="120"/>
            </w:tcMar>
          </w:tcPr>
          <w:p>
            <w:r>
              <w:rPr>
                <w:rFonts w:ascii="Arial" w:cs="Arial" w:eastAsia="Arial" w:hAnsi="Arial"/>
                <w:color w:val="000000"/>
                <w:sz w:val="20"/>
                <w:szCs w:val="20"/>
              </w:rPr>
              <w:t xml:space="preserve">Taxonomy: 251E00000X (Home Health)</w:t>
            </w:r>
          </w:p>
        </w:tc>
      </w:tr>
      <w:tr>
        <w:tc>
          <w:tcPr>
            <w:tcW w:type="dxa" w:w="10000"/>
            <w:shd w:fill="FFF2CC"/>
            <w:tcMar>
              <w:top w:type="dxa" w:w="80"/>
              <w:left w:type="dxa" w:w="120"/>
              <w:bottom w:type="dxa" w:w="80"/>
              <w:right w:type="dxa" w:w="120"/>
            </w:tcMar>
          </w:tcPr>
          <w:p>
            <w:r>
              <w:rPr>
                <w:rFonts w:ascii="Arial" w:cs="Arial" w:eastAsia="Arial" w:hAnsi="Arial"/>
                <w:color w:val="000000"/>
                <w:sz w:val="20"/>
                <w:szCs w:val="20"/>
              </w:rPr>
              <w:t xml:space="preserve">NPI Enumerated: May 8, 2008  |  Last Updated: October 27, 2020</w:t>
            </w:r>
          </w:p>
        </w:tc>
      </w:tr>
      <w:tr>
        <w:tc>
          <w:tcPr>
            <w:tcW w:type="dxa" w:w="10000"/>
            <w:shd w:fill="FFF2CC"/>
            <w:tcMar>
              <w:top w:type="dxa" w:w="80"/>
              <w:left w:type="dxa" w:w="120"/>
              <w:bottom w:type="dxa" w:w="80"/>
              <w:right w:type="dxa" w:w="120"/>
            </w:tcMar>
          </w:tcPr>
          <w:p>
            <w:r>
              <w:rPr>
                <w:rFonts w:ascii="Arial" w:cs="Arial" w:eastAsia="Arial" w:hAnsi="Arial"/>
                <w:color w:val="000000"/>
                <w:sz w:val="20"/>
                <w:szCs w:val="20"/>
              </w:rPr>
              <w:t xml:space="preserve">HCPCS Codes: T1003, S9124</w:t>
            </w:r>
          </w:p>
        </w:tc>
      </w:tr>
      <w:tr>
        <w:tc>
          <w:tcPr>
            <w:tcW w:type="dxa" w:w="10000"/>
            <w:shd w:fill="FFF2CC"/>
            <w:tcMar>
              <w:top w:type="dxa" w:w="80"/>
              <w:left w:type="dxa" w:w="120"/>
              <w:bottom w:type="dxa" w:w="80"/>
              <w:right w:type="dxa" w:w="120"/>
            </w:tcMar>
          </w:tcPr>
          <w:p>
            <w:r>
              <w:rPr>
                <w:rFonts w:ascii="Arial" w:cs="Arial" w:eastAsia="Arial" w:hAnsi="Arial"/>
                <w:color w:val="000000"/>
                <w:sz w:val="20"/>
                <w:szCs w:val="20"/>
              </w:rPr>
              <w:t xml:space="preserve">Months Active in Sample: 74 (2019–2024)</w:t>
            </w:r>
          </w:p>
        </w:tc>
      </w:tr>
      <w:tr>
        <w:tc>
          <w:tcPr>
            <w:tcW w:type="dxa" w:w="10000"/>
            <w:shd w:fill="FFF2CC"/>
            <w:tcMar>
              <w:top w:type="dxa" w:w="80"/>
              <w:left w:type="dxa" w:w="120"/>
              <w:bottom w:type="dxa" w:w="80"/>
              <w:right w:type="dxa" w:w="120"/>
            </w:tcMar>
          </w:tcPr>
          <w:p>
            <w:r>
              <w:rPr>
                <w:rFonts w:ascii="Arial" w:cs="Arial" w:eastAsia="Arial" w:hAnsi="Arial"/>
                <w:color w:val="000000"/>
                <w:sz w:val="20"/>
                <w:szCs w:val="20"/>
              </w:rPr>
              <w:t xml:space="preserve">Total Medicaid Paid (Sample): $79,522,278.27</w:t>
            </w:r>
          </w:p>
        </w:tc>
      </w:tr>
      <w:tr>
        <w:tc>
          <w:tcPr>
            <w:tcW w:type="dxa" w:w="10000"/>
            <w:shd w:fill="FFF2CC"/>
            <w:tcMar>
              <w:top w:type="dxa" w:w="80"/>
              <w:left w:type="dxa" w:w="120"/>
              <w:bottom w:type="dxa" w:w="80"/>
              <w:right w:type="dxa" w:w="120"/>
            </w:tcMar>
          </w:tcPr>
          <w:p>
            <w:r>
              <w:rPr>
                <w:rFonts w:ascii="Arial" w:cs="Arial" w:eastAsia="Arial" w:hAnsi="Arial"/>
                <w:color w:val="000000"/>
                <w:sz w:val="20"/>
                <w:szCs w:val="20"/>
              </w:rPr>
              <w:t xml:space="preserve">Flag Type: Sustained high-volume impossible LPN billing, 6-year pattern</w:t>
            </w:r>
          </w:p>
        </w:tc>
      </w:tr>
    </w:tbl>
    <w:p>
      <w:pPr>
        <w:spacing w:after="100" w:before="0"/>
      </w:pPr>
      <w:r>
        <w:rPr>
          <w:sz w:val="20"/>
          <w:szCs w:val="20"/>
        </w:rPr>
        <w:t xml:space="preserve"/>
      </w:r>
    </w:p>
    <w:p>
      <w:pPr>
        <w:spacing w:after="60" w:before="200"/>
      </w:pPr>
      <w:r>
        <w:rPr>
          <w:rFonts w:ascii="Arial" w:cs="Arial" w:eastAsia="Arial" w:hAnsi="Arial"/>
          <w:b/>
          <w:bCs/>
          <w:color w:val="000000"/>
          <w:sz w:val="22"/>
          <w:szCs w:val="22"/>
        </w:rPr>
        <w:t xml:space="preserve">Key Finding</w:t>
      </w:r>
    </w:p>
    <w:p>
      <w:pPr>
        <w:spacing w:after="80" w:before="60"/>
      </w:pPr>
      <w:r>
        <w:rPr>
          <w:rFonts w:ascii="Arial" w:cs="Arial" w:eastAsia="Arial" w:hAnsi="Arial"/>
          <w:b w:val="false"/>
          <w:bCs w:val="false"/>
          <w:i w:val="false"/>
          <w:iCs w:val="false"/>
          <w:color w:val="000000"/>
          <w:sz w:val="21"/>
          <w:szCs w:val="21"/>
        </w:rPr>
        <w:t xml:space="preserve">This provider billed over $79.5 million in Medicaid payments across 74 consecutive months — representing billing activity for virtually the entire span of the dataset (2018–2024). Monthly billing consistently exceeded $750,000–$1.7 million for LPN nursing services across 40–80 patients.</w:t>
      </w:r>
    </w:p>
    <w:p>
      <w:pPr>
        <w:spacing w:after="80" w:before="60"/>
      </w:pPr>
      <w:r>
        <w:rPr>
          <w:rFonts w:ascii="Arial" w:cs="Arial" w:eastAsia="Arial" w:hAnsi="Arial"/>
          <w:b w:val="false"/>
          <w:bCs w:val="false"/>
          <w:i w:val="false"/>
          <w:iCs w:val="false"/>
          <w:color w:val="000000"/>
          <w:sz w:val="21"/>
          <w:szCs w:val="21"/>
        </w:rPr>
        <w:t xml:space="preserve">At peak billing (March 2020), this provider billed $1,731,791 for S9124 across 79 beneficiaries — $21,921 per patient per month for hourly LPN home nursing care. At $40/hour, this represents 548 hours of LPN care per patient in a 31-day month (744 hours total). Even at maximum 24-hour/day coverage, this exceeds plausibility for a home care agency.</w:t>
      </w:r>
    </w:p>
    <w:p>
      <w:pPr>
        <w:spacing w:after="100" w:before="0"/>
      </w:pPr>
      <w:r>
        <w:rPr>
          <w:sz w:val="20"/>
          <w:szCs w:val="20"/>
        </w:rPr>
        <w:t xml:space="preserve"/>
      </w:r>
    </w:p>
    <w:p>
      <w:pPr>
        <w:spacing w:after="60" w:before="200"/>
      </w:pPr>
      <w:r>
        <w:rPr>
          <w:rFonts w:ascii="Arial" w:cs="Arial" w:eastAsia="Arial" w:hAnsi="Arial"/>
          <w:b/>
          <w:bCs/>
          <w:color w:val="000000"/>
          <w:sz w:val="22"/>
          <w:szCs w:val="22"/>
        </w:rPr>
        <w:t xml:space="preserve">Billing Pattern</w:t>
      </w:r>
    </w:p>
    <w:p>
      <w:pPr>
        <w:pStyle w:val="ListParagraph"/>
        <w:numPr>
          <w:ilvl w:val="0"/>
          <w:numId w:val="2"/>
        </w:numPr>
        <w:spacing w:after="40" w:before="40"/>
      </w:pPr>
      <w:r>
        <w:rPr>
          <w:rFonts w:ascii="Arial" w:cs="Arial" w:eastAsia="Arial" w:hAnsi="Arial"/>
          <w:color w:val="000000"/>
          <w:sz w:val="21"/>
          <w:szCs w:val="21"/>
        </w:rPr>
        <w:t xml:space="preserve">74 consecutive months of billing — no gaps from 2019 through 2024</w:t>
      </w:r>
    </w:p>
    <w:p>
      <w:pPr>
        <w:pStyle w:val="ListParagraph"/>
        <w:numPr>
          <w:ilvl w:val="0"/>
          <w:numId w:val="2"/>
        </w:numPr>
        <w:spacing w:after="40" w:before="40"/>
      </w:pPr>
      <w:r>
        <w:rPr>
          <w:rFonts w:ascii="Arial" w:cs="Arial" w:eastAsia="Arial" w:hAnsi="Arial"/>
          <w:color w:val="000000"/>
          <w:sz w:val="21"/>
          <w:szCs w:val="21"/>
        </w:rPr>
        <w:t xml:space="preserve">Identical HCPCS code usage as Fraud Flag #1 (T1003 + S9124)</w:t>
      </w:r>
    </w:p>
    <w:p>
      <w:pPr>
        <w:pStyle w:val="ListParagraph"/>
        <w:numPr>
          <w:ilvl w:val="0"/>
          <w:numId w:val="2"/>
        </w:numPr>
        <w:spacing w:after="40" w:before="40"/>
      </w:pPr>
      <w:r>
        <w:rPr>
          <w:rFonts w:ascii="Arial" w:cs="Arial" w:eastAsia="Arial" w:hAnsi="Arial"/>
          <w:color w:val="000000"/>
          <w:sz w:val="21"/>
          <w:szCs w:val="21"/>
        </w:rPr>
        <w:t xml:space="preserve">Transitioned from predominantly S9124 billing (2019–2022) to T1003 billing (2023–2024) — possibly in response to billing scrutiny or rate changes</w:t>
      </w:r>
    </w:p>
    <w:p>
      <w:pPr>
        <w:pStyle w:val="ListParagraph"/>
        <w:numPr>
          <w:ilvl w:val="0"/>
          <w:numId w:val="2"/>
        </w:numPr>
        <w:spacing w:after="40" w:before="40"/>
      </w:pPr>
      <w:r>
        <w:rPr>
          <w:rFonts w:ascii="Arial" w:cs="Arial" w:eastAsia="Arial" w:hAnsi="Arial"/>
          <w:color w:val="000000"/>
          <w:sz w:val="21"/>
          <w:szCs w:val="21"/>
        </w:rPr>
        <w:t xml:space="preserve">NPI last updated October 2020 despite 4+ more years of active billing</w:t>
      </w:r>
    </w:p>
    <w:p>
      <w:pPr>
        <w:pStyle w:val="ListParagraph"/>
        <w:numPr>
          <w:ilvl w:val="0"/>
          <w:numId w:val="2"/>
        </w:numPr>
        <w:spacing w:after="40" w:before="40"/>
      </w:pPr>
      <w:r>
        <w:rPr>
          <w:rFonts w:ascii="Arial" w:cs="Arial" w:eastAsia="Arial" w:hAnsi="Arial"/>
          <w:color w:val="000000"/>
          <w:sz w:val="21"/>
          <w:szCs w:val="21"/>
        </w:rPr>
        <w:t xml:space="preserve">No prior fraud convictions identified in public records as of April 2026</w:t>
      </w:r>
    </w:p>
    <w:p>
      <w:pPr>
        <w:spacing w:after="100" w:before="0"/>
      </w:pPr>
      <w:r>
        <w:rPr>
          <w:sz w:val="20"/>
          <w:szCs w:val="20"/>
        </w:rPr>
        <w:t xml:space="preserve"/>
      </w:r>
    </w:p>
    <w:p>
      <w:pPr>
        <w:pBdr>
          <w:bottom w:val="single" w:color="1F3864" w:sz="8" w:space="4"/>
        </w:pBdr>
        <w:spacing w:after="80" w:before="280"/>
      </w:pPr>
      <w:r>
        <w:rPr>
          <w:rFonts w:ascii="Arial" w:cs="Arial" w:eastAsia="Arial" w:hAnsi="Arial"/>
          <w:b/>
          <w:bCs/>
          <w:color w:val="1F3864"/>
          <w:sz w:val="26"/>
          <w:szCs w:val="26"/>
        </w:rPr>
        <w:t xml:space="preserve">CROSS-PROVIDER PATTERN ANALYSIS</w:t>
      </w:r>
    </w:p>
    <w:p>
      <w:pPr>
        <w:spacing w:after="80" w:before="60"/>
      </w:pPr>
      <w:r>
        <w:rPr>
          <w:rFonts w:ascii="Arial" w:cs="Arial" w:eastAsia="Arial" w:hAnsi="Arial"/>
          <w:b w:val="false"/>
          <w:bCs w:val="false"/>
          <w:i w:val="false"/>
          <w:iCs w:val="false"/>
          <w:color w:val="000000"/>
          <w:sz w:val="21"/>
          <w:szCs w:val="21"/>
        </w:rPr>
        <w:t xml:space="preserve">The identification of two geographically distinct providers exhibiting nearly identical billing patterns suggests a systemic scheme rather than isolated fraud:</w:t>
      </w:r>
    </w:p>
    <w:p>
      <w:pPr>
        <w:spacing w:after="100" w:before="0"/>
      </w:pPr>
      <w:r>
        <w:rPr>
          <w:sz w:val="20"/>
          <w:szCs w:val="20"/>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tcMar>
              <w:top w:type="dxa" w:w="80"/>
              <w:left w:type="dxa" w:w="120"/>
              <w:bottom w:type="dxa" w:w="80"/>
              <w:right w:type="dxa" w:w="120"/>
            </w:tcMar>
          </w:tcPr>
          <w:p>
            <w:r>
              <w:rPr>
                <w:rFonts w:ascii="Arial" w:cs="Arial" w:eastAsia="Arial" w:hAnsi="Arial"/>
                <w:b/>
                <w:bCs/>
                <w:color w:val="FFFFFF"/>
                <w:sz w:val="20"/>
                <w:szCs w:val="20"/>
              </w:rPr>
              <w:t xml:space="preserve">Characteristic</w:t>
            </w:r>
          </w:p>
        </w:tc>
        <w:tc>
          <w:tcPr>
            <w:shd w:fill="1F3864"/>
            <w:tcMar>
              <w:top w:type="dxa" w:w="80"/>
              <w:left w:type="dxa" w:w="120"/>
              <w:bottom w:type="dxa" w:w="80"/>
              <w:right w:type="dxa" w:w="120"/>
            </w:tcMar>
          </w:tcPr>
          <w:p>
            <w:r>
              <w:rPr>
                <w:rFonts w:ascii="Arial" w:cs="Arial" w:eastAsia="Arial" w:hAnsi="Arial"/>
                <w:b/>
                <w:bCs/>
                <w:color w:val="FFFFFF"/>
                <w:sz w:val="20"/>
                <w:szCs w:val="20"/>
              </w:rPr>
              <w:t xml:space="preserve">Quality One Care (MD)</w:t>
            </w:r>
          </w:p>
        </w:tc>
        <w:tc>
          <w:tcPr>
            <w:shd w:fill="1F3864"/>
            <w:tcMar>
              <w:top w:type="dxa" w:w="80"/>
              <w:left w:type="dxa" w:w="120"/>
              <w:bottom w:type="dxa" w:w="80"/>
              <w:right w:type="dxa" w:w="120"/>
            </w:tcMar>
          </w:tcPr>
          <w:p>
            <w:r>
              <w:rPr>
                <w:rFonts w:ascii="Arial" w:cs="Arial" w:eastAsia="Arial" w:hAnsi="Arial"/>
                <w:b/>
                <w:bCs/>
                <w:color w:val="FFFFFF"/>
                <w:sz w:val="20"/>
                <w:szCs w:val="20"/>
              </w:rPr>
              <w:t xml:space="preserve">Greater NY Home Care (NY)</w:t>
            </w:r>
          </w:p>
        </w:tc>
      </w:tr>
      <w:tr>
        <w:tc>
          <w:tcPr>
            <w:shd w:fill="F2F2F2"/>
            <w:tcMar>
              <w:top w:type="dxa" w:w="60"/>
              <w:left w:type="dxa" w:w="120"/>
              <w:bottom w:type="dxa" w:w="60"/>
              <w:right w:type="dxa" w:w="120"/>
            </w:tcMar>
          </w:tcPr>
          <w:p>
            <w:r>
              <w:rPr>
                <w:rFonts w:ascii="Arial" w:cs="Arial" w:eastAsia="Arial" w:hAnsi="Arial"/>
                <w:sz w:val="19"/>
                <w:szCs w:val="19"/>
              </w:rPr>
              <w:t xml:space="preserve">Provider Type</w:t>
            </w:r>
          </w:p>
        </w:tc>
        <w:tc>
          <w:tcPr>
            <w:shd w:fill="F2F2F2"/>
            <w:tcMar>
              <w:top w:type="dxa" w:w="60"/>
              <w:left w:type="dxa" w:w="120"/>
              <w:bottom w:type="dxa" w:w="60"/>
              <w:right w:type="dxa" w:w="120"/>
            </w:tcMar>
          </w:tcPr>
          <w:p>
            <w:r>
              <w:rPr>
                <w:rFonts w:ascii="Arial" w:cs="Arial" w:eastAsia="Arial" w:hAnsi="Arial"/>
                <w:sz w:val="19"/>
                <w:szCs w:val="19"/>
              </w:rPr>
              <w:t xml:space="preserve">Home Health Agency</w:t>
            </w:r>
          </w:p>
        </w:tc>
        <w:tc>
          <w:tcPr>
            <w:shd w:fill="F2F2F2"/>
            <w:tcMar>
              <w:top w:type="dxa" w:w="60"/>
              <w:left w:type="dxa" w:w="120"/>
              <w:bottom w:type="dxa" w:w="60"/>
              <w:right w:type="dxa" w:w="120"/>
            </w:tcMar>
          </w:tcPr>
          <w:p>
            <w:r>
              <w:rPr>
                <w:rFonts w:ascii="Arial" w:cs="Arial" w:eastAsia="Arial" w:hAnsi="Arial"/>
                <w:sz w:val="19"/>
                <w:szCs w:val="19"/>
              </w:rPr>
              <w:t xml:space="preserve">Home Health Agency</w:t>
            </w:r>
          </w:p>
        </w:tc>
      </w:tr>
      <w:tr>
        <w:tc>
          <w:tcPr>
            <w:shd w:fill="FFFFFF"/>
            <w:tcMar>
              <w:top w:type="dxa" w:w="60"/>
              <w:left w:type="dxa" w:w="120"/>
              <w:bottom w:type="dxa" w:w="60"/>
              <w:right w:type="dxa" w:w="120"/>
            </w:tcMar>
          </w:tcPr>
          <w:p>
            <w:r>
              <w:rPr>
                <w:rFonts w:ascii="Arial" w:cs="Arial" w:eastAsia="Arial" w:hAnsi="Arial"/>
                <w:sz w:val="19"/>
                <w:szCs w:val="19"/>
              </w:rPr>
              <w:t xml:space="preserve">Taxonomy Code</w:t>
            </w:r>
          </w:p>
        </w:tc>
        <w:tc>
          <w:tcPr>
            <w:shd w:fill="FFFFFF"/>
            <w:tcMar>
              <w:top w:type="dxa" w:w="60"/>
              <w:left w:type="dxa" w:w="120"/>
              <w:bottom w:type="dxa" w:w="60"/>
              <w:right w:type="dxa" w:w="120"/>
            </w:tcMar>
          </w:tcPr>
          <w:p>
            <w:r>
              <w:rPr>
                <w:rFonts w:ascii="Arial" w:cs="Arial" w:eastAsia="Arial" w:hAnsi="Arial"/>
                <w:sz w:val="19"/>
                <w:szCs w:val="19"/>
              </w:rPr>
              <w:t xml:space="preserve">251E00000X</w:t>
            </w:r>
          </w:p>
        </w:tc>
        <w:tc>
          <w:tcPr>
            <w:shd w:fill="FFFFFF"/>
            <w:tcMar>
              <w:top w:type="dxa" w:w="60"/>
              <w:left w:type="dxa" w:w="120"/>
              <w:bottom w:type="dxa" w:w="60"/>
              <w:right w:type="dxa" w:w="120"/>
            </w:tcMar>
          </w:tcPr>
          <w:p>
            <w:r>
              <w:rPr>
                <w:rFonts w:ascii="Arial" w:cs="Arial" w:eastAsia="Arial" w:hAnsi="Arial"/>
                <w:sz w:val="19"/>
                <w:szCs w:val="19"/>
              </w:rPr>
              <w:t xml:space="preserve">251E00000X</w:t>
            </w:r>
          </w:p>
        </w:tc>
      </w:tr>
      <w:tr>
        <w:tc>
          <w:tcPr>
            <w:shd w:fill="F2F2F2"/>
            <w:tcMar>
              <w:top w:type="dxa" w:w="60"/>
              <w:left w:type="dxa" w:w="120"/>
              <w:bottom w:type="dxa" w:w="60"/>
              <w:right w:type="dxa" w:w="120"/>
            </w:tcMar>
          </w:tcPr>
          <w:p>
            <w:r>
              <w:rPr>
                <w:rFonts w:ascii="Arial" w:cs="Arial" w:eastAsia="Arial" w:hAnsi="Arial"/>
                <w:sz w:val="19"/>
                <w:szCs w:val="19"/>
              </w:rPr>
              <w:t xml:space="preserve">HCPCS Codes</w:t>
            </w:r>
          </w:p>
        </w:tc>
        <w:tc>
          <w:tcPr>
            <w:shd w:fill="F2F2F2"/>
            <w:tcMar>
              <w:top w:type="dxa" w:w="60"/>
              <w:left w:type="dxa" w:w="120"/>
              <w:bottom w:type="dxa" w:w="60"/>
              <w:right w:type="dxa" w:w="120"/>
            </w:tcMar>
          </w:tcPr>
          <w:p>
            <w:r>
              <w:rPr>
                <w:rFonts w:ascii="Arial" w:cs="Arial" w:eastAsia="Arial" w:hAnsi="Arial"/>
                <w:sz w:val="19"/>
                <w:szCs w:val="19"/>
              </w:rPr>
              <w:t xml:space="preserve">T1003 + S9124</w:t>
            </w:r>
          </w:p>
        </w:tc>
        <w:tc>
          <w:tcPr>
            <w:shd w:fill="F2F2F2"/>
            <w:tcMar>
              <w:top w:type="dxa" w:w="60"/>
              <w:left w:type="dxa" w:w="120"/>
              <w:bottom w:type="dxa" w:w="60"/>
              <w:right w:type="dxa" w:w="120"/>
            </w:tcMar>
          </w:tcPr>
          <w:p>
            <w:r>
              <w:rPr>
                <w:rFonts w:ascii="Arial" w:cs="Arial" w:eastAsia="Arial" w:hAnsi="Arial"/>
                <w:sz w:val="19"/>
                <w:szCs w:val="19"/>
              </w:rPr>
              <w:t xml:space="preserve">T1003 + S9124</w:t>
            </w:r>
          </w:p>
        </w:tc>
      </w:tr>
      <w:tr>
        <w:tc>
          <w:tcPr>
            <w:shd w:fill="FFFFFF"/>
            <w:tcMar>
              <w:top w:type="dxa" w:w="60"/>
              <w:left w:type="dxa" w:w="120"/>
              <w:bottom w:type="dxa" w:w="60"/>
              <w:right w:type="dxa" w:w="120"/>
            </w:tcMar>
          </w:tcPr>
          <w:p>
            <w:r>
              <w:rPr>
                <w:rFonts w:ascii="Arial" w:cs="Arial" w:eastAsia="Arial" w:hAnsi="Arial"/>
                <w:sz w:val="19"/>
                <w:szCs w:val="19"/>
              </w:rPr>
              <w:t xml:space="preserve">Geography</w:t>
            </w:r>
          </w:p>
        </w:tc>
        <w:tc>
          <w:tcPr>
            <w:shd w:fill="FFFFFF"/>
            <w:tcMar>
              <w:top w:type="dxa" w:w="60"/>
              <w:left w:type="dxa" w:w="120"/>
              <w:bottom w:type="dxa" w:w="60"/>
              <w:right w:type="dxa" w:w="120"/>
            </w:tcMar>
          </w:tcPr>
          <w:p>
            <w:r>
              <w:rPr>
                <w:rFonts w:ascii="Arial" w:cs="Arial" w:eastAsia="Arial" w:hAnsi="Arial"/>
                <w:sz w:val="19"/>
                <w:szCs w:val="19"/>
              </w:rPr>
              <w:t xml:space="preserve">Silver Spring, MD</w:t>
            </w:r>
          </w:p>
        </w:tc>
        <w:tc>
          <w:tcPr>
            <w:shd w:fill="FFFFFF"/>
            <w:tcMar>
              <w:top w:type="dxa" w:w="60"/>
              <w:left w:type="dxa" w:w="120"/>
              <w:bottom w:type="dxa" w:w="60"/>
              <w:right w:type="dxa" w:w="120"/>
            </w:tcMar>
          </w:tcPr>
          <w:p>
            <w:r>
              <w:rPr>
                <w:rFonts w:ascii="Arial" w:cs="Arial" w:eastAsia="Arial" w:hAnsi="Arial"/>
                <w:sz w:val="19"/>
                <w:szCs w:val="19"/>
              </w:rPr>
              <w:t xml:space="preserve">Brooklyn, NY</w:t>
            </w:r>
          </w:p>
        </w:tc>
      </w:tr>
      <w:tr>
        <w:tc>
          <w:tcPr>
            <w:shd w:fill="F2F2F2"/>
            <w:tcMar>
              <w:top w:type="dxa" w:w="60"/>
              <w:left w:type="dxa" w:w="120"/>
              <w:bottom w:type="dxa" w:w="60"/>
              <w:right w:type="dxa" w:w="120"/>
            </w:tcMar>
          </w:tcPr>
          <w:p>
            <w:r>
              <w:rPr>
                <w:rFonts w:ascii="Arial" w:cs="Arial" w:eastAsia="Arial" w:hAnsi="Arial"/>
                <w:sz w:val="19"/>
                <w:szCs w:val="19"/>
              </w:rPr>
              <w:t xml:space="preserve">Total Sample Billing</w:t>
            </w:r>
          </w:p>
        </w:tc>
        <w:tc>
          <w:tcPr>
            <w:shd w:fill="F2F2F2"/>
            <w:tcMar>
              <w:top w:type="dxa" w:w="60"/>
              <w:left w:type="dxa" w:w="120"/>
              <w:bottom w:type="dxa" w:w="60"/>
              <w:right w:type="dxa" w:w="120"/>
            </w:tcMar>
          </w:tcPr>
          <w:p>
            <w:r>
              <w:rPr>
                <w:rFonts w:ascii="Arial" w:cs="Arial" w:eastAsia="Arial" w:hAnsi="Arial"/>
                <w:sz w:val="19"/>
                <w:szCs w:val="19"/>
              </w:rPr>
              <w:t xml:space="preserve">$43.6M</w:t>
            </w:r>
          </w:p>
        </w:tc>
        <w:tc>
          <w:tcPr>
            <w:shd w:fill="F2F2F2"/>
            <w:tcMar>
              <w:top w:type="dxa" w:w="60"/>
              <w:left w:type="dxa" w:w="120"/>
              <w:bottom w:type="dxa" w:w="60"/>
              <w:right w:type="dxa" w:w="120"/>
            </w:tcMar>
          </w:tcPr>
          <w:p>
            <w:r>
              <w:rPr>
                <w:rFonts w:ascii="Arial" w:cs="Arial" w:eastAsia="Arial" w:hAnsi="Arial"/>
                <w:sz w:val="19"/>
                <w:szCs w:val="19"/>
              </w:rPr>
              <w:t xml:space="preserve">$79.5M</w:t>
            </w:r>
          </w:p>
        </w:tc>
      </w:tr>
      <w:tr>
        <w:tc>
          <w:tcPr>
            <w:shd w:fill="FFFFFF"/>
            <w:tcMar>
              <w:top w:type="dxa" w:w="60"/>
              <w:left w:type="dxa" w:w="120"/>
              <w:bottom w:type="dxa" w:w="60"/>
              <w:right w:type="dxa" w:w="120"/>
            </w:tcMar>
          </w:tcPr>
          <w:p>
            <w:r>
              <w:rPr>
                <w:rFonts w:ascii="Arial" w:cs="Arial" w:eastAsia="Arial" w:hAnsi="Arial"/>
                <w:sz w:val="19"/>
                <w:szCs w:val="19"/>
              </w:rPr>
              <w:t xml:space="preserve">NPI Update Gap</w:t>
            </w:r>
          </w:p>
        </w:tc>
        <w:tc>
          <w:tcPr>
            <w:shd w:fill="FFFFFF"/>
            <w:tcMar>
              <w:top w:type="dxa" w:w="60"/>
              <w:left w:type="dxa" w:w="120"/>
              <w:bottom w:type="dxa" w:w="60"/>
              <w:right w:type="dxa" w:w="120"/>
            </w:tcMar>
          </w:tcPr>
          <w:p>
            <w:r>
              <w:rPr>
                <w:rFonts w:ascii="Arial" w:cs="Arial" w:eastAsia="Arial" w:hAnsi="Arial"/>
                <w:sz w:val="19"/>
                <w:szCs w:val="19"/>
              </w:rPr>
              <w:t xml:space="preserve">2022 (2+ years stale)</w:t>
            </w:r>
          </w:p>
        </w:tc>
        <w:tc>
          <w:tcPr>
            <w:shd w:fill="FFFFFF"/>
            <w:tcMar>
              <w:top w:type="dxa" w:w="60"/>
              <w:left w:type="dxa" w:w="120"/>
              <w:bottom w:type="dxa" w:w="60"/>
              <w:right w:type="dxa" w:w="120"/>
            </w:tcMar>
          </w:tcPr>
          <w:p>
            <w:r>
              <w:rPr>
                <w:rFonts w:ascii="Arial" w:cs="Arial" w:eastAsia="Arial" w:hAnsi="Arial"/>
                <w:sz w:val="19"/>
                <w:szCs w:val="19"/>
              </w:rPr>
              <w:t xml:space="preserve">2020 (4+ years stale)</w:t>
            </w:r>
          </w:p>
        </w:tc>
      </w:tr>
      <w:tr>
        <w:tc>
          <w:tcPr>
            <w:shd w:fill="F2F2F2"/>
            <w:tcMar>
              <w:top w:type="dxa" w:w="60"/>
              <w:left w:type="dxa" w:w="120"/>
              <w:bottom w:type="dxa" w:w="60"/>
              <w:right w:type="dxa" w:w="120"/>
            </w:tcMar>
          </w:tcPr>
          <w:p>
            <w:r>
              <w:rPr>
                <w:rFonts w:ascii="Arial" w:cs="Arial" w:eastAsia="Arial" w:hAnsi="Arial"/>
                <w:sz w:val="19"/>
                <w:szCs w:val="19"/>
              </w:rPr>
              <w:t xml:space="preserve">DOJ 2025 Takedown</w:t>
            </w:r>
          </w:p>
        </w:tc>
        <w:tc>
          <w:tcPr>
            <w:shd w:fill="F2F2F2"/>
            <w:tcMar>
              <w:top w:type="dxa" w:w="60"/>
              <w:left w:type="dxa" w:w="120"/>
              <w:bottom w:type="dxa" w:w="60"/>
              <w:right w:type="dxa" w:w="120"/>
            </w:tcMar>
          </w:tcPr>
          <w:p>
            <w:r>
              <w:rPr>
                <w:rFonts w:ascii="Arial" w:cs="Arial" w:eastAsia="Arial" w:hAnsi="Arial"/>
                <w:sz w:val="19"/>
                <w:szCs w:val="19"/>
              </w:rPr>
              <w:t xml:space="preserve">Not named</w:t>
            </w:r>
          </w:p>
        </w:tc>
        <w:tc>
          <w:tcPr>
            <w:shd w:fill="F2F2F2"/>
            <w:tcMar>
              <w:top w:type="dxa" w:w="60"/>
              <w:left w:type="dxa" w:w="120"/>
              <w:bottom w:type="dxa" w:w="60"/>
              <w:right w:type="dxa" w:w="120"/>
            </w:tcMar>
          </w:tcPr>
          <w:p>
            <w:r>
              <w:rPr>
                <w:rFonts w:ascii="Arial" w:cs="Arial" w:eastAsia="Arial" w:hAnsi="Arial"/>
                <w:sz w:val="19"/>
                <w:szCs w:val="19"/>
              </w:rPr>
              <w:t xml:space="preserve">Not named</w:t>
            </w:r>
          </w:p>
        </w:tc>
      </w:tr>
      <w:tr>
        <w:tc>
          <w:tcPr>
            <w:shd w:fill="FFFFFF"/>
            <w:tcMar>
              <w:top w:type="dxa" w:w="60"/>
              <w:left w:type="dxa" w:w="120"/>
              <w:bottom w:type="dxa" w:w="60"/>
              <w:right w:type="dxa" w:w="120"/>
            </w:tcMar>
          </w:tcPr>
          <w:p>
            <w:r>
              <w:rPr>
                <w:rFonts w:ascii="Arial" w:cs="Arial" w:eastAsia="Arial" w:hAnsi="Arial"/>
                <w:sz w:val="19"/>
                <w:szCs w:val="19"/>
              </w:rPr>
              <w:t xml:space="preserve">Billing Duration</w:t>
            </w:r>
          </w:p>
        </w:tc>
        <w:tc>
          <w:tcPr>
            <w:shd w:fill="FFFFFF"/>
            <w:tcMar>
              <w:top w:type="dxa" w:w="60"/>
              <w:left w:type="dxa" w:w="120"/>
              <w:bottom w:type="dxa" w:w="60"/>
              <w:right w:type="dxa" w:w="120"/>
            </w:tcMar>
          </w:tcPr>
          <w:p>
            <w:r>
              <w:rPr>
                <w:rFonts w:ascii="Arial" w:cs="Arial" w:eastAsia="Arial" w:hAnsi="Arial"/>
                <w:sz w:val="19"/>
                <w:szCs w:val="19"/>
              </w:rPr>
              <w:t xml:space="preserve">37 months</w:t>
            </w:r>
          </w:p>
        </w:tc>
        <w:tc>
          <w:tcPr>
            <w:shd w:fill="FFFFFF"/>
            <w:tcMar>
              <w:top w:type="dxa" w:w="60"/>
              <w:left w:type="dxa" w:w="120"/>
              <w:bottom w:type="dxa" w:w="60"/>
              <w:right w:type="dxa" w:w="120"/>
            </w:tcMar>
          </w:tcPr>
          <w:p>
            <w:r>
              <w:rPr>
                <w:rFonts w:ascii="Arial" w:cs="Arial" w:eastAsia="Arial" w:hAnsi="Arial"/>
                <w:sz w:val="19"/>
                <w:szCs w:val="19"/>
              </w:rPr>
              <w:t xml:space="preserve">74 months</w:t>
            </w:r>
          </w:p>
        </w:tc>
      </w:tr>
    </w:tbl>
    <w:p>
      <w:pPr>
        <w:spacing w:after="100" w:before="0"/>
      </w:pPr>
      <w:r>
        <w:rPr>
          <w:sz w:val="20"/>
          <w:szCs w:val="20"/>
        </w:rPr>
        <w:t xml:space="preserve"/>
      </w:r>
    </w:p>
    <w:p>
      <w:pPr>
        <w:spacing w:after="80" w:before="60"/>
      </w:pPr>
      <w:r>
        <w:rPr>
          <w:rFonts w:ascii="Arial" w:cs="Arial" w:eastAsia="Arial" w:hAnsi="Arial"/>
          <w:b w:val="false"/>
          <w:bCs w:val="false"/>
          <w:i w:val="false"/>
          <w:iCs w:val="false"/>
          <w:color w:val="000000"/>
          <w:sz w:val="21"/>
          <w:szCs w:val="21"/>
        </w:rPr>
        <w:t xml:space="preserve">Both providers are located in the Northeast corridor, use identical Medicaid-only LPN billing codes, and have allowed their NPI records to go stale while maintaining active high-volume billing. The transition from S9124 to T1003 observed in Greater NY Home Care may reflect a deliberate billing strategy shift — T1003 bills in 15-minute increments allowing higher unit volume while appearing lower per-claim than hourly S9124 billing.</w:t>
      </w:r>
    </w:p>
    <w:p>
      <w:pPr>
        <w:spacing w:after="100" w:before="0"/>
      </w:pPr>
      <w:r>
        <w:rPr>
          <w:sz w:val="20"/>
          <w:szCs w:val="20"/>
        </w:rPr>
        <w:t xml:space="preserve"/>
      </w:r>
    </w:p>
    <w:p>
      <w:pPr>
        <w:pBdr>
          <w:bottom w:val="single" w:color="1F3864" w:sz="8" w:space="4"/>
        </w:pBdr>
        <w:spacing w:after="80" w:before="280"/>
      </w:pPr>
      <w:r>
        <w:rPr>
          <w:rFonts w:ascii="Arial" w:cs="Arial" w:eastAsia="Arial" w:hAnsi="Arial"/>
          <w:b/>
          <w:bCs/>
          <w:color w:val="1F3864"/>
          <w:sz w:val="26"/>
          <w:szCs w:val="26"/>
        </w:rPr>
        <w:t xml:space="preserve">LIMITATIONS &amp; DISCLAIMERS</w:t>
      </w:r>
    </w:p>
    <w:p>
      <w:pPr>
        <w:pStyle w:val="ListParagraph"/>
        <w:numPr>
          <w:ilvl w:val="0"/>
          <w:numId w:val="2"/>
        </w:numPr>
        <w:spacing w:after="40" w:before="40"/>
      </w:pPr>
      <w:r>
        <w:rPr>
          <w:rFonts w:ascii="Arial" w:cs="Arial" w:eastAsia="Arial" w:hAnsi="Arial"/>
          <w:color w:val="000000"/>
          <w:sz w:val="21"/>
          <w:szCs w:val="21"/>
        </w:rPr>
        <w:t xml:space="preserve">This analysis is based on 100,000 rows representing the highest-spend records in the dataset. Full dataset analysis may reveal additional patterns or context.</w:t>
      </w:r>
    </w:p>
    <w:p>
      <w:pPr>
        <w:pStyle w:val="ListParagraph"/>
        <w:numPr>
          <w:ilvl w:val="0"/>
          <w:numId w:val="2"/>
        </w:numPr>
        <w:spacing w:after="40" w:before="40"/>
      </w:pPr>
      <w:r>
        <w:rPr>
          <w:rFonts w:ascii="Arial" w:cs="Arial" w:eastAsia="Arial" w:hAnsi="Arial"/>
          <w:color w:val="000000"/>
          <w:sz w:val="21"/>
          <w:szCs w:val="21"/>
        </w:rPr>
        <w:t xml:space="preserve">High billing volume alone does not confirm fraud. Large legitimate home health agencies may serve high patient volumes with documented medical necessity.</w:t>
      </w:r>
    </w:p>
    <w:p>
      <w:pPr>
        <w:pStyle w:val="ListParagraph"/>
        <w:numPr>
          <w:ilvl w:val="0"/>
          <w:numId w:val="2"/>
        </w:numPr>
        <w:spacing w:after="40" w:before="40"/>
      </w:pPr>
      <w:r>
        <w:rPr>
          <w:rFonts w:ascii="Arial" w:cs="Arial" w:eastAsia="Arial" w:hAnsi="Arial"/>
          <w:color w:val="000000"/>
          <w:sz w:val="21"/>
          <w:szCs w:val="21"/>
        </w:rPr>
        <w:t xml:space="preserve">State-specific Medicaid rate variations may account for some spend differences across providers.</w:t>
      </w:r>
    </w:p>
    <w:p>
      <w:pPr>
        <w:pStyle w:val="ListParagraph"/>
        <w:numPr>
          <w:ilvl w:val="0"/>
          <w:numId w:val="2"/>
        </w:numPr>
        <w:spacing w:after="40" w:before="40"/>
      </w:pPr>
      <w:r>
        <w:rPr>
          <w:rFonts w:ascii="Arial" w:cs="Arial" w:eastAsia="Arial" w:hAnsi="Arial"/>
          <w:color w:val="000000"/>
          <w:sz w:val="21"/>
          <w:szCs w:val="21"/>
        </w:rPr>
        <w:t xml:space="preserve">This report does not constitute a legal finding. Findings should be referred to the appropriate state Medicaid Fraud Control Unit (MFCU) or OIG for investigation.</w:t>
      </w:r>
    </w:p>
    <w:p>
      <w:pPr>
        <w:pStyle w:val="ListParagraph"/>
        <w:numPr>
          <w:ilvl w:val="0"/>
          <w:numId w:val="2"/>
        </w:numPr>
        <w:spacing w:after="40" w:before="40"/>
      </w:pPr>
      <w:r>
        <w:rPr>
          <w:rFonts w:ascii="Arial" w:cs="Arial" w:eastAsia="Arial" w:hAnsi="Arial"/>
          <w:color w:val="000000"/>
          <w:sz w:val="21"/>
          <w:szCs w:val="21"/>
        </w:rPr>
        <w:t xml:space="preserve">No patient-level data was accessed. All analysis was conducted on publicly available, de-identified, aggregated T-MSIS data.</w:t>
      </w:r>
    </w:p>
    <w:p>
      <w:pPr>
        <w:spacing w:after="100" w:before="0"/>
      </w:pPr>
      <w:r>
        <w:rPr>
          <w:sz w:val="20"/>
          <w:szCs w:val="20"/>
        </w:rPr>
        <w:t xml:space="preserve"/>
      </w:r>
    </w:p>
    <w:p>
      <w:pPr>
        <w:pBdr>
          <w:bottom w:val="single" w:color="1F3864" w:sz="8" w:space="4"/>
        </w:pBdr>
        <w:spacing w:after="80" w:before="280"/>
      </w:pPr>
      <w:r>
        <w:rPr>
          <w:rFonts w:ascii="Arial" w:cs="Arial" w:eastAsia="Arial" w:hAnsi="Arial"/>
          <w:b/>
          <w:bCs/>
          <w:color w:val="1F3864"/>
          <w:sz w:val="26"/>
          <w:szCs w:val="26"/>
        </w:rPr>
        <w:t xml:space="preserve">RECOMMENDATIONS</w:t>
      </w:r>
    </w:p>
    <w:p>
      <w:pPr>
        <w:pStyle w:val="ListParagraph"/>
        <w:numPr>
          <w:ilvl w:val="0"/>
          <w:numId w:val="2"/>
        </w:numPr>
        <w:spacing w:after="40" w:before="40"/>
      </w:pPr>
      <w:r>
        <w:rPr>
          <w:rFonts w:ascii="Arial" w:cs="Arial" w:eastAsia="Arial" w:hAnsi="Arial"/>
          <w:color w:val="000000"/>
          <w:sz w:val="21"/>
          <w:szCs w:val="21"/>
        </w:rPr>
        <w:t xml:space="preserve">Refer both NPIs to HHS OIG and applicable state MFCUs (Maryland and New York) for further investigation.</w:t>
      </w:r>
    </w:p>
    <w:p>
      <w:pPr>
        <w:pStyle w:val="ListParagraph"/>
        <w:numPr>
          <w:ilvl w:val="0"/>
          <w:numId w:val="2"/>
        </w:numPr>
        <w:spacing w:after="40" w:before="40"/>
      </w:pPr>
      <w:r>
        <w:rPr>
          <w:rFonts w:ascii="Arial" w:cs="Arial" w:eastAsia="Arial" w:hAnsi="Arial"/>
          <w:color w:val="000000"/>
          <w:sz w:val="21"/>
          <w:szCs w:val="21"/>
        </w:rPr>
        <w:t xml:space="preserve">Expand analysis to full 10GB dataset to assess total program exposure for both providers.</w:t>
      </w:r>
    </w:p>
    <w:p>
      <w:pPr>
        <w:pStyle w:val="ListParagraph"/>
        <w:numPr>
          <w:ilvl w:val="0"/>
          <w:numId w:val="2"/>
        </w:numPr>
        <w:spacing w:after="40" w:before="40"/>
      </w:pPr>
      <w:r>
        <w:rPr>
          <w:rFonts w:ascii="Arial" w:cs="Arial" w:eastAsia="Arial" w:hAnsi="Arial"/>
          <w:color w:val="000000"/>
          <w:sz w:val="21"/>
          <w:szCs w:val="21"/>
        </w:rPr>
        <w:t xml:space="preserve">Apply outlier detection methodology to all home health taxonomy providers (251E00000X) across the full dataset.</w:t>
      </w:r>
    </w:p>
    <w:p>
      <w:pPr>
        <w:pStyle w:val="ListParagraph"/>
        <w:numPr>
          <w:ilvl w:val="0"/>
          <w:numId w:val="2"/>
        </w:numPr>
        <w:spacing w:after="40" w:before="40"/>
      </w:pPr>
      <w:r>
        <w:rPr>
          <w:rFonts w:ascii="Arial" w:cs="Arial" w:eastAsia="Arial" w:hAnsi="Arial"/>
          <w:color w:val="000000"/>
          <w:sz w:val="21"/>
          <w:szCs w:val="21"/>
        </w:rPr>
        <w:t xml:space="preserve">Flag providers with stale NPI records (2+ years) combined with high billing volume for enhanced scrutiny.</w:t>
      </w:r>
    </w:p>
    <w:p>
      <w:pPr>
        <w:pStyle w:val="ListParagraph"/>
        <w:numPr>
          <w:ilvl w:val="0"/>
          <w:numId w:val="2"/>
        </w:numPr>
        <w:spacing w:after="40" w:before="40"/>
      </w:pPr>
      <w:r>
        <w:rPr>
          <w:rFonts w:ascii="Arial" w:cs="Arial" w:eastAsia="Arial" w:hAnsi="Arial"/>
          <w:color w:val="000000"/>
          <w:sz w:val="21"/>
          <w:szCs w:val="21"/>
        </w:rPr>
        <w:t xml:space="preserve">Investigate the T1003/S9124 code combination as a potential fraud indicator pattern in home health billing nationwide.</w:t>
      </w:r>
    </w:p>
    <w:p>
      <w:pPr>
        <w:spacing w:after="100" w:before="0"/>
      </w:pPr>
      <w:r>
        <w:rPr>
          <w:sz w:val="20"/>
          <w:szCs w:val="20"/>
        </w:rPr>
        <w:t xml:space="preserve"/>
      </w:r>
    </w:p>
    <w:p>
      <w:pPr>
        <w:pBdr>
          <w:bottom w:val="single" w:color="1F3864" w:sz="8" w:space="4"/>
        </w:pBdr>
        <w:spacing w:after="80" w:before="280"/>
      </w:pPr>
      <w:r>
        <w:rPr>
          <w:rFonts w:ascii="Arial" w:cs="Arial" w:eastAsia="Arial" w:hAnsi="Arial"/>
          <w:b/>
          <w:bCs/>
          <w:color w:val="1F3864"/>
          <w:sz w:val="26"/>
          <w:szCs w:val="26"/>
        </w:rPr>
        <w:t xml:space="preserve">ABOUT THIS ANALYSIS</w:t>
      </w:r>
    </w:p>
    <w:p>
      <w:pPr>
        <w:spacing w:after="80" w:before="60"/>
      </w:pPr>
      <w:r>
        <w:rPr>
          <w:rFonts w:ascii="Arial" w:cs="Arial" w:eastAsia="Arial" w:hAnsi="Arial"/>
          <w:b w:val="false"/>
          <w:bCs w:val="false"/>
          <w:i w:val="false"/>
          <w:iCs w:val="false"/>
          <w:color w:val="000000"/>
          <w:sz w:val="21"/>
          <w:szCs w:val="21"/>
        </w:rPr>
        <w:t xml:space="preserve">This report was produced as part of a healthcare analytics portfolio project using publicly available federal data. All analytical work was performed using Python (pandas) for data processing and statistical outlier detection. The author brings 14 years of clinical experience as a PA-C combined with a Master of Science in Health Informatics and Information Management (MSHIIM) and Certified Health Data Analyst (CHDA) credential.</w:t>
      </w:r>
    </w:p>
    <w:p>
      <w:pPr>
        <w:spacing w:after="80" w:before="60"/>
      </w:pPr>
      <w:r>
        <w:rPr>
          <w:rFonts w:ascii="Arial" w:cs="Arial" w:eastAsia="Arial" w:hAnsi="Arial"/>
          <w:b w:val="false"/>
          <w:bCs w:val="false"/>
          <w:i/>
          <w:iCs/>
          <w:color w:val="000000"/>
          <w:sz w:val="21"/>
          <w:szCs w:val="21"/>
        </w:rPr>
        <w:t xml:space="preserve">The combination of clinical judgment and data analytics used in this investigation reflects the analytical approach required for fraud detection, risk adjustment validation, and population health analytics in modern healthcare data roles.</w:t>
      </w:r>
    </w:p>
    <w:p>
      <w:pPr>
        <w:spacing w:after="100" w:before="0"/>
      </w:pPr>
      <w:r>
        <w:rPr>
          <w:sz w:val="20"/>
          <w:szCs w:val="20"/>
        </w:rPr>
        <w:t xml:space="preserve"/>
      </w:r>
    </w:p>
    <w:p>
      <w:pPr>
        <w:spacing w:after="0" w:before="200"/>
        <w:jc w:val="center"/>
      </w:pPr>
      <w:r>
        <w:rPr>
          <w:rFonts w:ascii="Arial" w:cs="Arial" w:eastAsia="Arial" w:hAnsi="Arial"/>
          <w:color w:val="555555"/>
          <w:sz w:val="18"/>
          <w:szCs w:val="18"/>
        </w:rPr>
        <w:t xml:space="preserve">Dawn Krysa, PA-C, MSHIIM, CHDA  |  darbydawn7683@gmail.com  |  (406) 239-1990  |  Darby, Montana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2026-04-27T12:44:06.319Z</dcterms:created>
  <dcterms:modified xsi:type="dcterms:W3CDTF">2026-04-27T12:44:06.320Z</dcterms:modified>
</cp:coreProperties>
</file>

<file path=docProps/custom.xml><?xml version="1.0" encoding="utf-8"?>
<Properties xmlns="http://schemas.openxmlformats.org/officeDocument/2006/custom-properties" xmlns:vt="http://schemas.openxmlformats.org/officeDocument/2006/docPropsVTypes"/>
</file>