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AltContext in a Local-AI Market</w:t>
      </w:r>
    </w:p>
    <w:p>
      <w:pPr>
        <w:pStyle w:val="Subtitle"/>
      </w:pPr>
      <w:r>
        <w:rPr>
          <w:rFonts w:ascii="Arial" w:hAnsi="Arial"/>
        </w:rPr>
        <w:t>Session record, product direction, risks, mitigations, and next decisions</w:t>
      </w:r>
    </w:p>
    <w:p>
      <w:r>
        <w:rPr>
          <w:rFonts w:ascii="Arial" w:hAnsi="Arial"/>
          <w:b/>
        </w:rPr>
        <w:t xml:space="preserve">Prepared for: </w:t>
      </w:r>
      <w:r>
        <w:rPr>
          <w:rFonts w:ascii="Arial" w:hAnsi="Arial"/>
        </w:rPr>
        <w:t>Daniel Arcé, AltContext product owner</w:t>
      </w:r>
    </w:p>
    <w:p>
      <w:r>
        <w:rPr>
          <w:rFonts w:ascii="Arial" w:hAnsi="Arial"/>
          <w:b/>
        </w:rPr>
        <w:t xml:space="preserve">Date: </w:t>
      </w:r>
      <w:r>
        <w:rPr>
          <w:rFonts w:ascii="Arial" w:hAnsi="Arial"/>
        </w:rPr>
        <w:t>31 July 2026</w:t>
      </w:r>
    </w:p>
    <w:p>
      <w:r>
        <w:rPr>
          <w:rFonts w:ascii="Arial" w:hAnsi="Arial"/>
          <w:b/>
        </w:rPr>
        <w:t xml:space="preserve">Decision in one sentence: </w:t>
      </w:r>
      <w:r>
        <w:rPr>
          <w:rFonts w:ascii="Arial" w:hAnsi="Arial"/>
        </w:rPr>
        <w:t>Keep the managed service as the easiest default, add a private local worker as an option, and build the business around the WordPress workflow and trusted records—not around owning a remote GPU.</w:t>
      </w:r>
    </w:p>
    <w:tbl>
      <w:tblPr>
        <w:tblW w:type="auto" w:w="0"/>
        <w:jc w:val="center"/>
        <w:tblLayout w:type="fixed"/>
        <w:tblLook w:firstColumn="1" w:firstRow="1" w:lastColumn="0" w:lastRow="0" w:noHBand="0" w:noVBand="1" w:val="04A0"/>
      </w:tblPr>
      <w:tblGrid>
        <w:gridCol w:w="9360"/>
      </w:tblGrid>
      <w:tr>
        <w:tc>
          <w:tcPr>
            <w:tcW w:type="dxa" w:w="9936"/>
            <w:shd w:fill="E8EEF5"/>
            <w:tcMar>
              <w:top w:w="90" w:type="dxa"/>
              <w:start w:w="120" w:type="dxa"/>
              <w:bottom w:w="90" w:type="dxa"/>
              <w:end w:w="120" w:type="dxa"/>
            </w:tcMar>
          </w:tcPr>
          <w:p>
            <w:pPr>
              <w:spacing w:after="80"/>
            </w:pPr>
            <w:r>
              <w:rPr>
                <w:rFonts w:ascii="Arial" w:hAnsi="Arial"/>
                <w:b/>
                <w:sz w:val="18"/>
              </w:rPr>
              <w:t>Bottom line</w:t>
            </w:r>
            <w:r>
              <w:rPr>
                <w:rFonts w:ascii="Arial" w:hAnsi="Arial"/>
                <w:sz w:val="18"/>
              </w:rPr>
              <w:br/>
              <w:t>Local inference does not remove the need for AltContext. It removes model access as a credible moat. The product remains valuable when it reliably turns replaceable AI outputs into named people, reviewed descriptions, correction history, privacy controls, and reusable WordPress metadata.</w:t>
            </w:r>
          </w:p>
        </w:tc>
      </w:tr>
    </w:tbl>
    <w:p>
      <w:pPr>
        <w:pStyle w:val="Heading1"/>
      </w:pPr>
      <w:r>
        <w:rPr>
          <w:rFonts w:ascii="Arial" w:hAnsi="Arial"/>
        </w:rPr>
        <w:t>Contents</w:t>
      </w:r>
    </w:p>
    <w:p>
      <w:pPr>
        <w:pStyle w:val="ListBullet"/>
      </w:pPr>
      <w:r>
        <w:rPr>
          <w:rFonts w:ascii="Arial" w:hAnsi="Arial"/>
        </w:rPr>
        <w:t>1. Executive summary</w:t>
      </w:r>
    </w:p>
    <w:p>
      <w:pPr>
        <w:pStyle w:val="ListBullet"/>
      </w:pPr>
      <w:r>
        <w:rPr>
          <w:rFonts w:ascii="Arial" w:hAnsi="Arial"/>
        </w:rPr>
        <w:t>2. What changed and what did not</w:t>
      </w:r>
    </w:p>
    <w:p>
      <w:pPr>
        <w:pStyle w:val="ListBullet"/>
      </w:pPr>
      <w:r>
        <w:rPr>
          <w:rFonts w:ascii="Arial" w:hAnsi="Arial"/>
        </w:rPr>
        <w:t>3. Recommended product and business model</w:t>
      </w:r>
    </w:p>
    <w:p>
      <w:pPr>
        <w:pStyle w:val="ListBullet"/>
      </w:pPr>
      <w:r>
        <w:rPr>
          <w:rFonts w:ascii="Arial" w:hAnsi="Arial"/>
        </w:rPr>
        <w:t>4. The moat</w:t>
      </w:r>
    </w:p>
    <w:p>
      <w:pPr>
        <w:pStyle w:val="ListBullet"/>
      </w:pPr>
      <w:r>
        <w:rPr>
          <w:rFonts w:ascii="Arial" w:hAnsi="Arial"/>
        </w:rPr>
        <w:t>5. Open-source WordPress plugin implications</w:t>
      </w:r>
    </w:p>
    <w:p>
      <w:pPr>
        <w:pStyle w:val="ListBullet"/>
      </w:pPr>
      <w:r>
        <w:rPr>
          <w:rFonts w:ascii="Arial" w:hAnsi="Arial"/>
        </w:rPr>
        <w:t>6. How cloud DAM companies remain competitive</w:t>
      </w:r>
    </w:p>
    <w:p>
      <w:pPr>
        <w:pStyle w:val="ListBullet"/>
      </w:pPr>
      <w:r>
        <w:rPr>
          <w:rFonts w:ascii="Arial" w:hAnsi="Arial"/>
        </w:rPr>
        <w:t>7. Explicit questions and answers</w:t>
      </w:r>
    </w:p>
    <w:p>
      <w:pPr>
        <w:pStyle w:val="ListBullet"/>
      </w:pPr>
      <w:r>
        <w:rPr>
          <w:rFonts w:ascii="Arial" w:hAnsi="Arial"/>
        </w:rPr>
        <w:t>8. Risks and mitigations</w:t>
      </w:r>
    </w:p>
    <w:p>
      <w:pPr>
        <w:pStyle w:val="ListBullet"/>
      </w:pPr>
      <w:r>
        <w:rPr>
          <w:rFonts w:ascii="Arial" w:hAnsi="Arial"/>
        </w:rPr>
        <w:t>9. Next steps and decision gates</w:t>
      </w:r>
    </w:p>
    <w:p>
      <w:pPr>
        <w:pStyle w:val="ListBullet"/>
      </w:pPr>
      <w:r>
        <w:rPr>
          <w:rFonts w:ascii="Arial" w:hAnsi="Arial"/>
        </w:rPr>
        <w:t>10. Documentation corrections</w:t>
      </w:r>
    </w:p>
    <w:p>
      <w:pPr>
        <w:pStyle w:val="ListBullet"/>
      </w:pPr>
      <w:r>
        <w:rPr>
          <w:rFonts w:ascii="Arial" w:hAnsi="Arial"/>
        </w:rPr>
        <w:t>11. Sources and session limits</w:t>
      </w:r>
    </w:p>
    <w:p>
      <w:pPr>
        <w:pStyle w:val="Heading1"/>
      </w:pPr>
      <w:r>
        <w:rPr>
          <w:rFonts w:ascii="Arial" w:hAnsi="Arial"/>
        </w:rPr>
        <w:t>1. Executive summary</w:t>
      </w:r>
    </w:p>
    <w:p>
      <w:r>
        <w:rPr>
          <w:rFonts w:ascii="Arial" w:hAnsi="Arial"/>
        </w:rPr>
        <w:t>The market is moving toward capable local computers. Some customers will increasingly expect image description, face recognition, and grouping to run on hardware they control. This is especially likely among photographers, agencies, universities, archives, health organizations, and any customer that treats faces as sensitive data.</w:t>
      </w:r>
    </w:p>
    <w:p>
      <w:r>
        <w:rPr>
          <w:rFonts w:ascii="Arial" w:hAnsi="Arial"/>
        </w:rPr>
        <w:t>AltContext should respond by supporting two normal paths: a managed service that works immediately after plugin installation, and a private worker that runs on a customer-controlled Mac or server. A third path—hosted burst processing—can handle unusually large or difficult jobs. All paths should use the same job format, review screens, audit trail, and saved decisions.</w:t>
      </w:r>
    </w:p>
    <w:p>
      <w:r>
        <w:rPr>
          <w:rFonts w:ascii="Arial" w:hAnsi="Arial"/>
        </w:rPr>
        <w:t>The commercial product is not the model. It is the reliable WordPress system around the model: scanning the Media Library, keeping a roster of people, remembering corrections, resolving conflicts, writing metadata, proving what happened, and recovering from failures. Those functions remain valuable whether inference runs in AltContext’s cloud or under the customer’s desk.</w:t>
      </w:r>
    </w:p>
    <w:p>
      <w:r>
        <w:rPr>
          <w:rFonts w:ascii="Arial" w:hAnsi="Arial"/>
        </w:rPr>
        <w:t>The Apple M7 Ultra report is a directional signal, not a planning dependency. The reported 1.5 TB configuration is unconfirmed and not expected before 2028. Face recognition and grouping can already run locally on far smaller machines. AltContext should therefore design for local execution now, but validate demand before funding a polished multi-platform desktop application.</w:t>
      </w:r>
    </w:p>
    <w:p>
      <w:pPr>
        <w:pStyle w:val="Heading1"/>
      </w:pPr>
      <w:r>
        <w:rPr>
          <w:rFonts w:ascii="Arial" w:hAnsi="Arial"/>
        </w:rPr>
        <w:t>2. What changed and what did not</w:t>
      </w:r>
    </w:p>
    <w:tbl>
      <w:tblPr>
        <w:tblW w:type="auto" w:w="0"/>
        <w:jc w:val="center"/>
        <w:tblLayout w:type="fixed"/>
        <w:tblLook w:firstColumn="1" w:firstRow="1" w:lastColumn="0" w:lastRow="0" w:noHBand="0" w:noVBand="1" w:val="04A0"/>
      </w:tblPr>
      <w:tblGrid>
        <w:gridCol w:w="2304"/>
        <w:gridCol w:w="3528"/>
        <w:gridCol w:w="3528"/>
      </w:tblGrid>
      <w:tr>
        <w:trPr>
          <w:tblHeader w:val="true"/>
        </w:trPr>
        <w:tc>
          <w:tcPr>
            <w:tcW w:type="dxa" w:w="3312"/>
            <w:shd w:fill="E8EEF5"/>
            <w:tcMar>
              <w:top w:w="90" w:type="dxa"/>
              <w:start w:w="120" w:type="dxa"/>
              <w:bottom w:w="90" w:type="dxa"/>
              <w:end w:w="120" w:type="dxa"/>
            </w:tcMar>
            <w:vAlign w:val="center"/>
          </w:tcPr>
          <w:p>
            <w:pPr>
              <w:spacing w:after="80"/>
            </w:pPr>
            <w:r>
              <w:rPr>
                <w:rFonts w:ascii="Arial" w:hAnsi="Arial"/>
                <w:sz w:val="18"/>
              </w:rPr>
              <w:t>Question</w:t>
            </w:r>
          </w:p>
        </w:tc>
        <w:tc>
          <w:tcPr>
            <w:tcW w:type="dxa" w:w="3312"/>
            <w:shd w:fill="E8EEF5"/>
            <w:tcMar>
              <w:top w:w="90" w:type="dxa"/>
              <w:start w:w="120" w:type="dxa"/>
              <w:bottom w:w="90" w:type="dxa"/>
              <w:end w:w="120" w:type="dxa"/>
            </w:tcMar>
            <w:vAlign w:val="center"/>
          </w:tcPr>
          <w:p>
            <w:pPr>
              <w:spacing w:after="80"/>
            </w:pPr>
            <w:r>
              <w:rPr>
                <w:rFonts w:ascii="Arial" w:hAnsi="Arial"/>
                <w:sz w:val="18"/>
              </w:rPr>
              <w:t>What changed</w:t>
            </w:r>
          </w:p>
        </w:tc>
        <w:tc>
          <w:tcPr>
            <w:tcW w:type="dxa" w:w="3312"/>
            <w:shd w:fill="E8EEF5"/>
            <w:tcMar>
              <w:top w:w="90" w:type="dxa"/>
              <w:start w:w="120" w:type="dxa"/>
              <w:bottom w:w="90" w:type="dxa"/>
              <w:end w:w="120" w:type="dxa"/>
            </w:tcMar>
            <w:vAlign w:val="center"/>
          </w:tcPr>
          <w:p>
            <w:pPr>
              <w:spacing w:after="80"/>
            </w:pPr>
            <w:r>
              <w:rPr>
                <w:rFonts w:ascii="Arial" w:hAnsi="Arial"/>
                <w:sz w:val="18"/>
              </w:rPr>
              <w:t>What remains true</w:t>
            </w:r>
          </w:p>
        </w:tc>
      </w:tr>
      <w:tr>
        <w:tc>
          <w:tcPr>
            <w:tcW w:type="dxa" w:w="2304"/>
            <w:tcMar>
              <w:top w:w="90" w:type="dxa"/>
              <w:start w:w="120" w:type="dxa"/>
              <w:bottom w:w="90" w:type="dxa"/>
              <w:end w:w="120" w:type="dxa"/>
            </w:tcMar>
            <w:vAlign w:val="top"/>
          </w:tcPr>
          <w:p>
            <w:pPr>
              <w:spacing w:after="80"/>
            </w:pPr>
            <w:r>
              <w:rPr>
                <w:rFonts w:ascii="Arial" w:hAnsi="Arial"/>
                <w:sz w:val="18"/>
              </w:rPr>
              <w:t>Compute</w:t>
            </w:r>
          </w:p>
        </w:tc>
        <w:tc>
          <w:tcPr>
            <w:tcW w:type="dxa" w:w="3528"/>
            <w:tcMar>
              <w:top w:w="90" w:type="dxa"/>
              <w:start w:w="120" w:type="dxa"/>
              <w:bottom w:w="90" w:type="dxa"/>
              <w:end w:w="120" w:type="dxa"/>
            </w:tcMar>
            <w:vAlign w:val="top"/>
          </w:tcPr>
          <w:p>
            <w:pPr>
              <w:spacing w:after="80"/>
            </w:pPr>
            <w:r>
              <w:rPr>
                <w:rFonts w:ascii="Arial" w:hAnsi="Arial"/>
                <w:sz w:val="18"/>
              </w:rPr>
              <w:t>Powerful local machines make private processing practical and reduce per-image cloud cost.</w:t>
            </w:r>
          </w:p>
        </w:tc>
        <w:tc>
          <w:tcPr>
            <w:tcW w:type="dxa" w:w="3528"/>
            <w:tcMar>
              <w:top w:w="90" w:type="dxa"/>
              <w:start w:w="120" w:type="dxa"/>
              <w:bottom w:w="90" w:type="dxa"/>
              <w:end w:w="120" w:type="dxa"/>
            </w:tcMar>
            <w:vAlign w:val="top"/>
          </w:tcPr>
          <w:p>
            <w:pPr>
              <w:spacing w:after="80"/>
            </w:pPr>
            <w:r>
              <w:rPr>
                <w:rFonts w:ascii="Arial" w:hAnsi="Arial"/>
                <w:sz w:val="18"/>
              </w:rPr>
              <w:t>Most WordPress users still want installation, updates, recovery, and support handled for them.</w:t>
            </w:r>
          </w:p>
        </w:tc>
      </w:tr>
      <w:tr>
        <w:tc>
          <w:tcPr>
            <w:tcW w:type="dxa" w:w="2304"/>
            <w:tcMar>
              <w:top w:w="90" w:type="dxa"/>
              <w:start w:w="120" w:type="dxa"/>
              <w:bottom w:w="90" w:type="dxa"/>
              <w:end w:w="120" w:type="dxa"/>
            </w:tcMar>
            <w:vAlign w:val="top"/>
          </w:tcPr>
          <w:p>
            <w:pPr>
              <w:spacing w:after="80"/>
            </w:pPr>
            <w:r>
              <w:rPr>
                <w:rFonts w:ascii="Arial" w:hAnsi="Arial"/>
                <w:sz w:val="18"/>
              </w:rPr>
              <w:t>Models</w:t>
            </w:r>
          </w:p>
        </w:tc>
        <w:tc>
          <w:tcPr>
            <w:tcW w:type="dxa" w:w="3528"/>
            <w:tcMar>
              <w:top w:w="90" w:type="dxa"/>
              <w:start w:w="120" w:type="dxa"/>
              <w:bottom w:w="90" w:type="dxa"/>
              <w:end w:w="120" w:type="dxa"/>
            </w:tcMar>
            <w:vAlign w:val="top"/>
          </w:tcPr>
          <w:p>
            <w:pPr>
              <w:spacing w:after="80"/>
            </w:pPr>
            <w:r>
              <w:rPr>
                <w:rFonts w:ascii="Arial" w:hAnsi="Arial"/>
                <w:sz w:val="18"/>
              </w:rPr>
              <w:t>Captioning and face models are becoming interchangeable and widely available.</w:t>
            </w:r>
          </w:p>
        </w:tc>
        <w:tc>
          <w:tcPr>
            <w:tcW w:type="dxa" w:w="3528"/>
            <w:tcMar>
              <w:top w:w="90" w:type="dxa"/>
              <w:start w:w="120" w:type="dxa"/>
              <w:bottom w:w="90" w:type="dxa"/>
              <w:end w:w="120" w:type="dxa"/>
            </w:tcMar>
            <w:vAlign w:val="top"/>
          </w:tcPr>
          <w:p>
            <w:pPr>
              <w:spacing w:after="80"/>
            </w:pPr>
            <w:r>
              <w:rPr>
                <w:rFonts w:ascii="Arial" w:hAnsi="Arial"/>
                <w:sz w:val="18"/>
              </w:rPr>
              <w:t>Reliable review, saved decisions, provenance, and quality testing are still difficult.</w:t>
            </w:r>
          </w:p>
        </w:tc>
      </w:tr>
      <w:tr>
        <w:tc>
          <w:tcPr>
            <w:tcW w:type="dxa" w:w="2304"/>
            <w:tcMar>
              <w:top w:w="90" w:type="dxa"/>
              <w:start w:w="120" w:type="dxa"/>
              <w:bottom w:w="90" w:type="dxa"/>
              <w:end w:w="120" w:type="dxa"/>
            </w:tcMar>
            <w:vAlign w:val="top"/>
          </w:tcPr>
          <w:p>
            <w:pPr>
              <w:spacing w:after="80"/>
            </w:pPr>
            <w:r>
              <w:rPr>
                <w:rFonts w:ascii="Arial" w:hAnsi="Arial"/>
                <w:sz w:val="18"/>
              </w:rPr>
              <w:t>Privacy</w:t>
            </w:r>
          </w:p>
        </w:tc>
        <w:tc>
          <w:tcPr>
            <w:tcW w:type="dxa" w:w="3528"/>
            <w:tcMar>
              <w:top w:w="90" w:type="dxa"/>
              <w:start w:w="120" w:type="dxa"/>
              <w:bottom w:w="90" w:type="dxa"/>
              <w:end w:w="120" w:type="dxa"/>
            </w:tcMar>
            <w:vAlign w:val="top"/>
          </w:tcPr>
          <w:p>
            <w:pPr>
              <w:spacing w:after="80"/>
            </w:pPr>
            <w:r>
              <w:rPr>
                <w:rFonts w:ascii="Arial" w:hAnsi="Arial"/>
                <w:sz w:val="18"/>
              </w:rPr>
              <w:t>Sending images or face data away from the site can block adoption.</w:t>
            </w:r>
          </w:p>
        </w:tc>
        <w:tc>
          <w:tcPr>
            <w:tcW w:type="dxa" w:w="3528"/>
            <w:tcMar>
              <w:top w:w="90" w:type="dxa"/>
              <w:start w:w="120" w:type="dxa"/>
              <w:bottom w:w="90" w:type="dxa"/>
              <w:end w:w="120" w:type="dxa"/>
            </w:tcMar>
            <w:vAlign w:val="top"/>
          </w:tcPr>
          <w:p>
            <w:pPr>
              <w:spacing w:after="80"/>
            </w:pPr>
            <w:r>
              <w:rPr>
                <w:rFonts w:ascii="Arial" w:hAnsi="Arial"/>
                <w:sz w:val="18"/>
              </w:rPr>
              <w:t>Customers need clear controls, deletion, export, audit history, and a trustworthy default.</w:t>
            </w:r>
          </w:p>
        </w:tc>
      </w:tr>
      <w:tr>
        <w:tc>
          <w:tcPr>
            <w:tcW w:type="dxa" w:w="2304"/>
            <w:tcMar>
              <w:top w:w="90" w:type="dxa"/>
              <w:start w:w="120" w:type="dxa"/>
              <w:bottom w:w="90" w:type="dxa"/>
              <w:end w:w="120" w:type="dxa"/>
            </w:tcMar>
            <w:vAlign w:val="top"/>
          </w:tcPr>
          <w:p>
            <w:pPr>
              <w:spacing w:after="80"/>
            </w:pPr>
            <w:r>
              <w:rPr>
                <w:rFonts w:ascii="Arial" w:hAnsi="Arial"/>
                <w:sz w:val="18"/>
              </w:rPr>
              <w:t>Competition</w:t>
            </w:r>
          </w:p>
        </w:tc>
        <w:tc>
          <w:tcPr>
            <w:tcW w:type="dxa" w:w="3528"/>
            <w:tcMar>
              <w:top w:w="90" w:type="dxa"/>
              <w:start w:w="120" w:type="dxa"/>
              <w:bottom w:w="90" w:type="dxa"/>
              <w:end w:w="120" w:type="dxa"/>
            </w:tcMar>
            <w:vAlign w:val="top"/>
          </w:tcPr>
          <w:p>
            <w:pPr>
              <w:spacing w:after="80"/>
            </w:pPr>
            <w:r>
              <w:rPr>
                <w:rFonts w:ascii="Arial" w:hAnsi="Arial"/>
                <w:sz w:val="18"/>
              </w:rPr>
              <w:t>A clone can reproduce visible features and use the same public models.</w:t>
            </w:r>
          </w:p>
        </w:tc>
        <w:tc>
          <w:tcPr>
            <w:tcW w:type="dxa" w:w="3528"/>
            <w:tcMar>
              <w:top w:w="90" w:type="dxa"/>
              <w:start w:w="120" w:type="dxa"/>
              <w:bottom w:w="90" w:type="dxa"/>
              <w:end w:w="120" w:type="dxa"/>
            </w:tcMar>
            <w:vAlign w:val="top"/>
          </w:tcPr>
          <w:p>
            <w:pPr>
              <w:spacing w:after="80"/>
            </w:pPr>
            <w:r>
              <w:rPr>
                <w:rFonts w:ascii="Arial" w:hAnsi="Arial"/>
                <w:sz w:val="18"/>
              </w:rPr>
              <w:t>A clone does not inherit distribution, operating history, integrations, support, evaluation data, or reputation.</w:t>
            </w:r>
          </w:p>
        </w:tc>
      </w:tr>
      <w:tr>
        <w:tc>
          <w:tcPr>
            <w:tcW w:type="dxa" w:w="2304"/>
            <w:tcMar>
              <w:top w:w="90" w:type="dxa"/>
              <w:start w:w="120" w:type="dxa"/>
              <w:bottom w:w="90" w:type="dxa"/>
              <w:end w:w="120" w:type="dxa"/>
            </w:tcMar>
            <w:vAlign w:val="top"/>
          </w:tcPr>
          <w:p>
            <w:pPr>
              <w:spacing w:after="80"/>
            </w:pPr>
            <w:r>
              <w:rPr>
                <w:rFonts w:ascii="Arial" w:hAnsi="Arial"/>
                <w:sz w:val="18"/>
              </w:rPr>
              <w:t>Cloud</w:t>
            </w:r>
          </w:p>
        </w:tc>
        <w:tc>
          <w:tcPr>
            <w:tcW w:type="dxa" w:w="3528"/>
            <w:tcMar>
              <w:top w:w="90" w:type="dxa"/>
              <w:start w:w="120" w:type="dxa"/>
              <w:bottom w:w="90" w:type="dxa"/>
              <w:end w:w="120" w:type="dxa"/>
            </w:tcMar>
            <w:vAlign w:val="top"/>
          </w:tcPr>
          <w:p>
            <w:pPr>
              <w:spacing w:after="80"/>
            </w:pPr>
            <w:r>
              <w:rPr>
                <w:rFonts w:ascii="Arial" w:hAnsi="Arial"/>
                <w:sz w:val="18"/>
              </w:rPr>
              <w:t>Local hardware takes over some steady or sensitive workloads.</w:t>
            </w:r>
          </w:p>
        </w:tc>
        <w:tc>
          <w:tcPr>
            <w:tcW w:type="dxa" w:w="3528"/>
            <w:tcMar>
              <w:top w:w="90" w:type="dxa"/>
              <w:start w:w="120" w:type="dxa"/>
              <w:bottom w:w="90" w:type="dxa"/>
              <w:end w:w="120" w:type="dxa"/>
            </w:tcMar>
            <w:vAlign w:val="top"/>
          </w:tcPr>
          <w:p>
            <w:pPr>
              <w:spacing w:after="80"/>
            </w:pPr>
            <w:r>
              <w:rPr>
                <w:rFonts w:ascii="Arial" w:hAnsi="Arial"/>
                <w:sz w:val="18"/>
              </w:rPr>
              <w:t>Cloud remains useful for zero-install onboarding, shared teams, elastic bursts, uptime, and recovery.</w:t>
            </w:r>
          </w:p>
        </w:tc>
      </w:tr>
    </w:tbl>
    <w:p>
      <w:pPr>
        <w:pStyle w:val="Heading1"/>
      </w:pPr>
      <w:r>
        <w:rPr>
          <w:rFonts w:ascii="Arial" w:hAnsi="Arial"/>
        </w:rPr>
        <w:t>3. Recommended product and business model</w:t>
      </w:r>
    </w:p>
    <w:p>
      <w:pPr>
        <w:pStyle w:val="Heading2"/>
      </w:pPr>
      <w:r>
        <w:rPr>
          <w:rFonts w:ascii="Arial" w:hAnsi="Arial"/>
        </w:rPr>
        <w:t>One product, several places to run it</w:t>
      </w:r>
    </w:p>
    <w:p>
      <w:pPr>
        <w:pStyle w:val="ListBullet"/>
      </w:pPr>
      <w:r>
        <w:rPr>
          <w:rFonts w:ascii="Arial" w:hAnsi="Arial"/>
          <w:b/>
        </w:rPr>
        <w:t xml:space="preserve">Managed mode: </w:t>
      </w:r>
      <w:r>
        <w:rPr>
          <w:rFonts w:ascii="Arial" w:hAnsi="Arial"/>
        </w:rPr>
        <w:t>The normal WordPress experience. Install the plugin, connect an account, and start. AltContext operates the processing service.</w:t>
      </w:r>
    </w:p>
    <w:p>
      <w:pPr>
        <w:pStyle w:val="ListBullet"/>
      </w:pPr>
      <w:r>
        <w:rPr>
          <w:rFonts w:ascii="Arial" w:hAnsi="Arial"/>
          <w:b/>
        </w:rPr>
        <w:t xml:space="preserve">Private Worker: </w:t>
      </w:r>
      <w:r>
        <w:rPr>
          <w:rFonts w:ascii="Arial" w:hAnsi="Arial"/>
        </w:rPr>
        <w:t>A signed, auto-updating Mac application or managed server package paired with WordPress. Images and face data can remain under customer control.</w:t>
      </w:r>
    </w:p>
    <w:p>
      <w:pPr>
        <w:pStyle w:val="ListBullet"/>
      </w:pPr>
      <w:r>
        <w:rPr>
          <w:rFonts w:ascii="Arial" w:hAnsi="Arial"/>
          <w:b/>
        </w:rPr>
        <w:t xml:space="preserve">Hosted burst: </w:t>
      </w:r>
      <w:r>
        <w:rPr>
          <w:rFonts w:ascii="Arial" w:hAnsi="Arial"/>
        </w:rPr>
        <w:t>Optional paid capacity for large libraries, difficult descriptions, deadlines, or customers whose local machine is offline.</w:t>
      </w:r>
    </w:p>
    <w:p>
      <w:pPr>
        <w:pStyle w:val="ListBullet"/>
      </w:pPr>
      <w:r>
        <w:rPr>
          <w:rFonts w:ascii="Arial" w:hAnsi="Arial"/>
          <w:b/>
        </w:rPr>
        <w:t xml:space="preserve">Private server or VPC: </w:t>
      </w:r>
      <w:r>
        <w:rPr>
          <w:rFonts w:ascii="Arial" w:hAnsi="Arial"/>
        </w:rPr>
        <w:t>A later enterprise option, offered only when demand and support economics justify it.</w:t>
      </w:r>
    </w:p>
    <w:p>
      <w:r>
        <w:rPr>
          <w:rFonts w:ascii="Arial" w:hAnsi="Arial"/>
        </w:rPr>
        <w:t>Do not create separate cloud and local products. Define one versioned request-and-result contract. Every worker should report the model version, settings, result, confidence where meaningful, and processing history in the same way. WordPress remains the main record of people, names, corrections, and editorial decisions.</w:t>
      </w:r>
    </w:p>
    <w:p>
      <w:pPr>
        <w:pStyle w:val="Heading2"/>
      </w:pPr>
      <w:r>
        <w:rPr>
          <w:rFonts w:ascii="Arial" w:hAnsi="Arial"/>
        </w:rPr>
        <w:t>Pricing direction</w:t>
      </w:r>
    </w:p>
    <w:p>
      <w:r>
        <w:rPr>
          <w:rFonts w:ascii="Arial" w:hAnsi="Arial"/>
        </w:rPr>
        <w:t>Charge primarily for the maintained product: sites, teams, workflow, privacy controls, updates, and support. Charge separately for hosted processing when it creates a real variable cost. A local-compute plan can still be paid software because customers are buying the workflow, updates, governance, and support—not merely GPU time.</w:t>
      </w:r>
    </w:p>
    <w:p>
      <w:pPr>
        <w:pStyle w:val="Heading1"/>
      </w:pPr>
      <w:r>
        <w:rPr>
          <w:rFonts w:ascii="Arial" w:hAnsi="Arial"/>
        </w:rPr>
        <w:t>4. The moat</w:t>
      </w:r>
    </w:p>
    <w:p>
      <w:pPr>
        <w:keepLines/>
      </w:pPr>
      <w:r>
        <w:rPr>
          <w:rFonts w:ascii="Arial" w:hAnsi="Arial"/>
          <w:b/>
        </w:rPr>
        <w:t>1. Saved human decisions</w:t>
      </w:r>
      <w:r>
        <w:rPr>
          <w:rFonts w:ascii="Arial" w:hAnsi="Arial"/>
        </w:rPr>
        <w:br/>
        <w:t>People, names, accepted and rejected matches, merges, splits, conflicts, and undo history survive model changes. This customer-owned record becomes more valuable with use.</w:t>
      </w:r>
    </w:p>
    <w:p>
      <w:pPr>
        <w:keepLines/>
      </w:pPr>
      <w:r>
        <w:rPr>
          <w:rFonts w:ascii="Arial" w:hAnsi="Arial"/>
          <w:b/>
        </w:rPr>
        <w:t>2. WordPress-native workflow</w:t>
      </w:r>
      <w:r>
        <w:rPr>
          <w:rFonts w:ascii="Arial" w:hAnsi="Arial"/>
        </w:rPr>
        <w:br/>
        <w:t>Media Library selection, batch review, accessible controls, metadata writing, plugin compatibility, retry handling, and agency multi-site work are the practical product.</w:t>
      </w:r>
    </w:p>
    <w:p>
      <w:pPr>
        <w:keepLines/>
      </w:pPr>
      <w:r>
        <w:rPr>
          <w:rFonts w:ascii="Arial" w:hAnsi="Arial"/>
          <w:b/>
        </w:rPr>
        <w:t>3. Trust and governance</w:t>
      </w:r>
      <w:r>
        <w:rPr>
          <w:rFonts w:ascii="Arial" w:hAnsi="Arial"/>
        </w:rPr>
        <w:br/>
        <w:t>Unknown remains an acceptable answer. Customers can see what ran, review changes, export records, delete sensitive data, and understand what left their server.</w:t>
      </w:r>
    </w:p>
    <w:p>
      <w:pPr>
        <w:keepLines/>
      </w:pPr>
      <w:r>
        <w:rPr>
          <w:rFonts w:ascii="Arial" w:hAnsi="Arial"/>
          <w:b/>
        </w:rPr>
        <w:t>4. Reliable operations</w:t>
      </w:r>
      <w:r>
        <w:rPr>
          <w:rFonts w:ascii="Arial" w:hAnsi="Arial"/>
        </w:rPr>
        <w:br/>
        <w:t>Queues, cancellation, batching, retries, signed updates, recovery, model routing, and health reporting turn a model demonstration into dependable software.</w:t>
      </w:r>
    </w:p>
    <w:p>
      <w:pPr>
        <w:keepLines/>
      </w:pPr>
      <w:r>
        <w:rPr>
          <w:rFonts w:ascii="Arial" w:hAnsi="Arial"/>
          <w:b/>
        </w:rPr>
        <w:t>5. Quality system</w:t>
      </w:r>
      <w:r>
        <w:rPr>
          <w:rFonts w:ascii="Arial" w:hAnsi="Arial"/>
        </w:rPr>
        <w:br/>
        <w:t>A maintained test set, hard-case evaluation, threshold calibration, and release gates show which model works for which images. This improves over time.</w:t>
      </w:r>
    </w:p>
    <w:p>
      <w:pPr>
        <w:keepLines/>
      </w:pPr>
      <w:r>
        <w:rPr>
          <w:rFonts w:ascii="Arial" w:hAnsi="Arial"/>
          <w:b/>
        </w:rPr>
        <w:t>6. Distribution and reputation</w:t>
      </w:r>
      <w:r>
        <w:rPr>
          <w:rFonts w:ascii="Arial" w:hAnsi="Arial"/>
        </w:rPr>
        <w:br/>
        <w:t>WordPress.org visibility, agency relationships, accessibility credibility, integrations, documentation, and support are not copied with source code.</w:t>
      </w:r>
    </w:p>
    <w:p>
      <w:r>
        <w:rPr>
          <w:rFonts w:ascii="Arial" w:hAnsi="Arial"/>
        </w:rPr>
        <w:t>Important limitation: customer corrections create value and switching cost for that customer, but they are not automatically an AltContext-wide network effect. Face labels and identity records should remain customer-owned. Company-wide learning should use licensed evaluation data or explicit, privacy-safe opt-in telemetry.</w:t>
      </w:r>
    </w:p>
    <w:p>
      <w:pPr>
        <w:pStyle w:val="Heading1"/>
        <w:pageBreakBefore/>
      </w:pPr>
      <w:r>
        <w:rPr>
          <w:rFonts w:ascii="Arial" w:hAnsi="Arial"/>
        </w:rPr>
        <w:t>5. Open-source WordPress plugin implications</w:t>
      </w:r>
    </w:p>
    <w:p>
      <w:r>
        <w:rPr>
          <w:rFonts w:ascii="Arial" w:hAnsi="Arial"/>
        </w:rPr>
        <w:t>Assume the WordPress plugin code can be inspected, copied, and modified. That is normal in the WordPress ecosystem. WordPress states that plugins are derivative works and should use a GPL-compatible licence; the plugin directory also requires human-readable code and permits service-based plugins when the service provides real functionality.</w:t>
      </w:r>
    </w:p>
    <w:p>
      <w:pPr>
        <w:pStyle w:val="Heading2"/>
      </w:pPr>
      <w:r>
        <w:rPr>
          <w:rFonts w:ascii="Arial" w:hAnsi="Arial"/>
        </w:rPr>
        <w:t>Recommended boundary</w:t>
      </w:r>
    </w:p>
    <w:p>
      <w:pPr>
        <w:pStyle w:val="ListBullet"/>
      </w:pPr>
      <w:r>
        <w:rPr>
          <w:rFonts w:ascii="Arial" w:hAnsi="Arial"/>
        </w:rPr>
        <w:t>Keep the WordPress plugin GPL-compatible and useful. Do not cripple it merely to hide logic.</w:t>
      </w:r>
    </w:p>
    <w:p>
      <w:pPr>
        <w:pStyle w:val="ListBullet"/>
      </w:pPr>
      <w:r>
        <w:rPr>
          <w:rFonts w:ascii="Arial" w:hAnsi="Arial"/>
        </w:rPr>
        <w:t>Keep customer records portable: people, names, corrections, audit history, and generated metadata should be exportable.</w:t>
      </w:r>
    </w:p>
    <w:p>
      <w:pPr>
        <w:pStyle w:val="ListBullet"/>
      </w:pPr>
      <w:r>
        <w:rPr>
          <w:rFonts w:ascii="Arial" w:hAnsi="Arial"/>
        </w:rPr>
        <w:t>Treat a separately distributed native worker as an independent product only if its architecture and communication boundary support that claim; obtain legal advice before relying on a different licence.</w:t>
      </w:r>
    </w:p>
    <w:p>
      <w:pPr>
        <w:pStyle w:val="ListBullet"/>
      </w:pPr>
      <w:r>
        <w:rPr>
          <w:rFonts w:ascii="Arial" w:hAnsi="Arial"/>
        </w:rPr>
        <w:t>Use account entitlements, signed releases, automatic updates, and an offline grace period as ordinary commercial controls. Do not present them as the moat.</w:t>
      </w:r>
    </w:p>
    <w:p>
      <w:pPr>
        <w:pStyle w:val="ListBullet"/>
      </w:pPr>
      <w:r>
        <w:rPr>
          <w:rFonts w:ascii="Arial" w:hAnsi="Arial"/>
        </w:rPr>
        <w:t>Publish the worker protocol only to the degree required for interoperability and trust. A stable public contract can increase adoption while implementation, evaluation tooling, release operations, and hosted service remain commercial assets.</w:t>
      </w:r>
    </w:p>
    <w:p>
      <w:pPr>
        <w:pStyle w:val="ListBullet"/>
      </w:pPr>
      <w:r>
        <w:rPr>
          <w:rFonts w:ascii="Arial" w:hAnsi="Arial"/>
        </w:rPr>
        <w:t>Compete through pace, support, security response, compatibility, quality evidence, and customer trust.</w:t>
      </w:r>
    </w:p>
    <w:p>
      <w:r>
        <w:rPr>
          <w:rFonts w:ascii="Arial" w:hAnsi="Arial"/>
        </w:rPr>
        <w:t>Open source can strengthen the strategy: agencies can inspect the plugin, privacy claims become verifiable, integrations are easier, and WordPress distribution improves. The cost is that weak product differentiation becomes visible quickly. AltContext therefore needs excellent workflow and operations, not secrecy.</w:t>
      </w:r>
    </w:p>
    <w:p>
      <w:pPr>
        <w:pStyle w:val="Heading1"/>
      </w:pPr>
      <w:r>
        <w:rPr>
          <w:rFonts w:ascii="Arial" w:hAnsi="Arial"/>
        </w:rPr>
        <w:t>6. How cloud DAM companies remain competitive</w:t>
      </w:r>
    </w:p>
    <w:p>
      <w:r>
        <w:rPr>
          <w:rFonts w:ascii="Arial" w:hAnsi="Arial"/>
        </w:rPr>
        <w:t>PhotoShelter and Brandfolder are not mainly selling access to a face model. They sell a shared system for storing, finding, approving, governing, and distributing assets. Local AI changes where some computation happens; it does not replace permissions, rights management, versioning, portals, collaboration, integrations, or the system of record.</w:t>
      </w:r>
    </w:p>
    <w:p>
      <w:r>
        <w:rPr>
          <w:rFonts w:ascii="Arial" w:hAnsi="Arial"/>
        </w:rPr>
        <w:t>AltContext should not imitate a full digital asset management platform. Its sharper position is:</w:t>
      </w:r>
    </w:p>
    <w:p>
      <w:pPr>
        <w:jc w:val="center"/>
      </w:pPr>
      <w:r>
        <w:rPr>
          <w:rFonts w:ascii="Arial" w:hAnsi="Arial"/>
          <w:b/>
          <w:i/>
          <w:color w:val="17365D"/>
          <w:sz w:val="26"/>
        </w:rPr>
        <w:t>“DAM-grade identity and alt-text governance for WordPress—without moving the media library into a DAM.”</w:t>
      </w:r>
    </w:p>
    <w:p>
      <w:pPr>
        <w:pStyle w:val="Heading1"/>
      </w:pPr>
      <w:r>
        <w:rPr>
          <w:rFonts w:ascii="Arial" w:hAnsi="Arial"/>
        </w:rPr>
        <w:t>7. Explicit questions and answers</w:t>
      </w:r>
    </w:p>
    <w:p>
      <w:pPr>
        <w:keepNext/>
        <w:keepLines/>
      </w:pPr>
      <w:r>
        <w:rPr>
          <w:rFonts w:ascii="Arial" w:hAnsi="Arial"/>
          <w:b/>
        </w:rPr>
        <w:t>Q: Will customers prefer local image description and face recognition?</w:t>
      </w:r>
    </w:p>
    <w:p>
      <w:r>
        <w:rPr>
          <w:rFonts w:ascii="Arial" w:hAnsi="Arial"/>
          <w:b/>
        </w:rPr>
        <w:t xml:space="preserve">A: </w:t>
      </w:r>
      <w:r>
        <w:rPr>
          <w:rFonts w:ascii="Arial" w:hAnsi="Arial"/>
        </w:rPr>
        <w:t>Some will, especially privacy-sensitive and high-volume customers. Many ordinary WordPress users will still choose the managed path because it requires no separate machine or maintenance. Offer both; do not force either.</w:t>
      </w:r>
    </w:p>
    <w:p>
      <w:pPr>
        <w:keepNext/>
        <w:keepLines/>
      </w:pPr>
      <w:r>
        <w:rPr>
          <w:rFonts w:ascii="Arial" w:hAnsi="Arial"/>
          <w:b/>
        </w:rPr>
        <w:t>Q: Does local AI destroy the current business?</w:t>
      </w:r>
    </w:p>
    <w:p>
      <w:r>
        <w:rPr>
          <w:rFonts w:ascii="Arial" w:hAnsi="Arial"/>
          <w:b/>
        </w:rPr>
        <w:t xml:space="preserve">A: </w:t>
      </w:r>
      <w:r>
        <w:rPr>
          <w:rFonts w:ascii="Arial" w:hAnsi="Arial"/>
        </w:rPr>
        <w:t>It destroys remote model access as a moat. It does not destroy the need for workflow, saved decisions, privacy controls, updates, quality assurance, or support.</w:t>
      </w:r>
    </w:p>
    <w:p>
      <w:pPr>
        <w:keepNext/>
        <w:keepLines/>
      </w:pPr>
      <w:r>
        <w:rPr>
          <w:rFonts w:ascii="Arial" w:hAnsi="Arial"/>
          <w:b/>
        </w:rPr>
        <w:t>Q: If all features can run locally, why would anyone pay?</w:t>
      </w:r>
    </w:p>
    <w:p>
      <w:r>
        <w:rPr>
          <w:rFonts w:ascii="Arial" w:hAnsi="Arial"/>
          <w:b/>
        </w:rPr>
        <w:t xml:space="preserve">A: </w:t>
      </w:r>
      <w:r>
        <w:rPr>
          <w:rFonts w:ascii="Arial" w:hAnsi="Arial"/>
        </w:rPr>
        <w:t>For a product that installs cleanly, stays updated, works across thousands of images, recovers from failures, preserves corrections, supports teams, and produces auditable results. Local compute changes the cost base, not the whole value proposition.</w:t>
      </w:r>
    </w:p>
    <w:p>
      <w:pPr>
        <w:keepNext/>
        <w:keepLines/>
      </w:pPr>
      <w:r>
        <w:rPr>
          <w:rFonts w:ascii="Arial" w:hAnsi="Arial"/>
          <w:b/>
        </w:rPr>
        <w:t>Q: Is the M7 Ultra the reason to change the roadmap?</w:t>
      </w:r>
    </w:p>
    <w:p>
      <w:r>
        <w:rPr>
          <w:rFonts w:ascii="Arial" w:hAnsi="Arial"/>
          <w:b/>
        </w:rPr>
        <w:t xml:space="preserve">A: </w:t>
      </w:r>
      <w:r>
        <w:rPr>
          <w:rFonts w:ascii="Arial" w:hAnsi="Arial"/>
        </w:rPr>
        <w:t>No. The reported machine is unconfirmed and years away. The reason is that local execution is already feasible and customer expectations are changing.</w:t>
      </w:r>
    </w:p>
    <w:p>
      <w:pPr>
        <w:keepNext/>
        <w:keepLines/>
      </w:pPr>
      <w:r>
        <w:rPr>
          <w:rFonts w:ascii="Arial" w:hAnsi="Arial"/>
          <w:b/>
        </w:rPr>
        <w:t>Q: Should the plugin become fully self-hosted?</w:t>
      </w:r>
    </w:p>
    <w:p>
      <w:r>
        <w:rPr>
          <w:rFonts w:ascii="Arial" w:hAnsi="Arial"/>
          <w:b/>
        </w:rPr>
        <w:t xml:space="preserve">A: </w:t>
      </w:r>
      <w:r>
        <w:rPr>
          <w:rFonts w:ascii="Arial" w:hAnsi="Arial"/>
        </w:rPr>
        <w:t>Not as the only mode. A mandatory self-hosted stack would exclude the non-technical WordPress audience. Add a paired private worker while preserving the managed default.</w:t>
      </w:r>
    </w:p>
    <w:p>
      <w:pPr>
        <w:keepNext/>
        <w:keepLines/>
      </w:pPr>
      <w:r>
        <w:rPr>
          <w:rFonts w:ascii="Arial" w:hAnsi="Arial"/>
          <w:b/>
        </w:rPr>
        <w:t>Q: Should inference run in the browser?</w:t>
      </w:r>
    </w:p>
    <w:p>
      <w:r>
        <w:rPr>
          <w:rFonts w:ascii="Arial" w:hAnsi="Arial"/>
          <w:b/>
        </w:rPr>
        <w:t xml:space="preserve">A: </w:t>
      </w:r>
      <w:r>
        <w:rPr>
          <w:rFonts w:ascii="Arial" w:hAnsi="Arial"/>
        </w:rPr>
        <w:t>Not for the controlled production path. Browser sessions are fragile, hardware and runtimes vary, and model versions can drift. A signed worker gives AltContext control over updates, recovery, and reproducibility.</w:t>
      </w:r>
    </w:p>
    <w:p>
      <w:pPr>
        <w:keepNext/>
        <w:keepLines/>
      </w:pPr>
      <w:r>
        <w:rPr>
          <w:rFonts w:ascii="Arial" w:hAnsi="Arial"/>
          <w:b/>
        </w:rPr>
        <w:t>Q: Can a competitor copy the plugin?</w:t>
      </w:r>
    </w:p>
    <w:p>
      <w:r>
        <w:rPr>
          <w:rFonts w:ascii="Arial" w:hAnsi="Arial"/>
          <w:b/>
        </w:rPr>
        <w:t xml:space="preserve">A: </w:t>
      </w:r>
      <w:r>
        <w:rPr>
          <w:rFonts w:ascii="Arial" w:hAnsi="Arial"/>
        </w:rPr>
        <w:t>Yes. Plan on it. They can copy visible code, but not instantly reproduce operational knowledge, evaluation history, customer trust, integrations, distribution, support, or future improvements.</w:t>
      </w:r>
    </w:p>
    <w:p>
      <w:pPr>
        <w:keepNext/>
        <w:keepLines/>
      </w:pPr>
      <w:r>
        <w:rPr>
          <w:rFonts w:ascii="Arial" w:hAnsi="Arial"/>
          <w:b/>
        </w:rPr>
        <w:t>Q: Is customer correction data a company moat?</w:t>
      </w:r>
    </w:p>
    <w:p>
      <w:r>
        <w:rPr>
          <w:rFonts w:ascii="Arial" w:hAnsi="Arial"/>
          <w:b/>
        </w:rPr>
        <w:t xml:space="preserve">A: </w:t>
      </w:r>
      <w:r>
        <w:rPr>
          <w:rFonts w:ascii="Arial" w:hAnsi="Arial"/>
        </w:rPr>
        <w:t>Mostly no. It is customer-owned value and switching cost. AltContext should not build its moat by quietly appropriating identity labels. Use explicit consent and privacy-safe data for product-wide learning.</w:t>
      </w:r>
    </w:p>
    <w:p>
      <w:pPr>
        <w:keepNext/>
        <w:keepLines/>
      </w:pPr>
      <w:r>
        <w:rPr>
          <w:rFonts w:ascii="Arial" w:hAnsi="Arial"/>
          <w:b/>
        </w:rPr>
        <w:t>Q: How should hosted GPU capacity be used?</w:t>
      </w:r>
    </w:p>
    <w:p>
      <w:r>
        <w:rPr>
          <w:rFonts w:ascii="Arial" w:hAnsi="Arial"/>
          <w:b/>
        </w:rPr>
        <w:t xml:space="preserve">A: </w:t>
      </w:r>
      <w:r>
        <w:rPr>
          <w:rFonts w:ascii="Arial" w:hAnsi="Arial"/>
        </w:rPr>
        <w:t>As an optional burst and premium-quality tier for large batches, difficult images, or deadlines—not as the definition of the product.</w:t>
      </w:r>
    </w:p>
    <w:p>
      <w:pPr>
        <w:keepNext/>
        <w:keepLines/>
      </w:pPr>
      <w:r>
        <w:rPr>
          <w:rFonts w:ascii="Arial" w:hAnsi="Arial"/>
          <w:b/>
        </w:rPr>
        <w:t>Q: What should AltContext claim publicly?</w:t>
      </w:r>
    </w:p>
    <w:p>
      <w:r>
        <w:rPr>
          <w:rFonts w:ascii="Arial" w:hAnsi="Arial"/>
          <w:b/>
        </w:rPr>
        <w:t xml:space="preserve">A: </w:t>
      </w:r>
      <w:r>
        <w:rPr>
          <w:rFonts w:ascii="Arial" w:hAnsi="Arial"/>
        </w:rPr>
        <w:t>That it provides a reviewable, privacy-aware WordPress workflow with clear deployment choices. Avoid claims that all data stays local until the private worker exists and the data-flow documentation proves it.</w:t>
      </w:r>
    </w:p>
    <w:p>
      <w:pPr>
        <w:pStyle w:val="Heading1"/>
      </w:pPr>
      <w:r>
        <w:rPr>
          <w:rFonts w:ascii="Arial" w:hAnsi="Arial"/>
        </w:rPr>
        <w:t>8. Risks and mitigations</w:t>
      </w:r>
    </w:p>
    <w:tbl>
      <w:tblPr>
        <w:tblW w:type="auto" w:w="0"/>
        <w:jc w:val="center"/>
        <w:tblLayout w:type="fixed"/>
        <w:tblLook w:firstColumn="1" w:firstRow="1" w:lastColumn="0" w:lastRow="0" w:noHBand="0" w:noVBand="1" w:val="04A0"/>
      </w:tblPr>
      <w:tblGrid>
        <w:gridCol w:w="2232"/>
        <w:gridCol w:w="3384"/>
        <w:gridCol w:w="3744"/>
      </w:tblGrid>
      <w:tr>
        <w:trPr>
          <w:tblHeader w:val="true"/>
        </w:trPr>
        <w:tc>
          <w:tcPr>
            <w:tcW w:type="dxa" w:w="3312"/>
            <w:shd w:fill="E8EEF5"/>
            <w:tcMar>
              <w:top w:w="90" w:type="dxa"/>
              <w:start w:w="120" w:type="dxa"/>
              <w:bottom w:w="90" w:type="dxa"/>
              <w:end w:w="120" w:type="dxa"/>
            </w:tcMar>
          </w:tcPr>
          <w:p>
            <w:pPr>
              <w:spacing w:after="80"/>
            </w:pPr>
            <w:r>
              <w:rPr>
                <w:rFonts w:ascii="Arial" w:hAnsi="Arial"/>
                <w:sz w:val="18"/>
              </w:rPr>
              <w:t>Risk</w:t>
            </w:r>
          </w:p>
        </w:tc>
        <w:tc>
          <w:tcPr>
            <w:tcW w:type="dxa" w:w="3312"/>
            <w:shd w:fill="E8EEF5"/>
            <w:tcMar>
              <w:top w:w="90" w:type="dxa"/>
              <w:start w:w="120" w:type="dxa"/>
              <w:bottom w:w="90" w:type="dxa"/>
              <w:end w:w="120" w:type="dxa"/>
            </w:tcMar>
          </w:tcPr>
          <w:p>
            <w:pPr>
              <w:spacing w:after="80"/>
            </w:pPr>
            <w:r>
              <w:rPr>
                <w:rFonts w:ascii="Arial" w:hAnsi="Arial"/>
                <w:sz w:val="18"/>
              </w:rPr>
              <w:t>Why it matters</w:t>
            </w:r>
          </w:p>
        </w:tc>
        <w:tc>
          <w:tcPr>
            <w:tcW w:type="dxa" w:w="3312"/>
            <w:shd w:fill="E8EEF5"/>
            <w:tcMar>
              <w:top w:w="90" w:type="dxa"/>
              <w:start w:w="120" w:type="dxa"/>
              <w:bottom w:w="90" w:type="dxa"/>
              <w:end w:w="120" w:type="dxa"/>
            </w:tcMar>
          </w:tcPr>
          <w:p>
            <w:pPr>
              <w:spacing w:after="80"/>
            </w:pPr>
            <w:r>
              <w:rPr>
                <w:rFonts w:ascii="Arial" w:hAnsi="Arial"/>
                <w:sz w:val="18"/>
              </w:rPr>
              <w:t>Mitigation</w:t>
            </w:r>
          </w:p>
        </w:tc>
      </w:tr>
      <w:tr>
        <w:tc>
          <w:tcPr>
            <w:tcW w:type="dxa" w:w="2232"/>
            <w:tcMar>
              <w:top w:w="90" w:type="dxa"/>
              <w:start w:w="120" w:type="dxa"/>
              <w:bottom w:w="90" w:type="dxa"/>
              <w:end w:w="120" w:type="dxa"/>
            </w:tcMar>
            <w:vAlign w:val="top"/>
          </w:tcPr>
          <w:p>
            <w:pPr>
              <w:spacing w:after="80"/>
            </w:pPr>
            <w:r>
              <w:rPr>
                <w:rFonts w:ascii="Arial" w:hAnsi="Arial"/>
                <w:sz w:val="18"/>
              </w:rPr>
              <w:t>Builds too early</w:t>
            </w:r>
          </w:p>
        </w:tc>
        <w:tc>
          <w:tcPr>
            <w:tcW w:type="dxa" w:w="3384"/>
            <w:tcMar>
              <w:top w:w="90" w:type="dxa"/>
              <w:start w:w="120" w:type="dxa"/>
              <w:bottom w:w="90" w:type="dxa"/>
              <w:end w:w="120" w:type="dxa"/>
            </w:tcMar>
            <w:vAlign w:val="top"/>
          </w:tcPr>
          <w:p>
            <w:pPr>
              <w:spacing w:after="80"/>
            </w:pPr>
            <w:r>
              <w:rPr>
                <w:rFonts w:ascii="Arial" w:hAnsi="Arial"/>
                <w:sz w:val="18"/>
              </w:rPr>
              <w:t>A polished Mac worker creates update, support, signing, and compatibility work before demand is known.</w:t>
            </w:r>
          </w:p>
        </w:tc>
        <w:tc>
          <w:tcPr>
            <w:tcW w:type="dxa" w:w="3744"/>
            <w:tcMar>
              <w:top w:w="90" w:type="dxa"/>
              <w:start w:w="120" w:type="dxa"/>
              <w:bottom w:w="90" w:type="dxa"/>
              <w:end w:w="120" w:type="dxa"/>
            </w:tcMar>
            <w:vAlign w:val="top"/>
          </w:tcPr>
          <w:p>
            <w:pPr>
              <w:spacing w:after="80"/>
            </w:pPr>
            <w:r>
              <w:rPr>
                <w:rFonts w:ascii="Arial" w:hAnsi="Arial"/>
                <w:sz w:val="18"/>
              </w:rPr>
              <w:t>Start with the existing face pipeline. Test with 3–5 organizations and require paid intent before expanding.</w:t>
            </w:r>
          </w:p>
        </w:tc>
      </w:tr>
      <w:tr>
        <w:tc>
          <w:tcPr>
            <w:tcW w:type="dxa" w:w="2232"/>
            <w:tcMar>
              <w:top w:w="90" w:type="dxa"/>
              <w:start w:w="120" w:type="dxa"/>
              <w:bottom w:w="90" w:type="dxa"/>
              <w:end w:w="120" w:type="dxa"/>
            </w:tcMar>
            <w:vAlign w:val="top"/>
          </w:tcPr>
          <w:p>
            <w:pPr>
              <w:spacing w:after="80"/>
            </w:pPr>
            <w:r>
              <w:rPr>
                <w:rFonts w:ascii="Arial" w:hAnsi="Arial"/>
                <w:sz w:val="18"/>
              </w:rPr>
              <w:t>Two products drift</w:t>
            </w:r>
          </w:p>
        </w:tc>
        <w:tc>
          <w:tcPr>
            <w:tcW w:type="dxa" w:w="3384"/>
            <w:tcMar>
              <w:top w:w="90" w:type="dxa"/>
              <w:start w:w="120" w:type="dxa"/>
              <w:bottom w:w="90" w:type="dxa"/>
              <w:end w:w="120" w:type="dxa"/>
            </w:tcMar>
            <w:vAlign w:val="top"/>
          </w:tcPr>
          <w:p>
            <w:pPr>
              <w:spacing w:after="80"/>
            </w:pPr>
            <w:r>
              <w:rPr>
                <w:rFonts w:ascii="Arial" w:hAnsi="Arial"/>
                <w:sz w:val="18"/>
              </w:rPr>
              <w:t>Cloud and local results differ, confusing customers and support.</w:t>
            </w:r>
          </w:p>
        </w:tc>
        <w:tc>
          <w:tcPr>
            <w:tcW w:type="dxa" w:w="3744"/>
            <w:tcMar>
              <w:top w:w="90" w:type="dxa"/>
              <w:start w:w="120" w:type="dxa"/>
              <w:bottom w:w="90" w:type="dxa"/>
              <w:end w:w="120" w:type="dxa"/>
            </w:tcMar>
            <w:vAlign w:val="top"/>
          </w:tcPr>
          <w:p>
            <w:pPr>
              <w:spacing w:after="80"/>
            </w:pPr>
            <w:r>
              <w:rPr>
                <w:rFonts w:ascii="Arial" w:hAnsi="Arial"/>
                <w:sz w:val="18"/>
              </w:rPr>
              <w:t>Use one job schema, pinned models, version records, shared tests, and identical review behavior.</w:t>
            </w:r>
          </w:p>
        </w:tc>
      </w:tr>
      <w:tr>
        <w:tc>
          <w:tcPr>
            <w:tcW w:type="dxa" w:w="2232"/>
            <w:tcMar>
              <w:top w:w="90" w:type="dxa"/>
              <w:start w:w="120" w:type="dxa"/>
              <w:bottom w:w="90" w:type="dxa"/>
              <w:end w:w="120" w:type="dxa"/>
            </w:tcMar>
            <w:vAlign w:val="top"/>
          </w:tcPr>
          <w:p>
            <w:pPr>
              <w:spacing w:after="80"/>
            </w:pPr>
            <w:r>
              <w:rPr>
                <w:rFonts w:ascii="Arial" w:hAnsi="Arial"/>
                <w:sz w:val="18"/>
              </w:rPr>
              <w:t>Privacy claim mismatch</w:t>
            </w:r>
          </w:p>
        </w:tc>
        <w:tc>
          <w:tcPr>
            <w:tcW w:type="dxa" w:w="3384"/>
            <w:tcMar>
              <w:top w:w="90" w:type="dxa"/>
              <w:start w:w="120" w:type="dxa"/>
              <w:bottom w:w="90" w:type="dxa"/>
              <w:end w:w="120" w:type="dxa"/>
            </w:tcMar>
            <w:vAlign w:val="top"/>
          </w:tcPr>
          <w:p>
            <w:pPr>
              <w:spacing w:after="80"/>
            </w:pPr>
            <w:r>
              <w:rPr>
                <w:rFonts w:ascii="Arial" w:hAnsi="Arial"/>
                <w:sz w:val="18"/>
              </w:rPr>
              <w:t>Marketing says data stays local while hosted processing receives images or face data.</w:t>
            </w:r>
          </w:p>
        </w:tc>
        <w:tc>
          <w:tcPr>
            <w:tcW w:type="dxa" w:w="3744"/>
            <w:tcMar>
              <w:top w:w="90" w:type="dxa"/>
              <w:start w:w="120" w:type="dxa"/>
              <w:bottom w:w="90" w:type="dxa"/>
              <w:end w:w="120" w:type="dxa"/>
            </w:tcMar>
            <w:vAlign w:val="top"/>
          </w:tcPr>
          <w:p>
            <w:pPr>
              <w:spacing w:after="80"/>
            </w:pPr>
            <w:r>
              <w:rPr>
                <w:rFonts w:ascii="Arial" w:hAnsi="Arial"/>
                <w:sz w:val="18"/>
              </w:rPr>
              <w:t>Publish a plain data-flow page for each mode; show retention, deletion, and transfer boundaries.</w:t>
            </w:r>
          </w:p>
        </w:tc>
      </w:tr>
      <w:tr>
        <w:tc>
          <w:tcPr>
            <w:tcW w:type="dxa" w:w="2232"/>
            <w:tcMar>
              <w:top w:w="90" w:type="dxa"/>
              <w:start w:w="120" w:type="dxa"/>
              <w:bottom w:w="90" w:type="dxa"/>
              <w:end w:w="120" w:type="dxa"/>
            </w:tcMar>
            <w:vAlign w:val="top"/>
          </w:tcPr>
          <w:p>
            <w:pPr>
              <w:spacing w:after="80"/>
            </w:pPr>
            <w:r>
              <w:rPr>
                <w:rFonts w:ascii="Arial" w:hAnsi="Arial"/>
                <w:sz w:val="18"/>
              </w:rPr>
              <w:t>Open-source clone</w:t>
            </w:r>
          </w:p>
        </w:tc>
        <w:tc>
          <w:tcPr>
            <w:tcW w:type="dxa" w:w="3384"/>
            <w:tcMar>
              <w:top w:w="90" w:type="dxa"/>
              <w:start w:w="120" w:type="dxa"/>
              <w:bottom w:w="90" w:type="dxa"/>
              <w:end w:w="120" w:type="dxa"/>
            </w:tcMar>
            <w:vAlign w:val="top"/>
          </w:tcPr>
          <w:p>
            <w:pPr>
              <w:spacing w:after="80"/>
            </w:pPr>
            <w:r>
              <w:rPr>
                <w:rFonts w:ascii="Arial" w:hAnsi="Arial"/>
                <w:sz w:val="18"/>
              </w:rPr>
              <w:t>A competitor ships similar visible features.</w:t>
            </w:r>
          </w:p>
        </w:tc>
        <w:tc>
          <w:tcPr>
            <w:tcW w:type="dxa" w:w="3744"/>
            <w:tcMar>
              <w:top w:w="90" w:type="dxa"/>
              <w:start w:w="120" w:type="dxa"/>
              <w:bottom w:w="90" w:type="dxa"/>
              <w:end w:w="120" w:type="dxa"/>
            </w:tcMar>
            <w:vAlign w:val="top"/>
          </w:tcPr>
          <w:p>
            <w:pPr>
              <w:spacing w:after="80"/>
            </w:pPr>
            <w:r>
              <w:rPr>
                <w:rFonts w:ascii="Arial" w:hAnsi="Arial"/>
                <w:sz w:val="18"/>
              </w:rPr>
              <w:t>Release faster; deepen integrations, evaluation, support, onboarding, documentation, and agency relationships.</w:t>
            </w:r>
          </w:p>
        </w:tc>
      </w:tr>
      <w:tr>
        <w:tc>
          <w:tcPr>
            <w:tcW w:type="dxa" w:w="2232"/>
            <w:tcMar>
              <w:top w:w="90" w:type="dxa"/>
              <w:start w:w="120" w:type="dxa"/>
              <w:bottom w:w="90" w:type="dxa"/>
              <w:end w:w="120" w:type="dxa"/>
            </w:tcMar>
            <w:vAlign w:val="top"/>
          </w:tcPr>
          <w:p>
            <w:pPr>
              <w:spacing w:after="80"/>
            </w:pPr>
            <w:r>
              <w:rPr>
                <w:rFonts w:ascii="Arial" w:hAnsi="Arial"/>
                <w:sz w:val="18"/>
              </w:rPr>
              <w:t>Worker compromise</w:t>
            </w:r>
          </w:p>
        </w:tc>
        <w:tc>
          <w:tcPr>
            <w:tcW w:type="dxa" w:w="3384"/>
            <w:tcMar>
              <w:top w:w="90" w:type="dxa"/>
              <w:start w:w="120" w:type="dxa"/>
              <w:bottom w:w="90" w:type="dxa"/>
              <w:end w:w="120" w:type="dxa"/>
            </w:tcMar>
            <w:vAlign w:val="top"/>
          </w:tcPr>
          <w:p>
            <w:pPr>
              <w:spacing w:after="80"/>
            </w:pPr>
            <w:r>
              <w:rPr>
                <w:rFonts w:ascii="Arial" w:hAnsi="Arial"/>
                <w:sz w:val="18"/>
              </w:rPr>
              <w:t>A local app processes sensitive media and receives updates.</w:t>
            </w:r>
          </w:p>
        </w:tc>
        <w:tc>
          <w:tcPr>
            <w:tcW w:type="dxa" w:w="3744"/>
            <w:tcMar>
              <w:top w:w="90" w:type="dxa"/>
              <w:start w:w="120" w:type="dxa"/>
              <w:bottom w:w="90" w:type="dxa"/>
              <w:end w:w="120" w:type="dxa"/>
            </w:tcMar>
            <w:vAlign w:val="top"/>
          </w:tcPr>
          <w:p>
            <w:pPr>
              <w:spacing w:after="80"/>
            </w:pPr>
            <w:r>
              <w:rPr>
                <w:rFonts w:ascii="Arial" w:hAnsi="Arial"/>
                <w:sz w:val="18"/>
              </w:rPr>
              <w:t>Code signing, notarization, signed model manifests, least privilege, secure pairing, and a documented security-update process.</w:t>
            </w:r>
          </w:p>
        </w:tc>
      </w:tr>
      <w:tr>
        <w:tc>
          <w:tcPr>
            <w:tcW w:type="dxa" w:w="2232"/>
            <w:tcMar>
              <w:top w:w="90" w:type="dxa"/>
              <w:start w:w="120" w:type="dxa"/>
              <w:bottom w:w="90" w:type="dxa"/>
              <w:end w:w="120" w:type="dxa"/>
            </w:tcMar>
            <w:vAlign w:val="top"/>
          </w:tcPr>
          <w:p>
            <w:pPr>
              <w:spacing w:after="80"/>
            </w:pPr>
            <w:r>
              <w:rPr>
                <w:rFonts w:ascii="Arial" w:hAnsi="Arial"/>
                <w:sz w:val="18"/>
              </w:rPr>
              <w:t>Support burden</w:t>
            </w:r>
          </w:p>
        </w:tc>
        <w:tc>
          <w:tcPr>
            <w:tcW w:type="dxa" w:w="3384"/>
            <w:tcMar>
              <w:top w:w="90" w:type="dxa"/>
              <w:start w:w="120" w:type="dxa"/>
              <w:bottom w:w="90" w:type="dxa"/>
              <w:end w:w="120" w:type="dxa"/>
            </w:tcMar>
            <w:vAlign w:val="top"/>
          </w:tcPr>
          <w:p>
            <w:pPr>
              <w:spacing w:after="80"/>
            </w:pPr>
            <w:r>
              <w:rPr>
                <w:rFonts w:ascii="Arial" w:hAnsi="Arial"/>
                <w:sz w:val="18"/>
              </w:rPr>
              <w:t>Customer hardware varies and may be offline or underpowered.</w:t>
            </w:r>
          </w:p>
        </w:tc>
        <w:tc>
          <w:tcPr>
            <w:tcW w:type="dxa" w:w="3744"/>
            <w:tcMar>
              <w:top w:w="90" w:type="dxa"/>
              <w:start w:w="120" w:type="dxa"/>
              <w:bottom w:w="90" w:type="dxa"/>
              <w:end w:w="120" w:type="dxa"/>
            </w:tcMar>
            <w:vAlign w:val="top"/>
          </w:tcPr>
          <w:p>
            <w:pPr>
              <w:spacing w:after="80"/>
            </w:pPr>
            <w:r>
              <w:rPr>
                <w:rFonts w:ascii="Arial" w:hAnsi="Arial"/>
                <w:sz w:val="18"/>
              </w:rPr>
              <w:t>Publish supported hardware tiers, health checks, automatic fallback, remote diagnostics with consent, and hosted burst capacity.</w:t>
            </w:r>
          </w:p>
        </w:tc>
      </w:tr>
      <w:tr>
        <w:tc>
          <w:tcPr>
            <w:tcW w:type="dxa" w:w="2232"/>
            <w:tcMar>
              <w:top w:w="90" w:type="dxa"/>
              <w:start w:w="120" w:type="dxa"/>
              <w:bottom w:w="90" w:type="dxa"/>
              <w:end w:w="120" w:type="dxa"/>
            </w:tcMar>
            <w:vAlign w:val="top"/>
          </w:tcPr>
          <w:p>
            <w:pPr>
              <w:spacing w:after="80"/>
            </w:pPr>
            <w:r>
              <w:rPr>
                <w:rFonts w:ascii="Arial" w:hAnsi="Arial"/>
                <w:sz w:val="18"/>
              </w:rPr>
              <w:t>Cloud cost shock</w:t>
            </w:r>
          </w:p>
        </w:tc>
        <w:tc>
          <w:tcPr>
            <w:tcW w:type="dxa" w:w="3384"/>
            <w:tcMar>
              <w:top w:w="90" w:type="dxa"/>
              <w:start w:w="120" w:type="dxa"/>
              <w:bottom w:w="90" w:type="dxa"/>
              <w:end w:w="120" w:type="dxa"/>
            </w:tcMar>
            <w:vAlign w:val="top"/>
          </w:tcPr>
          <w:p>
            <w:pPr>
              <w:spacing w:after="80"/>
            </w:pPr>
            <w:r>
              <w:rPr>
                <w:rFonts w:ascii="Arial" w:hAnsi="Arial"/>
                <w:sz w:val="18"/>
              </w:rPr>
              <w:t>Large or inefficient jobs erase margins.</w:t>
            </w:r>
          </w:p>
        </w:tc>
        <w:tc>
          <w:tcPr>
            <w:tcW w:type="dxa" w:w="3744"/>
            <w:tcMar>
              <w:top w:w="90" w:type="dxa"/>
              <w:start w:w="120" w:type="dxa"/>
              <w:bottom w:w="90" w:type="dxa"/>
              <w:end w:w="120" w:type="dxa"/>
            </w:tcMar>
            <w:vAlign w:val="top"/>
          </w:tcPr>
          <w:p>
            <w:pPr>
              <w:spacing w:after="80"/>
            </w:pPr>
            <w:r>
              <w:rPr>
                <w:rFonts w:ascii="Arial" w:hAnsi="Arial"/>
                <w:sz w:val="18"/>
              </w:rPr>
              <w:t>Meter variable processing, route easy work locally or to CPU, batch jobs, and reserve GPUs for work that benefits.</w:t>
            </w:r>
          </w:p>
        </w:tc>
      </w:tr>
      <w:tr>
        <w:tc>
          <w:tcPr>
            <w:tcW w:type="dxa" w:w="2232"/>
            <w:tcMar>
              <w:top w:w="90" w:type="dxa"/>
              <w:start w:w="120" w:type="dxa"/>
              <w:bottom w:w="90" w:type="dxa"/>
              <w:end w:w="120" w:type="dxa"/>
            </w:tcMar>
            <w:vAlign w:val="top"/>
          </w:tcPr>
          <w:p>
            <w:pPr>
              <w:spacing w:after="80"/>
            </w:pPr>
            <w:r>
              <w:rPr>
                <w:rFonts w:ascii="Arial" w:hAnsi="Arial"/>
                <w:sz w:val="18"/>
              </w:rPr>
              <w:t>Customer lock-in concern</w:t>
            </w:r>
          </w:p>
        </w:tc>
        <w:tc>
          <w:tcPr>
            <w:tcW w:type="dxa" w:w="3384"/>
            <w:tcMar>
              <w:top w:w="90" w:type="dxa"/>
              <w:start w:w="120" w:type="dxa"/>
              <w:bottom w:w="90" w:type="dxa"/>
              <w:end w:w="120" w:type="dxa"/>
            </w:tcMar>
            <w:vAlign w:val="top"/>
          </w:tcPr>
          <w:p>
            <w:pPr>
              <w:spacing w:after="80"/>
            </w:pPr>
            <w:r>
              <w:rPr>
                <w:rFonts w:ascii="Arial" w:hAnsi="Arial"/>
                <w:sz w:val="18"/>
              </w:rPr>
              <w:t>A private worker that still traps records undermines the privacy promise.</w:t>
            </w:r>
          </w:p>
        </w:tc>
        <w:tc>
          <w:tcPr>
            <w:tcW w:type="dxa" w:w="3744"/>
            <w:tcMar>
              <w:top w:w="90" w:type="dxa"/>
              <w:start w:w="120" w:type="dxa"/>
              <w:bottom w:w="90" w:type="dxa"/>
              <w:end w:w="120" w:type="dxa"/>
            </w:tcMar>
            <w:vAlign w:val="top"/>
          </w:tcPr>
          <w:p>
            <w:pPr>
              <w:spacing w:after="80"/>
            </w:pPr>
            <w:r>
              <w:rPr>
                <w:rFonts w:ascii="Arial" w:hAnsi="Arial"/>
                <w:sz w:val="18"/>
              </w:rPr>
              <w:t>Export names, decisions, audit history, and final metadata in documented formats; provide deletion controls.</w:t>
            </w:r>
          </w:p>
        </w:tc>
      </w:tr>
      <w:tr>
        <w:tc>
          <w:tcPr>
            <w:tcW w:type="dxa" w:w="2232"/>
            <w:tcMar>
              <w:top w:w="90" w:type="dxa"/>
              <w:start w:w="120" w:type="dxa"/>
              <w:bottom w:w="90" w:type="dxa"/>
              <w:end w:w="120" w:type="dxa"/>
            </w:tcMar>
            <w:vAlign w:val="top"/>
          </w:tcPr>
          <w:p>
            <w:pPr>
              <w:spacing w:after="80"/>
            </w:pPr>
            <w:r>
              <w:rPr>
                <w:rFonts w:ascii="Arial" w:hAnsi="Arial"/>
                <w:sz w:val="18"/>
              </w:rPr>
              <w:t>Biometric regulation</w:t>
            </w:r>
          </w:p>
        </w:tc>
        <w:tc>
          <w:tcPr>
            <w:tcW w:type="dxa" w:w="3384"/>
            <w:tcMar>
              <w:top w:w="90" w:type="dxa"/>
              <w:start w:w="120" w:type="dxa"/>
              <w:bottom w:w="90" w:type="dxa"/>
              <w:end w:w="120" w:type="dxa"/>
            </w:tcMar>
            <w:vAlign w:val="top"/>
          </w:tcPr>
          <w:p>
            <w:pPr>
              <w:spacing w:after="80"/>
            </w:pPr>
            <w:r>
              <w:rPr>
                <w:rFonts w:ascii="Arial" w:hAnsi="Arial"/>
                <w:sz w:val="18"/>
              </w:rPr>
              <w:t>Face data can trigger special legal duties across jurisdictions.</w:t>
            </w:r>
          </w:p>
        </w:tc>
        <w:tc>
          <w:tcPr>
            <w:tcW w:type="dxa" w:w="3744"/>
            <w:tcMar>
              <w:top w:w="90" w:type="dxa"/>
              <w:start w:w="120" w:type="dxa"/>
              <w:bottom w:w="90" w:type="dxa"/>
              <w:end w:w="120" w:type="dxa"/>
            </w:tcMar>
            <w:vAlign w:val="top"/>
          </w:tcPr>
          <w:p>
            <w:pPr>
              <w:spacing w:after="80"/>
            </w:pPr>
            <w:r>
              <w:rPr>
                <w:rFonts w:ascii="Arial" w:hAnsi="Arial"/>
                <w:sz w:val="18"/>
              </w:rPr>
              <w:t>Minimize retention, separate identity from raw vectors, document lawful-use obligations, and obtain jurisdiction-specific legal review.</w:t>
            </w:r>
          </w:p>
        </w:tc>
      </w:tr>
    </w:tbl>
    <w:p>
      <w:pPr>
        <w:pStyle w:val="Heading1"/>
      </w:pPr>
      <w:r>
        <w:rPr>
          <w:rFonts w:ascii="Arial" w:hAnsi="Arial"/>
        </w:rPr>
        <w:t>9. Next steps and decision gates</w:t>
      </w:r>
    </w:p>
    <w:p>
      <w:pPr>
        <w:pStyle w:val="ListNumber"/>
      </w:pPr>
      <w:r>
        <w:rPr>
          <w:rFonts w:ascii="Arial" w:hAnsi="Arial"/>
          <w:b/>
        </w:rPr>
        <w:t xml:space="preserve">Now: correct the product contract: </w:t>
      </w:r>
      <w:r>
        <w:rPr>
          <w:rFonts w:ascii="Arial" w:hAnsi="Arial"/>
        </w:rPr>
        <w:t>Replace “remote-only” assumptions with “managed by default, private compute optional.” Reconcile where recognition runs and what data leaves WordPress.</w:t>
      </w:r>
    </w:p>
    <w:p>
      <w:pPr>
        <w:pStyle w:val="ListNumber"/>
      </w:pPr>
      <w:r>
        <w:rPr>
          <w:rFonts w:ascii="Arial" w:hAnsi="Arial"/>
          <w:b/>
        </w:rPr>
        <w:t xml:space="preserve">Now: define the worker contract: </w:t>
      </w:r>
      <w:r>
        <w:rPr>
          <w:rFonts w:ascii="Arial" w:hAnsi="Arial"/>
        </w:rPr>
        <w:t>Specify request, result, cancellation, retry, model version, provenance, error, and health fields. The contract must be provider-neutral.</w:t>
      </w:r>
    </w:p>
    <w:p>
      <w:pPr>
        <w:pStyle w:val="ListNumber"/>
      </w:pPr>
      <w:r>
        <w:rPr>
          <w:rFonts w:ascii="Arial" w:hAnsi="Arial"/>
          <w:b/>
        </w:rPr>
        <w:t xml:space="preserve">Next: build a narrow proof: </w:t>
      </w:r>
      <w:r>
        <w:rPr>
          <w:rFonts w:ascii="Arial" w:hAnsi="Arial"/>
        </w:rPr>
        <w:t>Package YuNet/SFace or the current production face stack in a signed Mac worker. Pair it to one WordPress test site. Do not add local captioning yet.</w:t>
      </w:r>
    </w:p>
    <w:p>
      <w:pPr>
        <w:pStyle w:val="ListNumber"/>
      </w:pPr>
      <w:r>
        <w:rPr>
          <w:rFonts w:ascii="Arial" w:hAnsi="Arial"/>
          <w:b/>
        </w:rPr>
        <w:t xml:space="preserve">Next: validate willingness to pay: </w:t>
      </w:r>
      <w:r>
        <w:rPr>
          <w:rFonts w:ascii="Arial" w:hAnsi="Arial"/>
        </w:rPr>
        <w:t>Interview and demo to 3–5 agencies or privacy-sensitive organizations. Ask for a paid pilot, not general enthusiasm.</w:t>
      </w:r>
    </w:p>
    <w:p>
      <w:pPr>
        <w:pStyle w:val="ListNumber"/>
      </w:pPr>
      <w:r>
        <w:rPr>
          <w:rFonts w:ascii="Arial" w:hAnsi="Arial"/>
          <w:b/>
        </w:rPr>
        <w:t xml:space="preserve">Then: prove operations: </w:t>
      </w:r>
      <w:r>
        <w:rPr>
          <w:rFonts w:ascii="Arial" w:hAnsi="Arial"/>
        </w:rPr>
        <w:t>Test installation, updates, offline recovery, worker replacement, failed jobs, version drift, and support diagnostics.</w:t>
      </w:r>
    </w:p>
    <w:p>
      <w:pPr>
        <w:pStyle w:val="ListNumber"/>
      </w:pPr>
      <w:r>
        <w:rPr>
          <w:rFonts w:ascii="Arial" w:hAnsi="Arial"/>
          <w:b/>
        </w:rPr>
        <w:t xml:space="preserve">Then: add local description: </w:t>
      </w:r>
      <w:r>
        <w:rPr>
          <w:rFonts w:ascii="Arial" w:hAnsi="Arial"/>
        </w:rPr>
        <w:t>Only after the worker lifecycle is stable, add a local scene-description model and compare quality, speed, energy use, and support burden with hosted processing.</w:t>
      </w:r>
    </w:p>
    <w:p>
      <w:pPr>
        <w:pStyle w:val="ListNumber"/>
      </w:pPr>
      <w:r>
        <w:rPr>
          <w:rFonts w:ascii="Arial" w:hAnsi="Arial"/>
          <w:b/>
        </w:rPr>
        <w:t xml:space="preserve">Pricing gate: </w:t>
      </w:r>
      <w:r>
        <w:rPr>
          <w:rFonts w:ascii="Arial" w:hAnsi="Arial"/>
        </w:rPr>
        <w:t>Price sites, teams, workflow, private deployment, and support. Keep hosted processing as a metered add-on or included allowance.</w:t>
      </w:r>
    </w:p>
    <w:p>
      <w:pPr>
        <w:pStyle w:val="ListNumber"/>
      </w:pPr>
      <w:r>
        <w:rPr>
          <w:rFonts w:ascii="Arial" w:hAnsi="Arial"/>
          <w:b/>
        </w:rPr>
        <w:t xml:space="preserve">Enterprise gate: </w:t>
      </w:r>
      <w:r>
        <w:rPr>
          <w:rFonts w:ascii="Arial" w:hAnsi="Arial"/>
        </w:rPr>
        <w:t>Offer private server/VPC deployment only after repeated qualified demand and a support model with positive margins.</w:t>
      </w:r>
    </w:p>
    <w:p>
      <w:pPr>
        <w:pStyle w:val="Heading2"/>
      </w:pPr>
      <w:r>
        <w:rPr>
          <w:rFonts w:ascii="Arial" w:hAnsi="Arial"/>
        </w:rPr>
        <w:t>Success measures for the pilot</w:t>
      </w:r>
    </w:p>
    <w:p>
      <w:pPr>
        <w:pStyle w:val="ListBullet"/>
      </w:pPr>
      <w:r>
        <w:rPr>
          <w:rFonts w:ascii="Arial" w:hAnsi="Arial"/>
        </w:rPr>
        <w:t>A non-technical user installs and pairs the worker without developer help.</w:t>
      </w:r>
    </w:p>
    <w:p>
      <w:pPr>
        <w:pStyle w:val="ListBullet"/>
      </w:pPr>
      <w:r>
        <w:rPr>
          <w:rFonts w:ascii="Arial" w:hAnsi="Arial"/>
        </w:rPr>
        <w:t>The same test library produces compatible identity and provenance records in managed and private modes.</w:t>
      </w:r>
    </w:p>
    <w:p>
      <w:pPr>
        <w:pStyle w:val="ListBullet"/>
      </w:pPr>
      <w:r>
        <w:rPr>
          <w:rFonts w:ascii="Arial" w:hAnsi="Arial"/>
        </w:rPr>
        <w:t>Interrupted work resumes without lost decisions or duplicate charges.</w:t>
      </w:r>
    </w:p>
    <w:p>
      <w:pPr>
        <w:pStyle w:val="ListBullet"/>
      </w:pPr>
      <w:r>
        <w:rPr>
          <w:rFonts w:ascii="Arial" w:hAnsi="Arial"/>
        </w:rPr>
        <w:t>At least two pilot customers commit money or a signed purchase intent for private processing.</w:t>
      </w:r>
    </w:p>
    <w:p>
      <w:pPr>
        <w:pStyle w:val="ListBullet"/>
      </w:pPr>
      <w:r>
        <w:rPr>
          <w:rFonts w:ascii="Arial" w:hAnsi="Arial"/>
        </w:rPr>
        <w:t>Support time and local hardware requirements are low enough to sustain the proposed price.</w:t>
      </w:r>
    </w:p>
    <w:p>
      <w:pPr>
        <w:pStyle w:val="Heading1"/>
      </w:pPr>
      <w:r>
        <w:rPr>
          <w:rFonts w:ascii="Arial" w:hAnsi="Arial"/>
        </w:rPr>
        <w:t>10. Documentation corrections</w:t>
      </w:r>
    </w:p>
    <w:p>
      <w:r>
        <w:rPr>
          <w:rFonts w:ascii="Arial" w:hAnsi="Arial"/>
        </w:rPr>
        <w:t>The available feature list is useful but should not be treated as the current product contract without revision:</w:t>
      </w:r>
    </w:p>
    <w:p>
      <w:pPr>
        <w:pStyle w:val="ListBullet"/>
      </w:pPr>
      <w:r>
        <w:rPr>
          <w:rFonts w:ascii="Arial" w:hAnsi="Arial"/>
        </w:rPr>
        <w:t>It says face detection and clustering run on the hosted service, then lists “Self-hosted FastAPI” as a technical requirement. Choose and explain the supported modes.</w:t>
      </w:r>
    </w:p>
    <w:p>
      <w:pPr>
        <w:pStyle w:val="ListBullet"/>
      </w:pPr>
      <w:r>
        <w:rPr>
          <w:rFonts w:ascii="Arial" w:hAnsi="Arial"/>
        </w:rPr>
        <w:t>It says a self-hosted option is future work. Rename this to “Private Worker” or another customer-facing term if the desktop pairing model is adopted; “self-hosted” often implies command-line deployment.</w:t>
      </w:r>
    </w:p>
    <w:p>
      <w:pPr>
        <w:pStyle w:val="ListBullet"/>
      </w:pPr>
      <w:r>
        <w:rPr>
          <w:rFonts w:ascii="Arial" w:hAnsi="Arial"/>
        </w:rPr>
        <w:t>It identifies InsightFace/ArcFace as current, while the latest session reasoning refers to a lighter CPU-first face stack. Confirm implementation before publishing model names.</w:t>
      </w:r>
    </w:p>
    <w:p>
      <w:pPr>
        <w:pStyle w:val="ListBullet"/>
      </w:pPr>
      <w:r>
        <w:rPr>
          <w:rFonts w:ascii="Arial" w:hAnsi="Arial"/>
        </w:rPr>
        <w:t>It calls AltContext an alt-text product although the listed current milestone centers on recognition and curation. Separate shipped, tested, beta, and planned features.</w:t>
      </w:r>
    </w:p>
    <w:p>
      <w:pPr>
        <w:pStyle w:val="ListBullet"/>
      </w:pPr>
      <w:r>
        <w:rPr>
          <w:rFonts w:ascii="Arial" w:hAnsi="Arial"/>
        </w:rPr>
        <w:t>It says WordPress stores all people, names, and decisions and that they never leave the server, while also saying edits flow to the hosted service. Describe exactly which fields cross the boundary.</w:t>
      </w:r>
    </w:p>
    <w:p>
      <w:pPr>
        <w:pStyle w:val="ListBullet"/>
      </w:pPr>
      <w:r>
        <w:rPr>
          <w:rFonts w:ascii="Arial" w:hAnsi="Arial"/>
        </w:rPr>
        <w:t>It promises GDPR and CCPA readiness. Keep the workflow features, but have the legal claim reviewed and state customer responsibilities for lawful face recognition use.</w:t>
      </w:r>
    </w:p>
    <w:p>
      <w:pPr>
        <w:pStyle w:val="Heading1"/>
      </w:pPr>
      <w:r>
        <w:rPr>
          <w:rFonts w:ascii="Arial" w:hAnsi="Arial"/>
        </w:rPr>
        <w:t>11. Sources and session limits</w:t>
      </w:r>
    </w:p>
    <w:p>
      <w:pPr>
        <w:pStyle w:val="Heading2"/>
      </w:pPr>
      <w:r>
        <w:rPr>
          <w:rFonts w:ascii="Arial" w:hAnsi="Arial"/>
        </w:rPr>
        <w:t>Project materials used</w:t>
      </w:r>
    </w:p>
    <w:p>
      <w:r>
        <w:rPr>
          <w:rFonts w:ascii="Arial" w:hAnsi="Arial"/>
        </w:rPr>
        <w:t>• Alt Context — Feature List, version 1.0 (16 March 2026), supplied in this session.</w:t>
        <w:br/>
        <w:t>• “The Twelve Skills,” supplied in this session. Its validation, business model, go-to-market, product, operations, and legal framing informed the decision gates; it did not provide technical evidence.</w:t>
      </w:r>
    </w:p>
    <w:p>
      <w:pPr>
        <w:pStyle w:val="Heading2"/>
        <w:spacing w:after="40" w:line="240" w:lineRule="auto"/>
      </w:pPr>
      <w:r>
        <w:rPr>
          <w:rFonts w:ascii="Arial" w:hAnsi="Arial"/>
          <w:sz w:val="18"/>
        </w:rPr>
        <w:t>External references</w:t>
      </w:r>
    </w:p>
    <w:p>
      <w:pPr>
        <w:pStyle w:val="ListBullet"/>
        <w:spacing w:after="40" w:line="240" w:lineRule="auto"/>
      </w:pPr>
      <w:hyperlink r:id="rId11">
        <w:r>
          <w:rPr>
            <w:color w:val="2E74B5"/>
            <w:u w:val="single"/>
          </w:rPr>
          <w:t>Tom’s Hardware — reported M7 Ultra roadmap and 1.5 TB rumour</w:t>
        </w:r>
      </w:hyperlink>
    </w:p>
    <w:p>
      <w:pPr>
        <w:pStyle w:val="ListBullet"/>
        <w:spacing w:after="40" w:line="240" w:lineRule="auto"/>
      </w:pPr>
      <w:hyperlink r:id="rId12">
        <w:r>
          <w:rPr>
            <w:color w:val="2E74B5"/>
            <w:u w:val="single"/>
          </w:rPr>
          <w:t>Apple — M3 Ultra and up to 512 GB unified memory</w:t>
        </w:r>
      </w:hyperlink>
    </w:p>
    <w:p>
      <w:pPr>
        <w:pStyle w:val="ListBullet"/>
        <w:spacing w:after="40" w:line="240" w:lineRule="auto"/>
      </w:pPr>
      <w:hyperlink r:id="rId13">
        <w:r>
          <w:rPr>
            <w:color w:val="2E74B5"/>
            <w:u w:val="single"/>
          </w:rPr>
          <w:t>Apple Developer — running local agentic AI on Mac with MLX</w:t>
        </w:r>
      </w:hyperlink>
    </w:p>
    <w:p>
      <w:pPr>
        <w:pStyle w:val="ListBullet"/>
        <w:spacing w:after="40" w:line="240" w:lineRule="auto"/>
      </w:pPr>
      <w:hyperlink r:id="rId14">
        <w:r>
          <w:rPr>
            <w:color w:val="2E74B5"/>
            <w:u w:val="single"/>
          </w:rPr>
          <w:t>WordPress — licence position</w:t>
        </w:r>
      </w:hyperlink>
    </w:p>
    <w:p>
      <w:pPr>
        <w:pStyle w:val="ListBullet"/>
        <w:spacing w:after="40" w:line="240" w:lineRule="auto"/>
      </w:pPr>
      <w:hyperlink r:id="rId15">
        <w:r>
          <w:rPr>
            <w:color w:val="2E74B5"/>
            <w:u w:val="single"/>
          </w:rPr>
          <w:t>WordPress Plugin Handbook — detailed directory guidelines</w:t>
        </w:r>
      </w:hyperlink>
    </w:p>
    <w:p>
      <w:pPr>
        <w:pStyle w:val="ListBullet"/>
        <w:spacing w:after="40" w:line="240" w:lineRule="auto"/>
      </w:pPr>
      <w:hyperlink r:id="rId16">
        <w:r>
          <w:rPr>
            <w:color w:val="2E74B5"/>
            <w:u w:val="single"/>
          </w:rPr>
          <w:t>PhotoShelter — PeopleID face tagging</w:t>
        </w:r>
      </w:hyperlink>
    </w:p>
    <w:p>
      <w:pPr>
        <w:pStyle w:val="ListBullet"/>
        <w:spacing w:after="40" w:line="240" w:lineRule="auto"/>
      </w:pPr>
      <w:hyperlink r:id="rId17">
        <w:r>
          <w:rPr>
            <w:color w:val="2E74B5"/>
            <w:u w:val="single"/>
          </w:rPr>
          <w:t>PhotoShelter — RosterID</w:t>
        </w:r>
      </w:hyperlink>
    </w:p>
    <w:p>
      <w:pPr>
        <w:pStyle w:val="ListBullet"/>
        <w:spacing w:after="40" w:line="240" w:lineRule="auto"/>
      </w:pPr>
      <w:hyperlink r:id="rId18">
        <w:r>
          <w:rPr>
            <w:color w:val="2E74B5"/>
            <w:u w:val="single"/>
          </w:rPr>
          <w:t>Brandfolder — product capabilities</w:t>
        </w:r>
      </w:hyperlink>
    </w:p>
    <w:p>
      <w:pPr>
        <w:pStyle w:val="ListBullet"/>
        <w:spacing w:after="40" w:line="240" w:lineRule="auto"/>
      </w:pPr>
      <w:hyperlink r:id="rId19">
        <w:r>
          <w:rPr>
            <w:color w:val="2E74B5"/>
            <w:u w:val="single"/>
          </w:rPr>
          <w:t>Brandfolder — People Tagging</w:t>
        </w:r>
      </w:hyperlink>
    </w:p>
    <w:p>
      <w:pPr>
        <w:pStyle w:val="ListBullet"/>
        <w:spacing w:after="40" w:line="240" w:lineRule="auto"/>
      </w:pPr>
      <w:hyperlink r:id="rId20">
        <w:r>
          <w:rPr>
            <w:color w:val="2E74B5"/>
            <w:u w:val="single"/>
          </w:rPr>
          <w:t>Heuristics Canon repository</w:t>
        </w:r>
      </w:hyperlink>
    </w:p>
    <w:p>
      <w:pPr>
        <w:pStyle w:val="ListBullet"/>
        <w:spacing w:after="40" w:line="240" w:lineRule="auto"/>
      </w:pPr>
      <w:hyperlink r:id="rId21">
        <w:r>
          <w:rPr>
            <w:color w:val="2E74B5"/>
            <w:u w:val="single"/>
          </w:rPr>
          <w:t>Heuristics Canon — business and marketing lexicon</w:t>
        </w:r>
      </w:hyperlink>
    </w:p>
    <w:p>
      <w:pPr>
        <w:pStyle w:val="ListBullet"/>
        <w:spacing w:after="40" w:line="240" w:lineRule="auto"/>
      </w:pPr>
      <w:hyperlink r:id="rId22">
        <w:r>
          <w:rPr>
            <w:color w:val="2E74B5"/>
            <w:u w:val="single"/>
          </w:rPr>
          <w:t>Heuristics Canon — cost and performance lexicon</w:t>
        </w:r>
      </w:hyperlink>
    </w:p>
    <w:p>
      <w:pPr>
        <w:pStyle w:val="ListBullet"/>
        <w:spacing w:after="40" w:line="240" w:lineRule="auto"/>
      </w:pPr>
      <w:hyperlink r:id="rId23">
        <w:r>
          <w:rPr>
            <w:color w:val="2E74B5"/>
            <w:u w:val="single"/>
          </w:rPr>
          <w:t>Heuristics Canon — claims lexicon</w:t>
        </w:r>
      </w:hyperlink>
    </w:p>
    <w:p>
      <w:pPr>
        <w:pStyle w:val="Heading2"/>
        <w:spacing w:after="40" w:line="240" w:lineRule="auto"/>
      </w:pPr>
      <w:r>
        <w:rPr>
          <w:rFonts w:ascii="Arial" w:hAnsi="Arial"/>
          <w:sz w:val="18"/>
        </w:rPr>
        <w:t>Files not available in this session</w:t>
      </w:r>
    </w:p>
    <w:p>
      <w:pPr>
        <w:spacing w:after="40" w:line="240" w:lineRule="auto"/>
      </w:pPr>
      <w:r>
        <w:rPr>
          <w:rFonts w:ascii="Arial" w:hAnsi="Arial"/>
          <w:sz w:val="18"/>
        </w:rPr>
        <w:t>The following attachments failed to arrive and were not read or used:</w:t>
      </w:r>
    </w:p>
    <w:p>
      <w:pPr>
        <w:pStyle w:val="ListBullet"/>
        <w:spacing w:after="40" w:line="240" w:lineRule="auto"/>
      </w:pPr>
      <w:r>
        <w:rPr>
          <w:rFonts w:ascii="Arial" w:hAnsi="Arial"/>
          <w:sz w:val="18"/>
        </w:rPr>
        <w:t>Wordpress plugin Development — Williams et al. (2020) .epub</w:t>
      </w:r>
    </w:p>
    <w:p>
      <w:pPr>
        <w:pStyle w:val="ListBullet"/>
        <w:spacing w:after="40" w:line="240" w:lineRule="auto"/>
      </w:pPr>
      <w:r>
        <w:rPr>
          <w:rFonts w:ascii="Arial" w:hAnsi="Arial"/>
          <w:sz w:val="18"/>
        </w:rPr>
        <w:t>WordPress Plugin Development Cookbook — Lefebvre (2022) .epub</w:t>
      </w:r>
    </w:p>
    <w:p>
      <w:pPr>
        <w:pStyle w:val="ListBullet"/>
        <w:spacing w:after="40" w:line="240" w:lineRule="auto"/>
      </w:pPr>
      <w:r>
        <w:rPr>
          <w:rFonts w:ascii="Arial" w:hAnsi="Arial"/>
          <w:sz w:val="18"/>
        </w:rPr>
        <w:t>Test-Driven Development with PHP 8 — Sarabia &amp; Hansen (2023) .pdf</w:t>
      </w:r>
    </w:p>
    <w:p>
      <w:pPr>
        <w:pStyle w:val="ListBullet"/>
        <w:spacing w:after="40" w:line="240" w:lineRule="auto"/>
      </w:pPr>
      <w:r>
        <w:rPr>
          <w:rFonts w:ascii="Arial" w:hAnsi="Arial"/>
          <w:sz w:val="18"/>
        </w:rPr>
        <w:t>HF-model-recommendations.rtf</w:t>
      </w:r>
    </w:p>
    <w:p>
      <w:pPr>
        <w:pStyle w:val="ListBullet"/>
        <w:spacing w:after="40" w:line="240" w:lineRule="auto"/>
      </w:pPr>
      <w:r>
        <w:rPr>
          <w:rFonts w:ascii="Arial" w:hAnsi="Arial"/>
          <w:sz w:val="18"/>
        </w:rPr>
        <w:t>roadmap-v3.hybrid.md</w:t>
      </w:r>
    </w:p>
    <w:p>
      <w:pPr>
        <w:pStyle w:val="ListBullet"/>
        <w:spacing w:after="40" w:line="240" w:lineRule="auto"/>
      </w:pPr>
      <w:r>
        <w:rPr>
          <w:rFonts w:ascii="Arial" w:hAnsi="Arial"/>
          <w:sz w:val="18"/>
        </w:rPr>
        <w:t>face-cluster-editing-plan.md</w:t>
      </w:r>
    </w:p>
    <w:p>
      <w:pPr>
        <w:spacing w:after="40" w:line="240" w:lineRule="auto"/>
      </w:pPr>
      <w:r>
        <w:rPr>
          <w:rFonts w:ascii="Arial" w:hAnsi="Arial"/>
          <w:sz w:val="18"/>
        </w:rPr>
        <w:t>Because the latest roadmap and face-cluster plan were unavailable, the recommended direction is a strategy decision record, not a line-by-line roadmap validation. Re-upload those files before converting these recommendations into final implementation commitments.</w:t>
      </w:r>
    </w:p>
    <w:sectPr w:rsidR="00FC693F" w:rsidRPr="0006063C" w:rsidSect="00034616">
      <w:headerReference w:type="default" r:id="rId9"/>
      <w:footerReference w:type="default" r:id="rId10"/>
      <w:pgSz w:w="12240" w:h="15840"/>
      <w:pgMar w:top="1037" w:right="1152" w:bottom="979"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AltContext local-compute strategy  •  31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6"/>
      </w:rPr>
      <w:t>ALTCONTEXT  |  STRATEGY SESSION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547"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605" w:hanging="317"/>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omshardware.com/tech-industry/semiconductors/apples-rumored-m7-ultra-targets-1-5tb-of-memory-and-blackwell-class-ai" TargetMode="External"/><Relationship Id="rId12" Type="http://schemas.openxmlformats.org/officeDocument/2006/relationships/hyperlink" Target="https://www.apple.com/newsroom/2025/03/apple-reveals-m3-ultra-taking-apple-silicon-to-a-new-extreme/" TargetMode="External"/><Relationship Id="rId13" Type="http://schemas.openxmlformats.org/officeDocument/2006/relationships/hyperlink" Target="https://developer.apple.com/videos/play/wwdc2026/232/" TargetMode="External"/><Relationship Id="rId14" Type="http://schemas.openxmlformats.org/officeDocument/2006/relationships/hyperlink" Target="https://wordpress.org/about/license/" TargetMode="External"/><Relationship Id="rId15" Type="http://schemas.openxmlformats.org/officeDocument/2006/relationships/hyperlink" Target="https://developer.wordpress.org/plugins/wordpress-org/detailed-plugin-guidelines/" TargetMode="External"/><Relationship Id="rId16" Type="http://schemas.openxmlformats.org/officeDocument/2006/relationships/hyperlink" Target="https://go.photoshelter.com/brands/blog/facial-recognition-auto-tagging-peopleid/" TargetMode="External"/><Relationship Id="rId17" Type="http://schemas.openxmlformats.org/officeDocument/2006/relationships/hyperlink" Target="https://go.photoshelter.com/brands/blog/artificial-intelligence-automated-metadata-rosterid/" TargetMode="External"/><Relationship Id="rId18" Type="http://schemas.openxmlformats.org/officeDocument/2006/relationships/hyperlink" Target="https://brandfolder.com/product/" TargetMode="External"/><Relationship Id="rId19" Type="http://schemas.openxmlformats.org/officeDocument/2006/relationships/hyperlink" Target="https://brandfolder.com/resources/AI-people-tagging/" TargetMode="External"/><Relationship Id="rId20" Type="http://schemas.openxmlformats.org/officeDocument/2006/relationships/hyperlink" Target="https://github.com/darce/heuristics-canon" TargetMode="External"/><Relationship Id="rId21" Type="http://schemas.openxmlformats.org/officeDocument/2006/relationships/hyperlink" Target="https://github.com/darce/heuristics-canon/blob/main/lexicons/business-marketing.md" TargetMode="External"/><Relationship Id="rId22" Type="http://schemas.openxmlformats.org/officeDocument/2006/relationships/hyperlink" Target="https://github.com/darce/heuristics-canon/blob/main/lexicons/cost-performance.md" TargetMode="External"/><Relationship Id="rId23" Type="http://schemas.openxmlformats.org/officeDocument/2006/relationships/hyperlink" Target="https://github.com/darce/heuristics-canon/blob/main/lexicons/claim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AltContext in a Local-AI Market</dc:title>
  <dc:subject>Strategy session record: product direction, moat, open-source implications, risks, and next steps</dc:subject>
  <dc:creator>Daniel Arcé / OpenAI</dc:creator>
  <cp:keywords>AltContext, WordPress, local AI, face recognition, clustering, open source,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