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</w:p>
    <w:bookmarkStart w:id="9" w:name="sinopse"/>
    <w:p>
      <w:pPr>
        <w:pStyle w:val="Heading1"/>
      </w:pPr>
      <w:r>
        <w:t xml:space="preserve">Sinopse</w:t>
      </w:r>
    </w:p>
    <w:p>
      <w:pPr>
        <w:pStyle w:val="FirstParagraph"/>
      </w:pPr>
      <w:r>
        <w:rPr>
          <w:b/>
          <w:bCs/>
        </w:rPr>
        <w:t xml:space="preserve">Microeconomia: Do Zero ao Equilíbrio (e Além)</w:t>
      </w:r>
      <w:r>
        <w:t xml:space="preserve"> </w:t>
      </w:r>
      <w:r>
        <w:t xml:space="preserve">é um livro-texto de microeconomia para graduação avançada e pós-graduação, escrito integralmente em português brasileiro. A obra cobre os tópicos centrais da teoria dos preços — do consumidor à firma, do equilíbrio parcial ao geral, de poder de mercado a falhas de mercado — com rigor matemático comparável ao de Nicholson &amp; Snyder e Varian, mas com uma linguagem acessível e exemplos ancorados na realidade brasileira.</w:t>
      </w:r>
    </w:p>
    <w:p>
      <w:pPr>
        <w:pStyle w:val="BodyText"/>
      </w:pPr>
      <w:r>
        <w:t xml:space="preserve">O diferencial do projeto é a combinação de três elementos raramente encontrados juntos no mercado editorial de economia em português: (i)</w:t>
      </w:r>
      <w:r>
        <w:t xml:space="preserve"> </w:t>
      </w:r>
      <w:r>
        <w:rPr>
          <w:b/>
          <w:bCs/>
        </w:rPr>
        <w:t xml:space="preserve">rigor formal</w:t>
      </w:r>
      <w:r>
        <w:t xml:space="preserve"> </w:t>
      </w:r>
      <w:r>
        <w:t xml:space="preserve">— demonstrações completas, condições de primeira e segunda ordem, dualidade; (ii)</w:t>
      </w:r>
      <w:r>
        <w:t xml:space="preserve"> </w:t>
      </w:r>
      <w:r>
        <w:rPr>
          <w:b/>
          <w:bCs/>
        </w:rPr>
        <w:t xml:space="preserve">ancoragem empírica</w:t>
      </w:r>
      <w:r>
        <w:t xml:space="preserve"> </w:t>
      </w:r>
      <w:r>
        <w:t xml:space="preserve">— boxes com dados do IBGE, IPEA, CADE, ANP e outros órgãos brasileiros em cada capítulo; e (iii)</w:t>
      </w:r>
      <w:r>
        <w:t xml:space="preserve"> </w:t>
      </w:r>
      <w:r>
        <w:rPr>
          <w:b/>
          <w:bCs/>
        </w:rPr>
        <w:t xml:space="preserve">interatividade</w:t>
      </w:r>
      <w:r>
        <w:t xml:space="preserve"> </w:t>
      </w:r>
      <w:r>
        <w:t xml:space="preserve">— mais de 230 gráficos manipuláveis que permitem ao leitor arrastar curvas, ajustar parâmetros e visualizar a teoria se movendo em tempo real.</w:t>
      </w:r>
    </w:p>
    <w:p>
      <w:pPr>
        <w:pStyle w:val="BodyText"/>
      </w:pPr>
      <w:r>
        <w:t xml:space="preserve">O livro está completo (24 capítulos, 12 partes) e em uso ativo em disciplinas do Insper. A versão digital, construída sobre plataforma web moderna, já acumula conteúdo equivalente a aproximadamente 1.700 páginas impressas. A presente proposta visa a publicação de uma edição impressa que complemente a experiência digital — com QR codes conectando cada gráfico estático à sua versão interativa online.</w:t>
      </w:r>
    </w:p>
    <w:p>
      <w:pPr>
        <w:pStyle w:val="BodyText"/>
      </w:pPr>
      <w:r>
        <w:t xml:space="preserve">A obra é, simultaneamente, um livro-texto para sala de aula, uma referência de consulta para profissionais e um instrumento de preparação para a ANPEC, com mais de 330 questões comentadas do exame nacional.</w:t>
      </w:r>
    </w:p>
    <w:bookmarkEnd w:id="9"/>
    <w:bookmarkStart w:id="10" w:name="público-alvo"/>
    <w:p>
      <w:pPr>
        <w:pStyle w:val="Heading1"/>
      </w:pPr>
      <w:r>
        <w:t xml:space="preserve">Público-Alvo</w:t>
      </w:r>
    </w:p>
    <w:p>
      <w:pPr>
        <w:pStyle w:val="FirstParagraph"/>
      </w:pPr>
      <w:r>
        <w:t xml:space="preserve">O livro destina-se a cinco públicos principais: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Graduandos em Economia</w:t>
      </w:r>
      <w:r>
        <w:t xml:space="preserve"> </w:t>
      </w:r>
      <w:r>
        <w:t xml:space="preserve">(3º–4º ano) que cursam Microeconomia Intermediária ou Avançada e necessitam de tratamento formal acessível, com exemplos em português e exercícios integrados ao texto.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Estudantes de mestrado e doutorado</w:t>
      </w:r>
      <w:r>
        <w:t xml:space="preserve"> </w:t>
      </w:r>
      <w:r>
        <w:t xml:space="preserve">em Economia, Administração e áreas correlatas que buscam uma referência intermediária entre Varian e Mas-Colell, com cobertura de tópicos avançados (equilíbrio geral, teoria dos jogos bayesiana, mecanismos, economia da informação).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Candidatos à ANPEC</w:t>
      </w:r>
      <w:r>
        <w:t xml:space="preserve"> </w:t>
      </w:r>
      <w:r>
        <w:t xml:space="preserve">que precisam de preparação rigorosa com exercícios no formato da prova, gabaritos comentados e armadilhas conceituais explicitadas.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Profissionais</w:t>
      </w:r>
      <w:r>
        <w:t xml:space="preserve"> </w:t>
      </w:r>
      <w:r>
        <w:t xml:space="preserve">de regulação (CADE, ANEEL, ANP, ANS), política pública, consultoria e mercado financeiro que desejam revisitar fundamentos microeconômicos com aplicações contemporâneas e dados brasileiros.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Autodidatas com base quantitativa</w:t>
      </w:r>
      <w:r>
        <w:t xml:space="preserve"> </w:t>
      </w:r>
      <w:r>
        <w:t xml:space="preserve">— engenheiros, cientistas de dados e profissionais de áreas STEM que buscam formação sólida em microeconomia com abordagem rigorosa mas não intimidante.</w:t>
      </w:r>
    </w:p>
    <w:p>
      <w:pPr>
        <w:pStyle w:val="FirstParagraph"/>
      </w:pPr>
      <w:r>
        <w:t xml:space="preserve">O mercado brasileiro de livros-texto de microeconomia em nível intermediário-avançado é dominado por traduções (Varian, Pindyck &amp; Rubinfeld) que, embora tecnicamente corretas, não oferecem exemplos brasileiros nem interatividade. Este livro preenche essa lacuna.</w:t>
      </w:r>
    </w:p>
    <w:bookmarkEnd w:id="10"/>
    <w:bookmarkStart w:id="19" w:name="diferencial-competitivo"/>
    <w:p>
      <w:pPr>
        <w:pStyle w:val="Heading1"/>
      </w:pPr>
      <w:r>
        <w:t xml:space="preserve">Diferencial Competitivo</w:t>
      </w:r>
    </w:p>
    <w:bookmarkStart w:id="11" w:name="por-que-este-livro-é-necessário"/>
    <w:p>
      <w:pPr>
        <w:pStyle w:val="Heading2"/>
      </w:pPr>
      <w:r>
        <w:t xml:space="preserve">Por que este livro é necessário</w:t>
      </w:r>
    </w:p>
    <w:p>
      <w:pPr>
        <w:pStyle w:val="FirstParagraph"/>
      </w:pPr>
      <w:r>
        <w:t xml:space="preserve">O ensino de microeconomia no Brasil enfrenta um paradoxo: os melhores manuais foram escritos em inglês, para um público que vive em outra realidade econômica. As traduções disponíveis reproduzem exemplos americanos e europeus sem adaptação substantiva. O estudante brasileiro aprende o teorema de Coase com exemplos de Chicago e a discriminação de preços com dados da FTC — mas nunca vê a PNAD, o CADE ou a ANP como fontes de ilustração microeconômica.</w:t>
      </w:r>
    </w:p>
    <w:bookmarkEnd w:id="11"/>
    <w:bookmarkStart w:id="18" w:name="seis-diferenciais-concretos"/>
    <w:p>
      <w:pPr>
        <w:pStyle w:val="Heading2"/>
      </w:pPr>
      <w:r>
        <w:t xml:space="preserve">Seis diferenciais concretos</w:t>
      </w:r>
    </w:p>
    <w:bookmarkStart w:id="12" w:name="X7436509ed4054c638a12163e693b75877eda2a6"/>
    <w:p>
      <w:pPr>
        <w:pStyle w:val="Heading3"/>
      </w:pPr>
      <w:r>
        <w:t xml:space="preserve">1. Escrito em português brasileiro, para o Brasil</w:t>
      </w:r>
    </w:p>
    <w:p>
      <w:pPr>
        <w:pStyle w:val="FirstParagraph"/>
      </w:pPr>
      <w:r>
        <w:t xml:space="preserve">Não é uma tradução. É um livro concebido desde o início para o estudante e o professor brasileiro.</w:t>
      </w:r>
      <w:r>
        <w:t xml:space="preserve"> </w:t>
      </w:r>
      <w:r>
        <w:rPr>
          <w:b/>
          <w:bCs/>
        </w:rPr>
        <w:t xml:space="preserve">92 Boxes Brasil</w:t>
      </w:r>
      <w:r>
        <w:t xml:space="preserve"> </w:t>
      </w:r>
      <w:r>
        <w:t xml:space="preserve">trazem dados reais do IBGE, IPEA, Banco Central, CADE, ANP, ANS e DATASUS. Exemplos incluem: a farinha de mandioca como bem de Giffen, o Plano Real como teoria dos jogos, o Auxílio Gás e o princípio do montante fixo, a regulação da Sabesp como monopólio natural.</w:t>
      </w:r>
    </w:p>
    <w:bookmarkEnd w:id="12"/>
    <w:bookmarkStart w:id="13" w:name="X8b744aaf858ef93ea0617555016809587716247"/>
    <w:p>
      <w:pPr>
        <w:pStyle w:val="Heading3"/>
      </w:pPr>
      <w:r>
        <w:t xml:space="preserve">2. Gráficos interativos com ponte digital-física</w:t>
      </w:r>
    </w:p>
    <w:p>
      <w:pPr>
        <w:pStyle w:val="FirstParagraph"/>
      </w:pPr>
      <w:r>
        <w:t xml:space="preserve">Mais de</w:t>
      </w:r>
      <w:r>
        <w:t xml:space="preserve"> </w:t>
      </w:r>
      <w:r>
        <w:rPr>
          <w:b/>
          <w:bCs/>
        </w:rPr>
        <w:t xml:space="preserve">230 gráficos interativos</w:t>
      </w:r>
      <w:r>
        <w:t xml:space="preserve"> </w:t>
      </w:r>
      <w:r>
        <w:t xml:space="preserve">construídos com JSXGraph, Plotly.js e WebR, integrados ao texto. Na versão impressa, cada gráfico aparece como imagem estática acompanhada de um</w:t>
      </w:r>
      <w:r>
        <w:t xml:space="preserve"> </w:t>
      </w:r>
      <w:r>
        <w:rPr>
          <w:b/>
          <w:bCs/>
        </w:rPr>
        <w:t xml:space="preserve">QR code</w:t>
      </w:r>
      <w:r>
        <w:t xml:space="preserve"> </w:t>
      </w:r>
      <w:r>
        <w:t xml:space="preserve">que leva à versão manipulável online. O leitor pode arrastar curvas de indiferença, ajustar elasticidades, observar a decomposição de Slutsky em tempo real ou simular equilíbrios de Nash alterando payoffs.</w:t>
      </w:r>
    </w:p>
    <w:bookmarkEnd w:id="13"/>
    <w:bookmarkStart w:id="14" w:name="rigor-sem-pedantismo"/>
    <w:p>
      <w:pPr>
        <w:pStyle w:val="Heading3"/>
      </w:pPr>
      <w:r>
        <w:t xml:space="preserve">3. Rigor sem pedantismo</w:t>
      </w:r>
    </w:p>
    <w:p>
      <w:pPr>
        <w:pStyle w:val="FirstParagraph"/>
      </w:pPr>
      <w:r>
        <w:t xml:space="preserve">Todos os resultados são demonstrados formalmente — condições de primeira e segunda ordem, dualidade, teoremas do envelope. Mas a matemática está a serviço da economia: cada demonstração é acompanhada de uma</w:t>
      </w:r>
      <w:r>
        <w:t xml:space="preserve"> </w:t>
      </w:r>
      <w:r>
        <w:rPr>
          <w:b/>
          <w:bCs/>
        </w:rPr>
        <w:t xml:space="preserve">Intuição Econômica</w:t>
      </w:r>
      <w:r>
        <w:t xml:space="preserve"> </w:t>
      </w:r>
      <w:r>
        <w:t xml:space="preserve">(170 boxes ao longo do livro) que traduz o formalismo em linguagem acessível, com analogias e metáforas que fixam o conceito.</w:t>
      </w:r>
    </w:p>
    <w:bookmarkEnd w:id="14"/>
    <w:bookmarkStart w:id="15" w:name="preparação-integrada-para-a-anpec"/>
    <w:p>
      <w:pPr>
        <w:pStyle w:val="Heading3"/>
      </w:pPr>
      <w:r>
        <w:t xml:space="preserve">4. Preparação integrada para a ANPEC</w:t>
      </w:r>
    </w:p>
    <w:p>
      <w:pPr>
        <w:pStyle w:val="FirstParagraph"/>
      </w:pPr>
      <w:r>
        <w:t xml:space="preserve">Mais de</w:t>
      </w:r>
      <w:r>
        <w:t xml:space="preserve"> </w:t>
      </w:r>
      <w:r>
        <w:rPr>
          <w:b/>
          <w:bCs/>
        </w:rPr>
        <w:t xml:space="preserve">330 questões ANPEC</w:t>
      </w:r>
      <w:r>
        <w:t xml:space="preserve"> </w:t>
      </w:r>
      <w:r>
        <w:t xml:space="preserve">comentadas item a item, distribuídas por capítulo na seção</w:t>
      </w:r>
      <w:r>
        <w:t xml:space="preserve"> </w:t>
      </w:r>
      <w:r>
        <w:t xml:space="preserve">“Vem, ANPEC!”</w:t>
      </w:r>
      <w:r>
        <w:t xml:space="preserve">. Além disso,</w:t>
      </w:r>
      <w:r>
        <w:t xml:space="preserve"> </w:t>
      </w:r>
      <w:r>
        <w:rPr>
          <w:b/>
          <w:bCs/>
        </w:rPr>
        <w:t xml:space="preserve">25 boxes de Erros Comuns</w:t>
      </w:r>
      <w:r>
        <w:t xml:space="preserve"> </w:t>
      </w:r>
      <w:r>
        <w:t xml:space="preserve">alertam o leitor para as armadilhas conceituais que a ANPEC explora sistematicamente.</w:t>
      </w:r>
    </w:p>
    <w:bookmarkEnd w:id="15"/>
    <w:bookmarkStart w:id="16" w:name="pesquisa-empírica-em-cada-capítulo"/>
    <w:p>
      <w:pPr>
        <w:pStyle w:val="Heading3"/>
      </w:pPr>
      <w:r>
        <w:t xml:space="preserve">5. Pesquisa empírica em cada capítulo</w:t>
      </w:r>
    </w:p>
    <w:p>
      <w:pPr>
        <w:pStyle w:val="FirstParagraph"/>
      </w:pPr>
      <w:r>
        <w:t xml:space="preserve">Cada capítulo encerra com uma seção</w:t>
      </w:r>
      <w:r>
        <w:t xml:space="preserve"> </w:t>
      </w:r>
      <w:r>
        <w:rPr>
          <w:b/>
          <w:bCs/>
        </w:rPr>
        <w:t xml:space="preserve">Pesquisa em Ação</w:t>
      </w:r>
      <w:r>
        <w:t xml:space="preserve"> </w:t>
      </w:r>
      <w:r>
        <w:t xml:space="preserve">que apresenta artigos publicados em</w:t>
      </w:r>
      <w:r>
        <w:t xml:space="preserve"> </w:t>
      </w:r>
      <w:r>
        <w:rPr>
          <w:i/>
          <w:iCs/>
        </w:rPr>
        <w:t xml:space="preserve">top journals</w:t>
      </w:r>
      <w:r>
        <w:t xml:space="preserve"> </w:t>
      </w:r>
      <w:r>
        <w:t xml:space="preserve">(AER, Econometrica, QJE, JPE, REStud), preferencialmente com dados brasileiros. São</w:t>
      </w:r>
      <w:r>
        <w:t xml:space="preserve"> </w:t>
      </w:r>
      <w:r>
        <w:rPr>
          <w:b/>
          <w:bCs/>
        </w:rPr>
        <w:t xml:space="preserve">28 seções</w:t>
      </w:r>
      <w:r>
        <w:t xml:space="preserve"> </w:t>
      </w:r>
      <w:r>
        <w:t xml:space="preserve">que expõem o aluno à fronteira da pesquisa desde o primeiro semestre.</w:t>
      </w:r>
    </w:p>
    <w:bookmarkEnd w:id="16"/>
    <w:bookmarkStart w:id="17" w:name="cobertura-moderna-e-abrangente"/>
    <w:p>
      <w:pPr>
        <w:pStyle w:val="Heading3"/>
      </w:pPr>
      <w:r>
        <w:t xml:space="preserve">6. Cobertura moderna e abrangente</w:t>
      </w:r>
    </w:p>
    <w:p>
      <w:pPr>
        <w:pStyle w:val="FirstParagraph"/>
      </w:pPr>
      <w:r>
        <w:t xml:space="preserve">Além dos tópicos clássicos, o livro inclui capítulos dedicados a</w:t>
      </w:r>
      <w:r>
        <w:t xml:space="preserve"> </w:t>
      </w:r>
      <w:r>
        <w:rPr>
          <w:b/>
          <w:bCs/>
        </w:rPr>
        <w:t xml:space="preserve">economia comportamental</w:t>
      </w:r>
      <w:r>
        <w:t xml:space="preserve"> </w:t>
      </w:r>
      <w:r>
        <w:t xml:space="preserve">(Cap. 8),</w:t>
      </w:r>
      <w:r>
        <w:t xml:space="preserve"> </w:t>
      </w:r>
      <w:r>
        <w:rPr>
          <w:b/>
          <w:bCs/>
        </w:rPr>
        <w:t xml:space="preserve">economia digital</w:t>
      </w:r>
      <w:r>
        <w:t xml:space="preserve"> </w:t>
      </w:r>
      <w:r>
        <w:t xml:space="preserve">(Cap. 21 — redes, mercados bilaterais, atenção),</w:t>
      </w:r>
      <w:r>
        <w:t xml:space="preserve"> </w:t>
      </w:r>
      <w:r>
        <w:rPr>
          <w:b/>
          <w:bCs/>
        </w:rPr>
        <w:t xml:space="preserve">economia da saúde</w:t>
      </w:r>
      <w:r>
        <w:t xml:space="preserve"> </w:t>
      </w:r>
      <w:r>
        <w:t xml:space="preserve">(Cap. 23) e</w:t>
      </w:r>
      <w:r>
        <w:t xml:space="preserve"> </w:t>
      </w:r>
      <w:r>
        <w:rPr>
          <w:b/>
          <w:bCs/>
        </w:rPr>
        <w:t xml:space="preserve">economia ambiental</w:t>
      </w:r>
      <w:r>
        <w:t xml:space="preserve"> </w:t>
      </w:r>
      <w:r>
        <w:t xml:space="preserve">(Cap. 24 — precificação de carbono, valoração ambiental) — temas que refletem a agenda contemporânea da disciplina e que são raros em manuais tradicionais.</w:t>
      </w:r>
    </w:p>
    <w:bookmarkEnd w:id="17"/>
    <w:bookmarkEnd w:id="18"/>
    <w:bookmarkEnd w:id="19"/>
    <w:bookmarkStart w:id="32" w:name="sumário-comentado"/>
    <w:p>
      <w:pPr>
        <w:pStyle w:val="Heading1"/>
      </w:pPr>
      <w:r>
        <w:t xml:space="preserve">Sumário Comentado</w:t>
      </w:r>
    </w:p>
    <w:p>
      <w:pPr>
        <w:pStyle w:val="FirstParagraph"/>
      </w:pPr>
      <w:r>
        <w:t xml:space="preserve">O livro está organizado em</w:t>
      </w:r>
      <w:r>
        <w:t xml:space="preserve"> </w:t>
      </w:r>
      <w:r>
        <w:rPr>
          <w:b/>
          <w:bCs/>
        </w:rPr>
        <w:t xml:space="preserve">12 partes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24 capítulos</w:t>
      </w:r>
      <w:r>
        <w:t xml:space="preserve">, seguindo uma progressão pedagógica deliberada: das ferramentas aos mercados, do indivíduo à interação, da competição às falhas.</w:t>
      </w:r>
    </w:p>
    <w:bookmarkStart w:id="20" w:name="parte-i-ferramentas"/>
    <w:p>
      <w:pPr>
        <w:pStyle w:val="Heading2"/>
      </w:pPr>
      <w:r>
        <w:t xml:space="preserve">Parte I — Ferramentas</w:t>
      </w:r>
    </w:p>
    <w:p>
      <w:pPr>
        <w:pStyle w:val="FirstParagraph"/>
      </w:pPr>
      <w:r>
        <w:rPr>
          <w:b/>
          <w:bCs/>
        </w:rPr>
        <w:t xml:space="preserve">Cap. 1 — Todos os Modelos Estão Errados.</w:t>
      </w:r>
      <w:r>
        <w:t xml:space="preserve"> </w:t>
      </w:r>
      <w:r>
        <w:t xml:space="preserve">Introdução à modelagem econômica, pensamento marginal e as</w:t>
      </w:r>
      <w:r>
        <w:t xml:space="preserve"> </w:t>
      </w:r>
      <w:r>
        <w:t xml:space="preserve">“regras do jogo”</w:t>
      </w:r>
      <w:r>
        <w:t xml:space="preserve"> </w:t>
      </w:r>
      <w:r>
        <w:t xml:space="preserve">da microeconomia. Estabelece a filosofia do livro: modelos são simplificações úteis, não descrições da realidade.</w:t>
      </w:r>
    </w:p>
    <w:p>
      <w:pPr>
        <w:pStyle w:val="BodyText"/>
      </w:pPr>
      <w:r>
        <w:rPr>
          <w:b/>
          <w:bCs/>
        </w:rPr>
        <w:t xml:space="preserve">Cap. 2 — O Manual de Sobrevivência Matemática.</w:t>
      </w:r>
      <w:r>
        <w:t xml:space="preserve"> </w:t>
      </w:r>
      <w:r>
        <w:t xml:space="preserve">Revisão autocontida do ferramental: otimização com e sem restrições, Lagrange, Kuhn-Tucker, teorema do envelope, estática comparativa. Garante base comum a todos os leitores.</w:t>
      </w:r>
    </w:p>
    <w:bookmarkEnd w:id="20"/>
    <w:bookmarkStart w:id="21" w:name="parte-ii-o-consumidor"/>
    <w:p>
      <w:pPr>
        <w:pStyle w:val="Heading2"/>
      </w:pPr>
      <w:r>
        <w:t xml:space="preserve">Parte II — O Consumidor</w:t>
      </w:r>
    </w:p>
    <w:p>
      <w:pPr>
        <w:pStyle w:val="FirstParagraph"/>
      </w:pPr>
      <w:r>
        <w:rPr>
          <w:b/>
          <w:bCs/>
        </w:rPr>
        <w:t xml:space="preserve">Cap. 3 — Mais É Melhor — Será?</w:t>
      </w:r>
      <w:r>
        <w:t xml:space="preserve"> </w:t>
      </w:r>
      <w:r>
        <w:t xml:space="preserve">Axiomas de preferência, curvas de indiferença, taxa marginal de substituição. Primeira exposição à formalização da escolha.</w:t>
      </w:r>
    </w:p>
    <w:p>
      <w:pPr>
        <w:pStyle w:val="BodyText"/>
      </w:pPr>
      <w:r>
        <w:rPr>
          <w:b/>
          <w:bCs/>
        </w:rPr>
        <w:t xml:space="preserve">Cap. 4 — Você Quer Tudo. Mas Não Pode.</w:t>
      </w:r>
      <w:r>
        <w:t xml:space="preserve"> </w:t>
      </w:r>
      <w:r>
        <w:t xml:space="preserve">O problema do consumidor, utilidade indireta, dualidade (minimização de gasto), catálogo de funções utilidade.</w:t>
      </w:r>
    </w:p>
    <w:p>
      <w:pPr>
        <w:pStyle w:val="BodyText"/>
      </w:pPr>
      <w:r>
        <w:rPr>
          <w:b/>
          <w:bCs/>
        </w:rPr>
        <w:t xml:space="preserve">Cap. 5 — Slutsky no Supermercado.</w:t>
      </w:r>
      <w:r>
        <w:t xml:space="preserve"> </w:t>
      </w:r>
      <w:r>
        <w:t xml:space="preserve">Decomposição de Slutsky, elasticidades, excedente do consumidor. Os gráficos interativos permitem visualizar efeito substituição e renda em tempo real.</w:t>
      </w:r>
    </w:p>
    <w:p>
      <w:pPr>
        <w:pStyle w:val="BodyText"/>
      </w:pPr>
      <w:r>
        <w:rPr>
          <w:b/>
          <w:bCs/>
        </w:rPr>
        <w:t xml:space="preserve">Cap. 6 — Substitutos, Complementos e Relações Complicadas.</w:t>
      </w:r>
      <w:r>
        <w:t xml:space="preserve"> </w:t>
      </w:r>
      <w:r>
        <w:t xml:space="preserve">Bens compostos, agregação de demanda e relações entre bens.</w:t>
      </w:r>
    </w:p>
    <w:bookmarkEnd w:id="21"/>
    <w:bookmarkStart w:id="22" w:name="Xacf73bad4ba9852775e5a855fdb8799ec1d18d3"/>
    <w:p>
      <w:pPr>
        <w:pStyle w:val="Heading2"/>
      </w:pPr>
      <w:r>
        <w:t xml:space="preserve">Parte III — Decisão sob Risco e Interação Estratégica</w:t>
      </w:r>
    </w:p>
    <w:p>
      <w:pPr>
        <w:pStyle w:val="FirstParagraph"/>
      </w:pPr>
      <w:r>
        <w:rPr>
          <w:b/>
          <w:bCs/>
        </w:rPr>
        <w:t xml:space="preserve">Cap. 7 — O Preço do Talvez.</w:t>
      </w:r>
      <w:r>
        <w:t xml:space="preserve"> </w:t>
      </w:r>
      <w:r>
        <w:t xml:space="preserve">Utilidade esperada, aversão ao risco, prêmio de risco, preferências sobre estados da natureza.</w:t>
      </w:r>
    </w:p>
    <w:p>
      <w:pPr>
        <w:pStyle w:val="BodyText"/>
      </w:pPr>
      <w:r>
        <w:rPr>
          <w:b/>
          <w:bCs/>
        </w:rPr>
        <w:t xml:space="preserve">Cap. 8 — Nem Tão Racionais Assim.</w:t>
      </w:r>
      <w:r>
        <w:t xml:space="preserve"> </w:t>
      </w:r>
      <w:r>
        <w:t xml:space="preserve">Economia comportamental: heurísticas, teoria do prospecto, desconto hiperbólico, nudges, preferências sociais.</w:t>
      </w:r>
    </w:p>
    <w:p>
      <w:pPr>
        <w:pStyle w:val="BodyText"/>
      </w:pPr>
      <w:r>
        <w:rPr>
          <w:b/>
          <w:bCs/>
        </w:rPr>
        <w:t xml:space="preserve">Cap. 9 — Quando Sua Escolha Não É Só Sua.</w:t>
      </w:r>
      <w:r>
        <w:t xml:space="preserve"> </w:t>
      </w:r>
      <w:r>
        <w:t xml:space="preserve">Teoria dos jogos em quatro módulos: (a) jogos simultâneos e equilíbrio de Nash; (b) jogos sequenciais e repetidos; (c) jogos bayesianos e leilões; (d) sinalização, seleção adversa e mecanismos.</w:t>
      </w:r>
    </w:p>
    <w:bookmarkEnd w:id="22"/>
    <w:bookmarkStart w:id="23" w:name="parte-iv-a-firma-e-os-custos"/>
    <w:p>
      <w:pPr>
        <w:pStyle w:val="Heading2"/>
      </w:pPr>
      <w:r>
        <w:t xml:space="preserve">Parte IV — A Firma e os Custos</w:t>
      </w:r>
    </w:p>
    <w:p>
      <w:pPr>
        <w:pStyle w:val="FirstParagraph"/>
      </w:pPr>
      <w:r>
        <w:rPr>
          <w:b/>
          <w:bCs/>
        </w:rPr>
        <w:t xml:space="preserve">Cap. 10 — Mais Mãos, Mais Máquinas — Mais Produto?</w:t>
      </w:r>
      <w:r>
        <w:t xml:space="preserve"> </w:t>
      </w:r>
      <w:r>
        <w:t xml:space="preserve">Funções de produção, isoquantas, elasticidade de substituição, progresso técnico.</w:t>
      </w:r>
    </w:p>
    <w:p>
      <w:pPr>
        <w:pStyle w:val="BodyText"/>
      </w:pPr>
      <w:r>
        <w:rPr>
          <w:b/>
          <w:bCs/>
        </w:rPr>
        <w:t xml:space="preserve">Cap. 11 — A Conta Sempre Chega.</w:t>
      </w:r>
      <w:r>
        <w:t xml:space="preserve"> </w:t>
      </w:r>
      <w:r>
        <w:t xml:space="preserve">Minimização de custos, curvas de custo de curto e longo prazo, envoltória.</w:t>
      </w:r>
    </w:p>
    <w:p>
      <w:pPr>
        <w:pStyle w:val="BodyText"/>
      </w:pPr>
      <w:r>
        <w:rPr>
          <w:b/>
          <w:bCs/>
        </w:rPr>
        <w:t xml:space="preserve">Cap. 12 — Lucro = Receita − Custo.</w:t>
      </w:r>
      <w:r>
        <w:t xml:space="preserve"> </w:t>
      </w:r>
      <w:r>
        <w:t xml:space="preserve">Maximização de lucro, função de oferta, função lucro e lema de Hotelling.</w:t>
      </w:r>
    </w:p>
    <w:bookmarkEnd w:id="23"/>
    <w:bookmarkStart w:id="24" w:name="parte-v-mercados-competitivos"/>
    <w:p>
      <w:pPr>
        <w:pStyle w:val="Heading2"/>
      </w:pPr>
      <w:r>
        <w:t xml:space="preserve">Parte V — Mercados Competitivos</w:t>
      </w:r>
    </w:p>
    <w:p>
      <w:pPr>
        <w:pStyle w:val="FirstParagraph"/>
      </w:pPr>
      <w:r>
        <w:rPr>
          <w:b/>
          <w:bCs/>
        </w:rPr>
        <w:t xml:space="preserve">Cap. 13 — O Leiloeiro que Ninguém Vê.</w:t>
      </w:r>
      <w:r>
        <w:t xml:space="preserve"> </w:t>
      </w:r>
      <w:r>
        <w:t xml:space="preserve">Equilíbrio parcial, eficiência de mercado, políticas de preço (teto, piso, impostos, subsídios).</w:t>
      </w:r>
    </w:p>
    <w:p>
      <w:pPr>
        <w:pStyle w:val="BodyText"/>
      </w:pPr>
      <w:r>
        <w:rPr>
          <w:b/>
          <w:bCs/>
        </w:rPr>
        <w:t xml:space="preserve">Cap. 14 — Equilíbrio Geral.</w:t>
      </w:r>
      <w:r>
        <w:t xml:space="preserve"> </w:t>
      </w:r>
      <w:r>
        <w:t xml:space="preserve">Caixa de Edgeworth, eficiência de Pareto, teoremas do bem-estar, modelo com produção, equilíbrio geral computável.</w:t>
      </w:r>
    </w:p>
    <w:bookmarkEnd w:id="24"/>
    <w:bookmarkStart w:id="25" w:name="parte-vi-poder-de-mercado"/>
    <w:p>
      <w:pPr>
        <w:pStyle w:val="Heading2"/>
      </w:pPr>
      <w:r>
        <w:t xml:space="preserve">Parte VI — Poder de Mercado</w:t>
      </w:r>
    </w:p>
    <w:p>
      <w:pPr>
        <w:pStyle w:val="FirstParagraph"/>
      </w:pPr>
      <w:r>
        <w:rPr>
          <w:b/>
          <w:bCs/>
        </w:rPr>
        <w:t xml:space="preserve">Cap. 15 — Sozinho, Feliz e Cobrando Caro.</w:t>
      </w:r>
      <w:r>
        <w:t xml:space="preserve"> </w:t>
      </w:r>
      <w:r>
        <w:t xml:space="preserve">Monopólio, índice de Lerner, discriminação de preços (1º, 2º e 3º graus), regulação.</w:t>
      </w:r>
    </w:p>
    <w:p>
      <w:pPr>
        <w:pStyle w:val="BodyText"/>
      </w:pPr>
      <w:r>
        <w:rPr>
          <w:b/>
          <w:bCs/>
        </w:rPr>
        <w:t xml:space="preserve">Cap. 16a — Poucos — e Isso Muda Tudo.</w:t>
      </w:r>
      <w:r>
        <w:t xml:space="preserve"> </w:t>
      </w:r>
      <w:r>
        <w:t xml:space="preserve">Oligopólio: Cournot, Bertrand, Stackelberg, diferenciação de produto.</w:t>
      </w:r>
    </w:p>
    <w:p>
      <w:pPr>
        <w:pStyle w:val="BodyText"/>
      </w:pPr>
      <w:r>
        <w:rPr>
          <w:b/>
          <w:bCs/>
        </w:rPr>
        <w:t xml:space="preserve">Cap. 16b — Colusão, Entrada e o Árbitro.</w:t>
      </w:r>
      <w:r>
        <w:t xml:space="preserve"> </w:t>
      </w:r>
      <w:r>
        <w:t xml:space="preserve">Cartéis, barreiras à entrada, concorrência monopolística, fusões e política antitruste.</w:t>
      </w:r>
    </w:p>
    <w:bookmarkEnd w:id="25"/>
    <w:bookmarkStart w:id="26" w:name="parte-vii-fatores-e-tempo"/>
    <w:p>
      <w:pPr>
        <w:pStyle w:val="Heading2"/>
      </w:pPr>
      <w:r>
        <w:t xml:space="preserve">Parte VII — Fatores e Tempo</w:t>
      </w:r>
    </w:p>
    <w:p>
      <w:pPr>
        <w:pStyle w:val="FirstParagraph"/>
      </w:pPr>
      <w:r>
        <w:rPr>
          <w:b/>
          <w:bCs/>
        </w:rPr>
        <w:t xml:space="preserve">Cap. 17 — O Salário Subiu e Você… Trabalhou Menos?</w:t>
      </w:r>
      <w:r>
        <w:t xml:space="preserve"> </w:t>
      </w:r>
      <w:r>
        <w:t xml:space="preserve">Oferta de trabalho, diferenciais compensatórios, monopsônio, sindicatos.</w:t>
      </w:r>
    </w:p>
    <w:p>
      <w:pPr>
        <w:pStyle w:val="BodyText"/>
      </w:pPr>
      <w:r>
        <w:rPr>
          <w:b/>
          <w:bCs/>
        </w:rPr>
        <w:t xml:space="preserve">Cap. 18 — A Paciência Tem Preço.</w:t>
      </w:r>
      <w:r>
        <w:t xml:space="preserve"> </w:t>
      </w:r>
      <w:r>
        <w:t xml:space="preserve">Capital, juros, modelo de Fisher, ativos financeiros, regra de Hotelling para recursos naturais.</w:t>
      </w:r>
    </w:p>
    <w:bookmarkEnd w:id="26"/>
    <w:bookmarkStart w:id="27" w:name="parte-viii-falhas-de-mercado"/>
    <w:p>
      <w:pPr>
        <w:pStyle w:val="Heading2"/>
      </w:pPr>
      <w:r>
        <w:t xml:space="preserve">Parte VIII — Falhas de Mercado</w:t>
      </w:r>
    </w:p>
    <w:p>
      <w:pPr>
        <w:pStyle w:val="FirstParagraph"/>
      </w:pPr>
      <w:r>
        <w:rPr>
          <w:b/>
          <w:bCs/>
        </w:rPr>
        <w:t xml:space="preserve">Cap. 19 — Quando Um Lado Sabe Mais.</w:t>
      </w:r>
      <w:r>
        <w:t xml:space="preserve"> </w:t>
      </w:r>
      <w:r>
        <w:t xml:space="preserve">Informação assimétrica: principal-agente, risco moral, seleção adversa, sinalização, leilões, matching markets.</w:t>
      </w:r>
    </w:p>
    <w:p>
      <w:pPr>
        <w:pStyle w:val="BodyText"/>
      </w:pPr>
      <w:r>
        <w:rPr>
          <w:b/>
          <w:bCs/>
        </w:rPr>
        <w:t xml:space="preserve">Cap. 20 — Fumaça, Caronas e Tragédias.</w:t>
      </w:r>
      <w:r>
        <w:t xml:space="preserve"> </w:t>
      </w:r>
      <w:r>
        <w:t xml:space="preserve">Externalidades, bens públicos, mecanismos de provisão, teorema de Coase, votação.</w:t>
      </w:r>
    </w:p>
    <w:bookmarkEnd w:id="27"/>
    <w:bookmarkStart w:id="28" w:name="parte-ix-economia-digital"/>
    <w:p>
      <w:pPr>
        <w:pStyle w:val="Heading2"/>
      </w:pPr>
      <w:r>
        <w:t xml:space="preserve">Parte IX — Economia Digital</w:t>
      </w:r>
    </w:p>
    <w:p>
      <w:pPr>
        <w:pStyle w:val="FirstParagraph"/>
      </w:pPr>
      <w:r>
        <w:rPr>
          <w:b/>
          <w:bCs/>
        </w:rPr>
        <w:t xml:space="preserve">Cap. 21 — Se É De Graça, O Produto É Você.</w:t>
      </w:r>
      <w:r>
        <w:t xml:space="preserve"> </w:t>
      </w:r>
      <w:r>
        <w:t xml:space="preserve">Bens de informação, efeitos de rede, mercados bilaterais, economia da atenção, custos de troca.</w:t>
      </w:r>
    </w:p>
    <w:bookmarkEnd w:id="28"/>
    <w:bookmarkStart w:id="29" w:name="parte-x-métodos"/>
    <w:p>
      <w:pPr>
        <w:pStyle w:val="Heading2"/>
      </w:pPr>
      <w:r>
        <w:t xml:space="preserve">Parte X — Métodos</w:t>
      </w:r>
    </w:p>
    <w:p>
      <w:pPr>
        <w:pStyle w:val="FirstParagraph"/>
      </w:pPr>
      <w:r>
        <w:rPr>
          <w:b/>
          <w:bCs/>
        </w:rPr>
        <w:t xml:space="preserve">Cap. 22 — RCTs, Diff-in-Diff e Outras Siglas.</w:t>
      </w:r>
      <w:r>
        <w:t xml:space="preserve"> </w:t>
      </w:r>
      <w:r>
        <w:t xml:space="preserve">Experimentos de laboratório e campo, inferência causal, diferenças em diferenças, limites dos métodos.</w:t>
      </w:r>
    </w:p>
    <w:bookmarkEnd w:id="29"/>
    <w:bookmarkStart w:id="30" w:name="parte-xi-economia-da-saúde"/>
    <w:p>
      <w:pPr>
        <w:pStyle w:val="Heading2"/>
      </w:pPr>
      <w:r>
        <w:t xml:space="preserve">Parte XI — Economia da Saúde</w:t>
      </w:r>
    </w:p>
    <w:p>
      <w:pPr>
        <w:pStyle w:val="FirstParagraph"/>
      </w:pPr>
      <w:r>
        <w:rPr>
          <w:b/>
          <w:bCs/>
        </w:rPr>
        <w:t xml:space="preserve">Cap. 23 — Doutor, Quanto Custa?</w:t>
      </w:r>
      <w:r>
        <w:t xml:space="preserve"> </w:t>
      </w:r>
      <w:r>
        <w:t xml:space="preserve">Modelo de Grossman, demanda por saúde, seguros, SUS, avaliação de tecnologias em saúde.</w:t>
      </w:r>
    </w:p>
    <w:bookmarkEnd w:id="30"/>
    <w:bookmarkStart w:id="31" w:name="parte-xii-economia-ambiental"/>
    <w:p>
      <w:pPr>
        <w:pStyle w:val="Heading2"/>
      </w:pPr>
      <w:r>
        <w:t xml:space="preserve">Parte XII — Economia Ambiental</w:t>
      </w:r>
    </w:p>
    <w:p>
      <w:pPr>
        <w:pStyle w:val="FirstParagraph"/>
      </w:pPr>
      <w:r>
        <w:rPr>
          <w:b/>
          <w:bCs/>
        </w:rPr>
        <w:t xml:space="preserve">Cap. 24 — Quanto Vale Um Pôr do Sol?</w:t>
      </w:r>
      <w:r>
        <w:t xml:space="preserve"> </w:t>
      </w:r>
      <w:r>
        <w:t xml:space="preserve">Instrumentos de política ambiental, precificação de carbono, valoração de recursos naturais.</w:t>
      </w:r>
    </w:p>
    <w:p>
      <w:pPr>
        <w:pStyle w:val="BodyText"/>
      </w:pPr>
      <w:r>
        <w:t xml:space="preserve">O livro inclui ainda:</w:t>
      </w:r>
      <w:r>
        <w:t xml:space="preserve"> </w:t>
      </w:r>
      <w:r>
        <w:rPr>
          <w:b/>
          <w:bCs/>
        </w:rPr>
        <w:t xml:space="preserve">Cadernos Computacionais</w:t>
      </w:r>
      <w:r>
        <w:t xml:space="preserve"> </w:t>
      </w:r>
      <w:r>
        <w:t xml:space="preserve">(Python e R),</w:t>
      </w:r>
      <w:r>
        <w:t xml:space="preserve"> </w:t>
      </w:r>
      <w:r>
        <w:rPr>
          <w:b/>
          <w:bCs/>
        </w:rPr>
        <w:t xml:space="preserve">Compilado ANPEC</w:t>
      </w:r>
      <w:r>
        <w:t xml:space="preserve"> </w:t>
      </w:r>
      <w:r>
        <w:t xml:space="preserve">(todas as questões reunidas),</w:t>
      </w:r>
      <w:r>
        <w:t xml:space="preserve"> </w:t>
      </w:r>
      <w:r>
        <w:rPr>
          <w:b/>
          <w:bCs/>
        </w:rPr>
        <w:t xml:space="preserve">Glossário</w:t>
      </w:r>
      <w:r>
        <w:t xml:space="preserve">,</w:t>
      </w:r>
      <w:r>
        <w:t xml:space="preserve"> </w:t>
      </w:r>
      <w:r>
        <w:rPr>
          <w:b/>
          <w:bCs/>
        </w:rPr>
        <w:t xml:space="preserve">Índice Remissivo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Referências Bibliográficas</w:t>
      </w:r>
      <w:r>
        <w:t xml:space="preserve"> </w:t>
      </w:r>
      <w:r>
        <w:t xml:space="preserve">consolidadas.</w:t>
      </w:r>
    </w:p>
    <w:bookmarkEnd w:id="31"/>
    <w:bookmarkEnd w:id="32"/>
    <w:bookmarkStart w:id="33" w:name="amostra-de-conteúdo"/>
    <w:p>
      <w:pPr>
        <w:pStyle w:val="Heading1"/>
      </w:pPr>
      <w:r>
        <w:t xml:space="preserve">Amostra de Conteúdo</w:t>
      </w:r>
    </w:p>
    <w:p>
      <w:pPr>
        <w:pStyle w:val="FirstParagraph"/>
      </w:pPr>
      <w:r>
        <w:t xml:space="preserve">Acompanham esta proposta</w:t>
      </w:r>
      <w:r>
        <w:t xml:space="preserve"> </w:t>
      </w:r>
      <w:r>
        <w:rPr>
          <w:b/>
          <w:bCs/>
        </w:rPr>
        <w:t xml:space="preserve">três capítulos completos</w:t>
      </w:r>
      <w:r>
        <w:t xml:space="preserve"> </w:t>
      </w:r>
      <w:r>
        <w:t xml:space="preserve">em formato diagramado, selecionados para demonstrar a variedade pedagógica e a qualidade do material: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Capítulo 3 — Mais É Melhor — Será?</w:t>
      </w:r>
      <w:r>
        <w:t xml:space="preserve"> </w:t>
      </w:r>
      <w:r>
        <w:t xml:space="preserve">(Teoria do Consumidor — introdução). Demonstra a construção formal desde os axiomas, com gráficos interativos e Boxes Brasil.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Capítulo 15 — Sozinho, Feliz e Cobrando Caro</w:t>
      </w:r>
      <w:r>
        <w:t xml:space="preserve"> </w:t>
      </w:r>
      <w:r>
        <w:t xml:space="preserve">(Monopólio). Exemplifica a abordagem de poder de mercado, com Boxes Brasil sobre regulação e discriminação de preços no contexto brasileiro.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Capítulo 20 — Fumaça, Caronas e Tragédias</w:t>
      </w:r>
      <w:r>
        <w:t xml:space="preserve"> </w:t>
      </w:r>
      <w:r>
        <w:t xml:space="preserve">(Externalidades e Bens Públicos). Mostra a cobertura de falhas de mercado, com aplicações ambientais e análises de políticas públicas.</w:t>
      </w:r>
    </w:p>
    <w:p>
      <w:pPr>
        <w:pStyle w:val="FirstParagraph"/>
      </w:pPr>
      <w:r>
        <w:t xml:space="preserve">Os capítulos de amostra estão disponíveis no documento complementar</w:t>
      </w:r>
      <w:r>
        <w:t xml:space="preserve"> </w:t>
      </w:r>
      <w:r>
        <w:rPr>
          <w:i/>
          <w:iCs/>
        </w:rPr>
        <w:t xml:space="preserve">Amostra — Capítulos Selecionados para Avaliação Editorial</w:t>
      </w:r>
      <w:r>
        <w:t xml:space="preserve">.</w:t>
      </w:r>
    </w:p>
    <w:bookmarkEnd w:id="33"/>
    <w:bookmarkStart w:id="34" w:name="sobre-o-autor"/>
    <w:p>
      <w:pPr>
        <w:pStyle w:val="Heading1"/>
      </w:pPr>
      <w:r>
        <w:t xml:space="preserve">Sobre o Autor</w:t>
      </w:r>
    </w:p>
    <w:p>
      <w:pPr>
        <w:pStyle w:val="FirstParagraph"/>
      </w:pPr>
      <w:r>
        <w:rPr>
          <w:b/>
          <w:bCs/>
        </w:rPr>
        <w:t xml:space="preserve">Darcio Genicolo Martins</w:t>
      </w:r>
      <w:r>
        <w:t xml:space="preserve"> </w:t>
      </w:r>
      <w:r>
        <w:t xml:space="preserve">é professor do Insper — Instituto de Ensino e Pesquisa, em São Paulo, onde leciona microeconomia em nível de graduação, mestrado e doutorado.</w:t>
      </w:r>
    </w:p>
    <w:p>
      <w:pPr>
        <w:pStyle w:val="BodyText"/>
      </w:pPr>
      <w:r>
        <w:t xml:space="preserve">Sua trajetória acadêmica combina formação rigorosa em teoria econômica com experiência docente extensiva. As notas de aula que deram origem a este livro foram desenvolvidas, testadas e refinadas ao longo de anos de ensino, incorporando o feedback de centenas de alunos.</w:t>
      </w:r>
    </w:p>
    <w:p>
      <w:pPr>
        <w:pStyle w:val="BodyText"/>
      </w:pPr>
      <w:r>
        <w:t xml:space="preserve">O projeto nasceu da percepção de que o mercado brasileiro carece de um livro-texto de microeconomia que combine três atributos: (i) rigor matemático compatível com padrões internacionais; (ii) exemplos e dados ancorados na realidade brasileira; e (iii) recursos interativos que aproveitem as possibilidades da tecnologia digital para o ensino de economia.</w:t>
      </w:r>
    </w:p>
    <w:p>
      <w:pPr>
        <w:pStyle w:val="BodyText"/>
      </w:pPr>
      <w:r>
        <w:t xml:space="preserve">O autor mantém vínculo ativo com pesquisa empírica e aplicada, o que se reflete nas seções</w:t>
      </w:r>
      <w:r>
        <w:t xml:space="preserve"> </w:t>
      </w:r>
      <w:r>
        <w:t xml:space="preserve">“Pesquisa em Ação”</w:t>
      </w:r>
      <w:r>
        <w:t xml:space="preserve"> </w:t>
      </w:r>
      <w:r>
        <w:t xml:space="preserve">e nos Boxes Brasil distribuídos ao longo do livro — todos baseados em dados oficiais e artigos publicados em periódicos revisados por pares.</w:t>
      </w:r>
    </w:p>
    <w:p>
      <w:pPr>
        <w:pStyle w:val="BodyText"/>
      </w:pPr>
      <w:r>
        <w:rPr>
          <w:i/>
          <w:iCs/>
        </w:rPr>
        <w:t xml:space="preserve">Contato: darciogm1@insper.edu.br</w:t>
      </w:r>
    </w:p>
    <w:bookmarkEnd w:id="34"/>
    <w:bookmarkStart w:id="35" w:name="especificações-técnicas"/>
    <w:p>
      <w:pPr>
        <w:pStyle w:val="Heading1"/>
      </w:pPr>
      <w:r>
        <w:t xml:space="preserve">Especificações Técnicas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Especificação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Microeconomia: Do Zero ao Equilíbrio (e Além)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Darcio Genicolo Martins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Afiliação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Insper — Instituto de Ensino e Pesquisa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Idioma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Português brasileiro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Graduação avançada / Pós-graduação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Livro completo, em uso em disciplinas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Versão atual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 (Março 2026)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Capítulos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(30 seções com subdivisões)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Páginas estimadas (impressão)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~1.700 páginas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Palavras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~530.000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Gráficos interativos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Intuições Econômicas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 boxes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Exercícios Resolvidos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Boxes 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Boxes Mundo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Prêmios Nobel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boxes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Erros Comuns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boxes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Labs computacionais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Questões ANPEC comentadas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Seções Pesquisa em 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Referências bibliográficas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de elementos didáticos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1.536 boxes/admonitions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Referência teórica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Nicholson &amp; Snyder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Tecnologias interativas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JSXGraph, Plotly.js, WebR, D3.js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Formato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MkDocs Material (web, responsivo)</w:t>
            </w:r>
          </w:p>
        </w:tc>
      </w:tr>
    </w:tbl>
    <w:bookmarkEnd w:id="35"/>
    <w:bookmarkStart w:id="41" w:name="estratégia-digital-física"/>
    <w:p>
      <w:pPr>
        <w:pStyle w:val="Heading1"/>
      </w:pPr>
      <w:r>
        <w:t xml:space="preserve">Estratégia Digital-Física</w:t>
      </w:r>
    </w:p>
    <w:bookmarkStart w:id="40" w:name="o-livro-como-ecossistema"/>
    <w:p>
      <w:pPr>
        <w:pStyle w:val="Heading2"/>
      </w:pPr>
      <w:r>
        <w:t xml:space="preserve">O livro como ecossistema</w:t>
      </w:r>
    </w:p>
    <w:p>
      <w:pPr>
        <w:pStyle w:val="FirstParagraph"/>
      </w:pPr>
      <w:r>
        <w:t xml:space="preserve">Este projeto foi concebido como um</w:t>
      </w:r>
      <w:r>
        <w:t xml:space="preserve"> </w:t>
      </w:r>
      <w:r>
        <w:rPr>
          <w:b/>
          <w:bCs/>
        </w:rPr>
        <w:t xml:space="preserve">ecossistema complementar</w:t>
      </w:r>
      <w:r>
        <w:t xml:space="preserve">, não como dois produtos concorrentes. A versão digital e a versão impressa cumprem funções distintas e se potencializam mutuamente.</w:t>
      </w:r>
    </w:p>
    <w:bookmarkStart w:id="36" w:name="a-versão-digital-oferece"/>
    <w:p>
      <w:pPr>
        <w:pStyle w:val="Heading3"/>
      </w:pPr>
      <w:r>
        <w:t xml:space="preserve">A versão digital oferece: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Interatividade plena</w:t>
      </w:r>
      <w:r>
        <w:t xml:space="preserve">: gráficos manipuláveis, simulações, cadernos computacionais executáveis no navegador (WebR, Python).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Atualização contínua</w:t>
      </w:r>
      <w:r>
        <w:t xml:space="preserve">: correções, novos boxes e exercícios podem ser incorporados sem nova edição.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Busca e navegação</w:t>
      </w:r>
      <w:r>
        <w:t xml:space="preserve">: referências cruzadas clicáveis, glossário interativo, índice remissivo com links diretos.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Acessibilidade</w:t>
      </w:r>
      <w:r>
        <w:t xml:space="preserve">: disponível em qualquer dispositivo com navegador.</w:t>
      </w:r>
    </w:p>
    <w:bookmarkEnd w:id="36"/>
    <w:bookmarkStart w:id="37" w:name="a-versão-impressa-oferece"/>
    <w:p>
      <w:pPr>
        <w:pStyle w:val="Heading3"/>
      </w:pPr>
      <w:r>
        <w:t xml:space="preserve">A versão impressa oferece: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Leitura profunda</w:t>
      </w:r>
      <w:r>
        <w:t xml:space="preserve">: a experiência tátil e linear do livro físico favorece a concentração e a anotação — habilidades essenciais para o estudo de microeconomia avançada.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Credibilidade institucional</w:t>
      </w:r>
      <w:r>
        <w:t xml:space="preserve">: um livro publicado por editora reconhecida reforça a adoção em programas de graduação e pós-graduação.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Independência tecnológica</w:t>
      </w:r>
      <w:r>
        <w:t xml:space="preserve">: não depende de internet, bateria ou compatibilidade de dispositivo.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Referência permanente</w:t>
      </w:r>
      <w:r>
        <w:t xml:space="preserve">: a estante do economista exige volumes físicos para consulta rápida.</w:t>
      </w:r>
    </w:p>
    <w:bookmarkEnd w:id="37"/>
    <w:bookmarkStart w:id="38" w:name="a-ponte-entre-os-dois-mundos-qr-codes"/>
    <w:p>
      <w:pPr>
        <w:pStyle w:val="Heading3"/>
      </w:pPr>
      <w:r>
        <w:t xml:space="preserve">A ponte entre os dois mundos: QR codes</w:t>
      </w:r>
    </w:p>
    <w:p>
      <w:pPr>
        <w:pStyle w:val="FirstParagraph"/>
      </w:pPr>
      <w:r>
        <w:t xml:space="preserve">Cada gráfico interativo no livro impresso é acompanhado de:</w:t>
      </w:r>
    </w:p>
    <w:p>
      <w:pPr>
        <w:pStyle w:val="Compact"/>
        <w:numPr>
          <w:ilvl w:val="0"/>
          <w:numId w:val="1005"/>
        </w:numPr>
      </w:pPr>
      <w:r>
        <w:t xml:space="preserve">Uma</w:t>
      </w:r>
      <w:r>
        <w:t xml:space="preserve"> </w:t>
      </w:r>
      <w:r>
        <w:rPr>
          <w:b/>
          <w:bCs/>
        </w:rPr>
        <w:t xml:space="preserve">imagem estática</w:t>
      </w:r>
      <w:r>
        <w:t xml:space="preserve"> </w:t>
      </w:r>
      <w:r>
        <w:t xml:space="preserve">representativa (o estado mais informativo do gráfico).</w:t>
      </w:r>
    </w:p>
    <w:p>
      <w:pPr>
        <w:pStyle w:val="Compact"/>
        <w:numPr>
          <w:ilvl w:val="0"/>
          <w:numId w:val="1005"/>
        </w:numPr>
      </w:pPr>
      <w:r>
        <w:t xml:space="preserve">Um</w:t>
      </w:r>
      <w:r>
        <w:t xml:space="preserve"> </w:t>
      </w:r>
      <w:r>
        <w:rPr>
          <w:b/>
          <w:bCs/>
        </w:rPr>
        <w:t xml:space="preserve">QR code</w:t>
      </w:r>
      <w:r>
        <w:t xml:space="preserve"> </w:t>
      </w:r>
      <w:r>
        <w:t xml:space="preserve">que leva diretamente à versão interativa online.</w:t>
      </w:r>
    </w:p>
    <w:p>
      <w:pPr>
        <w:pStyle w:val="Compact"/>
        <w:numPr>
          <w:ilvl w:val="0"/>
          <w:numId w:val="1005"/>
        </w:numPr>
      </w:pPr>
      <w:r>
        <w:t xml:space="preserve">Uma legenda indicando:</w:t>
      </w:r>
      <w:r>
        <w:t xml:space="preserve"> </w:t>
      </w:r>
      <w:r>
        <w:rPr>
          <w:i/>
          <w:iCs/>
        </w:rPr>
        <w:t xml:space="preserve">“Versão interativa disponível em: [URL]”</w:t>
      </w:r>
      <w:r>
        <w:t xml:space="preserve">.</w:t>
      </w:r>
    </w:p>
    <w:p>
      <w:pPr>
        <w:pStyle w:val="FirstParagraph"/>
      </w:pPr>
      <w:r>
        <w:t xml:space="preserve">Essa estratégia transforma o livro impresso em um</w:t>
      </w:r>
      <w:r>
        <w:t xml:space="preserve"> </w:t>
      </w:r>
      <w:r>
        <w:rPr>
          <w:b/>
          <w:bCs/>
        </w:rPr>
        <w:t xml:space="preserve">portal para a experiência digital</w:t>
      </w:r>
      <w:r>
        <w:t xml:space="preserve"> </w:t>
      </w:r>
      <w:r>
        <w:t xml:space="preserve">— sem sacrificar a autonomia da leitura impressa. O leitor que não quiser (ou não puder) acessar os gráficos online ainda terá todas as informações necessárias na imagem estática e na legenda descritiva.</w:t>
      </w:r>
    </w:p>
    <w:bookmarkEnd w:id="38"/>
    <w:bookmarkStart w:id="39" w:name="modelo-de-atualização"/>
    <w:p>
      <w:pPr>
        <w:pStyle w:val="Heading3"/>
      </w:pPr>
      <w:r>
        <w:t xml:space="preserve">Modelo de atualização</w:t>
      </w:r>
    </w:p>
    <w:p>
      <w:pPr>
        <w:pStyle w:val="FirstParagraph"/>
      </w:pPr>
      <w:r>
        <w:t xml:space="preserve">A versão digital pode ser atualizada continuamente (novos dados do IBGE, novas questões ANPEC, novos artigos). A versão impressa, vinculada a edições, se beneficia dessas atualizações indiretamente: o QR code aponta para o conteúdo mais recente, mesmo que o livro impresso seja de uma edição anterior. Isso</w:t>
      </w:r>
      <w:r>
        <w:t xml:space="preserve"> </w:t>
      </w:r>
      <w:r>
        <w:rPr>
          <w:b/>
          <w:bCs/>
        </w:rPr>
        <w:t xml:space="preserve">prolonga a vida útil</w:t>
      </w:r>
      <w:r>
        <w:t xml:space="preserve"> </w:t>
      </w:r>
      <w:r>
        <w:t xml:space="preserve">de cada edição impressa e</w:t>
      </w:r>
      <w:r>
        <w:t xml:space="preserve"> </w:t>
      </w:r>
      <w:r>
        <w:rPr>
          <w:b/>
          <w:bCs/>
        </w:rPr>
        <w:t xml:space="preserve">reduz a pressão</w:t>
      </w:r>
      <w:r>
        <w:t xml:space="preserve"> </w:t>
      </w:r>
      <w:r>
        <w:t xml:space="preserve">por reimpressões frequentes.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2026-03-30T15:14:45Z</dcterms:created>
  <dcterms:modified xsi:type="dcterms:W3CDTF">2026-03-30T15:14:45Z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/>
  </property>
  <property fmtid="{D5CDD505-2E9C-101B-9397-08002B2CF9AE}" pid="4" name="fontsize">
    <vt:lpwstr>12pt</vt:lpwstr>
  </property>
  <property fmtid="{D5CDD505-2E9C-101B-9397-08002B2CF9AE}" pid="5" name="geometry">
    <vt:lpwstr>margin=2.5cm</vt:lpwstr>
  </property>
  <property fmtid="{D5CDD505-2E9C-101B-9397-08002B2CF9AE}" pid="6" name="header-includes">
    <vt:lpwstr/>
  </property>
  <property fmtid="{D5CDD505-2E9C-101B-9397-08002B2CF9AE}" pid="7" name="linestretch">
    <vt:lpwstr>1.3</vt:lpwstr>
  </property>
  <property fmtid="{D5CDD505-2E9C-101B-9397-08002B2CF9AE}" pid="8" name="linkcolor">
    <vt:lpwstr>BrickRed</vt:lpwstr>
  </property>
  <property fmtid="{D5CDD505-2E9C-101B-9397-08002B2CF9AE}" pid="9" name="mainfont">
    <vt:lpwstr>DejaVu Serif</vt:lpwstr>
  </property>
  <property fmtid="{D5CDD505-2E9C-101B-9397-08002B2CF9AE}" pid="10" name="sansfont">
    <vt:lpwstr>Inter</vt:lpwstr>
  </property>
  <property fmtid="{D5CDD505-2E9C-101B-9397-08002B2CF9AE}" pid="11" name="urlcolor">
    <vt:lpwstr>BrickRed</vt:lpwstr>
  </property>
</Properties>
</file>