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PingFang SC"/>
          <w:b/>
          <w:color w:val="1F2937"/>
          <w:sz w:val="44"/>
        </w:rPr>
        <w:t>《四民异业而同道》学生自学批注版</w:t>
      </w:r>
    </w:p>
    <w:p>
      <w:pPr>
        <w:spacing w:after="160"/>
      </w:pPr>
      <w:r>
        <w:rPr>
          <w:rFonts w:ascii="Calibri" w:hAnsi="Calibri" w:eastAsia="PingFang SC"/>
          <w:b w:val="0"/>
          <w:color w:val="6B7280"/>
          <w:sz w:val="21"/>
        </w:rPr>
        <w:t>蓝色：拼音  ｜  红色：意思 / 古今异义 / 人物说明</w:t>
      </w:r>
    </w:p>
    <w:p>
      <w:pPr>
        <w:pStyle w:val="Heading1"/>
      </w:pPr>
      <w:r>
        <w:t>一、原文批注版</w:t>
      </w:r>
    </w:p>
    <w:p>
      <w:pPr>
        <w:spacing w:after="60" w:line="312" w:lineRule="auto"/>
      </w:pPr>
      <w:r>
        <w:rPr>
          <w:rFonts w:ascii="Calibri" w:hAnsi="Calibri" w:eastAsia="PingFang SC"/>
          <w:b w:val="0"/>
          <w:color w:val="1F2937"/>
          <w:sz w:val="23"/>
        </w:rPr>
        <w:t>阳明子曰：“古者四民异业而同道，其心尽焉，一也。</w:t>
      </w:r>
    </w:p>
    <w:p>
      <w:pPr>
        <w:spacing w:after="60" w:line="312" w:lineRule="auto"/>
      </w:pPr>
      <w:r>
        <w:rPr>
          <w:rFonts w:ascii="Calibri" w:hAnsi="Calibri" w:eastAsia="PingFang SC"/>
          <w:b w:val="0"/>
          <w:color w:val="1F2937"/>
          <w:sz w:val="23"/>
        </w:rPr>
        <w:t>士之修治</w:t>
      </w:r>
      <w:r>
        <w:rPr>
          <w:rFonts w:ascii="Calibri" w:hAnsi="Calibri" w:eastAsia="PingFang SC"/>
          <w:b w:val="0"/>
          <w:color w:val="DC2626"/>
          <w:sz w:val="23"/>
        </w:rPr>
        <w:t>[治理、教化]</w:t>
      </w:r>
      <w:r>
        <w:rPr>
          <w:rFonts w:ascii="Calibri" w:hAnsi="Calibri" w:eastAsia="PingFang SC"/>
          <w:b w:val="0"/>
          <w:color w:val="1F2937"/>
          <w:sz w:val="23"/>
        </w:rPr>
        <w:t>，农以具养</w:t>
      </w:r>
      <w:r>
        <w:rPr>
          <w:rFonts w:ascii="Calibri" w:hAnsi="Calibri" w:eastAsia="PingFang SC"/>
          <w:b w:val="0"/>
          <w:color w:val="DC2626"/>
          <w:sz w:val="23"/>
        </w:rPr>
        <w:t>[供养民生]</w:t>
      </w:r>
      <w:r>
        <w:rPr>
          <w:rFonts w:ascii="Calibri" w:hAnsi="Calibri" w:eastAsia="PingFang SC"/>
          <w:b w:val="0"/>
          <w:color w:val="1F2937"/>
          <w:sz w:val="23"/>
        </w:rPr>
        <w:t>，工以利器</w:t>
      </w:r>
      <w:r>
        <w:rPr>
          <w:rFonts w:ascii="Calibri" w:hAnsi="Calibri" w:eastAsia="PingFang SC"/>
          <w:b w:val="0"/>
          <w:color w:val="DC2626"/>
          <w:sz w:val="23"/>
        </w:rPr>
        <w:t>[制造器物]</w:t>
      </w:r>
      <w:r>
        <w:rPr>
          <w:rFonts w:ascii="Calibri" w:hAnsi="Calibri" w:eastAsia="PingFang SC"/>
          <w:b w:val="0"/>
          <w:color w:val="1F2937"/>
          <w:sz w:val="23"/>
        </w:rPr>
        <w:t>，商以通货</w:t>
      </w:r>
      <w:r>
        <w:rPr>
          <w:rFonts w:ascii="Calibri" w:hAnsi="Calibri" w:eastAsia="PingFang SC"/>
          <w:b w:val="0"/>
          <w:color w:val="DC2626"/>
          <w:sz w:val="23"/>
        </w:rPr>
        <w:t>[使货物流通]</w:t>
      </w:r>
      <w:r>
        <w:rPr>
          <w:rFonts w:ascii="Calibri" w:hAnsi="Calibri" w:eastAsia="PingFang SC"/>
          <w:b w:val="0"/>
          <w:color w:val="1F2937"/>
          <w:sz w:val="23"/>
        </w:rPr>
        <w:t>，各就其资之所近、力之所及者而业焉，以求尽其心。</w:t>
      </w:r>
    </w:p>
    <w:p>
      <w:pPr>
        <w:spacing w:after="60" w:line="312" w:lineRule="auto"/>
      </w:pPr>
      <w:r>
        <w:rPr>
          <w:rFonts w:ascii="Calibri" w:hAnsi="Calibri" w:eastAsia="PingFang SC"/>
          <w:b w:val="0"/>
          <w:color w:val="1F2937"/>
          <w:sz w:val="23"/>
        </w:rPr>
        <w:t>其归要在于有益于生人</w:t>
      </w:r>
      <w:r>
        <w:rPr>
          <w:rFonts w:ascii="Calibri" w:hAnsi="Calibri" w:eastAsia="PingFang SC"/>
          <w:b w:val="0"/>
          <w:color w:val="DC2626"/>
          <w:sz w:val="23"/>
        </w:rPr>
        <w:t>[古义：百姓，不是“陌生人”]</w:t>
      </w:r>
      <w:r>
        <w:rPr>
          <w:rFonts w:ascii="Calibri" w:hAnsi="Calibri" w:eastAsia="PingFang SC"/>
          <w:b w:val="0"/>
          <w:color w:val="1F2937"/>
          <w:sz w:val="23"/>
        </w:rPr>
        <w:t>之道，则一而已。</w:t>
      </w:r>
    </w:p>
    <w:p>
      <w:pPr>
        <w:spacing w:after="60" w:line="312" w:lineRule="auto"/>
      </w:pPr>
      <w:r>
        <w:rPr>
          <w:rFonts w:ascii="Calibri" w:hAnsi="Calibri" w:eastAsia="PingFang SC"/>
          <w:b w:val="0"/>
          <w:color w:val="1F2937"/>
          <w:sz w:val="23"/>
        </w:rPr>
        <w:t>士农以其尽心于修治具养者，而利器通货，犹其士与农也；工商以其尽心于利器通货者，而修治具养，犹其工与商也。</w:t>
      </w:r>
    </w:p>
    <w:p>
      <w:pPr>
        <w:spacing w:after="60" w:line="312" w:lineRule="auto"/>
      </w:pPr>
      <w:r>
        <w:rPr>
          <w:rFonts w:ascii="Calibri" w:hAnsi="Calibri" w:eastAsia="PingFang SC"/>
          <w:b w:val="0"/>
          <w:color w:val="1F2937"/>
          <w:sz w:val="23"/>
        </w:rPr>
        <w:t>故曰：四民异业而同道。</w:t>
      </w:r>
    </w:p>
    <w:p>
      <w:pPr>
        <w:spacing w:after="60" w:line="312" w:lineRule="auto"/>
      </w:pPr>
      <w:r>
        <w:rPr>
          <w:rFonts w:ascii="Calibri" w:hAnsi="Calibri" w:eastAsia="PingFang SC"/>
          <w:b w:val="0"/>
          <w:color w:val="1F2937"/>
          <w:sz w:val="23"/>
        </w:rPr>
        <w:t>盖昔舜</w:t>
      </w:r>
      <w:r>
        <w:rPr>
          <w:rFonts w:ascii="Calibri" w:hAnsi="Calibri" w:eastAsia="PingFang SC"/>
          <w:b w:val="0"/>
          <w:color w:val="2563EB"/>
          <w:sz w:val="23"/>
        </w:rPr>
        <w:t>(shùn)</w:t>
      </w:r>
      <w:r>
        <w:rPr>
          <w:rFonts w:ascii="Calibri" w:hAnsi="Calibri" w:eastAsia="PingFang SC"/>
          <w:b w:val="0"/>
          <w:color w:val="1F2937"/>
          <w:sz w:val="23"/>
        </w:rPr>
        <w:t>叙</w:t>
      </w:r>
      <w:r>
        <w:rPr>
          <w:rFonts w:ascii="Calibri" w:hAnsi="Calibri" w:eastAsia="PingFang SC"/>
          <w:b w:val="0"/>
          <w:color w:val="2563EB"/>
          <w:sz w:val="23"/>
        </w:rPr>
        <w:t>(xù)</w:t>
      </w:r>
      <w:r>
        <w:rPr>
          <w:rFonts w:ascii="Calibri" w:hAnsi="Calibri" w:eastAsia="PingFang SC"/>
          <w:b w:val="0"/>
          <w:color w:val="1F2937"/>
          <w:sz w:val="23"/>
        </w:rPr>
        <w:t>九官，首稷</w:t>
      </w:r>
      <w:r>
        <w:rPr>
          <w:rFonts w:ascii="Calibri" w:hAnsi="Calibri" w:eastAsia="PingFang SC"/>
          <w:b w:val="0"/>
          <w:color w:val="2563EB"/>
          <w:sz w:val="23"/>
        </w:rPr>
        <w:t>(jì)</w:t>
      </w:r>
      <w:r>
        <w:rPr>
          <w:rFonts w:ascii="Calibri" w:hAnsi="Calibri" w:eastAsia="PingFang SC"/>
          <w:b w:val="0"/>
          <w:color w:val="1F2937"/>
          <w:sz w:val="23"/>
        </w:rPr>
        <w:t>而次契</w:t>
      </w:r>
      <w:r>
        <w:rPr>
          <w:rFonts w:ascii="Calibri" w:hAnsi="Calibri" w:eastAsia="PingFang SC"/>
          <w:b w:val="0"/>
          <w:color w:val="2563EB"/>
          <w:sz w:val="23"/>
        </w:rPr>
        <w:t>(xiè)</w:t>
      </w:r>
      <w:r>
        <w:rPr>
          <w:rFonts w:ascii="Calibri" w:hAnsi="Calibri" w:eastAsia="PingFang SC"/>
          <w:b w:val="0"/>
          <w:color w:val="1F2937"/>
          <w:sz w:val="23"/>
        </w:rPr>
        <w:t>，垂工益虞</w:t>
      </w:r>
      <w:r>
        <w:rPr>
          <w:rFonts w:ascii="Calibri" w:hAnsi="Calibri" w:eastAsia="PingFang SC"/>
          <w:b w:val="0"/>
          <w:color w:val="2563EB"/>
          <w:sz w:val="23"/>
        </w:rPr>
        <w:t>(yú)</w:t>
      </w:r>
      <w:r>
        <w:rPr>
          <w:rFonts w:ascii="Calibri" w:hAnsi="Calibri" w:eastAsia="PingFang SC"/>
          <w:b w:val="0"/>
          <w:color w:val="1F2937"/>
          <w:sz w:val="23"/>
        </w:rPr>
        <w:t>，先于夔</w:t>
      </w:r>
      <w:r>
        <w:rPr>
          <w:rFonts w:ascii="Calibri" w:hAnsi="Calibri" w:eastAsia="PingFang SC"/>
          <w:b w:val="0"/>
          <w:color w:val="2563EB"/>
          <w:sz w:val="23"/>
        </w:rPr>
        <w:t>(kuí)</w:t>
      </w:r>
      <w:r>
        <w:rPr>
          <w:rFonts w:ascii="Calibri" w:hAnsi="Calibri" w:eastAsia="PingFang SC"/>
          <w:b w:val="0"/>
          <w:color w:val="1F2937"/>
          <w:sz w:val="23"/>
        </w:rPr>
        <w:t>龙。</w:t>
      </w:r>
    </w:p>
    <w:p>
      <w:pPr>
        <w:spacing w:after="60" w:line="312" w:lineRule="auto"/>
      </w:pPr>
      <w:r>
        <w:rPr>
          <w:rFonts w:ascii="Calibri" w:hAnsi="Calibri" w:eastAsia="PingFang SC"/>
          <w:b w:val="0"/>
          <w:color w:val="1F2937"/>
          <w:sz w:val="23"/>
        </w:rPr>
        <w:t>商周之代，伊尹</w:t>
      </w:r>
      <w:r>
        <w:rPr>
          <w:rFonts w:ascii="Calibri" w:hAnsi="Calibri" w:eastAsia="PingFang SC"/>
          <w:b w:val="0"/>
          <w:color w:val="2563EB"/>
          <w:sz w:val="23"/>
        </w:rPr>
        <w:t>(yǐn)</w:t>
      </w:r>
      <w:r>
        <w:rPr>
          <w:rFonts w:ascii="Calibri" w:hAnsi="Calibri" w:eastAsia="PingFang SC"/>
          <w:b w:val="0"/>
          <w:color w:val="1F2937"/>
          <w:sz w:val="23"/>
        </w:rPr>
        <w:t>耕于莘</w:t>
      </w:r>
      <w:r>
        <w:rPr>
          <w:rFonts w:ascii="Calibri" w:hAnsi="Calibri" w:eastAsia="PingFang SC"/>
          <w:b w:val="0"/>
          <w:color w:val="2563EB"/>
          <w:sz w:val="23"/>
        </w:rPr>
        <w:t>(shēn)</w:t>
      </w:r>
      <w:r>
        <w:rPr>
          <w:rFonts w:ascii="Calibri" w:hAnsi="Calibri" w:eastAsia="PingFang SC"/>
          <w:b w:val="0"/>
          <w:color w:val="1F2937"/>
          <w:sz w:val="23"/>
        </w:rPr>
        <w:t>野，傅说</w:t>
      </w:r>
      <w:r>
        <w:rPr>
          <w:rFonts w:ascii="Calibri" w:hAnsi="Calibri" w:eastAsia="PingFang SC"/>
          <w:b w:val="0"/>
          <w:color w:val="2563EB"/>
          <w:sz w:val="23"/>
        </w:rPr>
        <w:t>(fù yuè)</w:t>
      </w:r>
      <w:r>
        <w:rPr>
          <w:rFonts w:ascii="Calibri" w:hAnsi="Calibri" w:eastAsia="PingFang SC"/>
          <w:b w:val="0"/>
          <w:color w:val="1F2937"/>
          <w:sz w:val="23"/>
        </w:rPr>
        <w:t>板筑于岩，胶鬲</w:t>
      </w:r>
      <w:r>
        <w:rPr>
          <w:rFonts w:ascii="Calibri" w:hAnsi="Calibri" w:eastAsia="PingFang SC"/>
          <w:b w:val="0"/>
          <w:color w:val="2563EB"/>
          <w:sz w:val="23"/>
        </w:rPr>
        <w:t>(gé)</w:t>
      </w:r>
      <w:r>
        <w:rPr>
          <w:rFonts w:ascii="Calibri" w:hAnsi="Calibri" w:eastAsia="PingFang SC"/>
          <w:b w:val="0"/>
          <w:color w:val="1F2937"/>
          <w:sz w:val="23"/>
        </w:rPr>
        <w:t>举于鱼盐，吕望</w:t>
      </w:r>
      <w:r>
        <w:rPr>
          <w:rFonts w:ascii="Calibri" w:hAnsi="Calibri" w:eastAsia="PingFang SC"/>
          <w:b w:val="0"/>
          <w:color w:val="2563EB"/>
          <w:sz w:val="23"/>
        </w:rPr>
        <w:t>(lǚ wàng)</w:t>
      </w:r>
      <w:r>
        <w:rPr>
          <w:rFonts w:ascii="Calibri" w:hAnsi="Calibri" w:eastAsia="PingFang SC"/>
          <w:b w:val="0"/>
          <w:color w:val="1F2937"/>
          <w:sz w:val="23"/>
        </w:rPr>
        <w:t>钓于磻</w:t>
      </w:r>
      <w:r>
        <w:rPr>
          <w:rFonts w:ascii="Calibri" w:hAnsi="Calibri" w:eastAsia="PingFang SC"/>
          <w:b w:val="0"/>
          <w:color w:val="2563EB"/>
          <w:sz w:val="23"/>
        </w:rPr>
        <w:t>(pán)</w:t>
      </w:r>
      <w:r>
        <w:rPr>
          <w:rFonts w:ascii="Calibri" w:hAnsi="Calibri" w:eastAsia="PingFang SC"/>
          <w:b w:val="0"/>
          <w:color w:val="1F2937"/>
          <w:sz w:val="23"/>
        </w:rPr>
        <w:t>渭，百里奚</w:t>
      </w:r>
      <w:r>
        <w:rPr>
          <w:rFonts w:ascii="Calibri" w:hAnsi="Calibri" w:eastAsia="PingFang SC"/>
          <w:b w:val="0"/>
          <w:color w:val="2563EB"/>
          <w:sz w:val="23"/>
        </w:rPr>
        <w:t>(xī)</w:t>
      </w:r>
      <w:r>
        <w:rPr>
          <w:rFonts w:ascii="Calibri" w:hAnsi="Calibri" w:eastAsia="PingFang SC"/>
          <w:b w:val="0"/>
          <w:color w:val="1F2937"/>
          <w:sz w:val="23"/>
        </w:rPr>
        <w:t>处于市，孔子为乘</w:t>
      </w:r>
      <w:r>
        <w:rPr>
          <w:rFonts w:ascii="Calibri" w:hAnsi="Calibri" w:eastAsia="PingFang SC"/>
          <w:b w:val="0"/>
          <w:color w:val="2563EB"/>
          <w:sz w:val="23"/>
        </w:rPr>
        <w:t>(shèng)</w:t>
      </w:r>
      <w:r>
        <w:rPr>
          <w:rFonts w:ascii="Calibri" w:hAnsi="Calibri" w:eastAsia="PingFang SC"/>
          <w:b w:val="0"/>
          <w:color w:val="1F2937"/>
          <w:sz w:val="23"/>
        </w:rPr>
        <w:t>田委吏。</w:t>
      </w:r>
    </w:p>
    <w:p>
      <w:pPr>
        <w:spacing w:after="60" w:line="312" w:lineRule="auto"/>
      </w:pPr>
      <w:r>
        <w:rPr>
          <w:rFonts w:ascii="Calibri" w:hAnsi="Calibri" w:eastAsia="PingFang SC"/>
          <w:b w:val="0"/>
          <w:color w:val="1F2937"/>
          <w:sz w:val="23"/>
        </w:rPr>
        <w:t>其诸仪封、晨门、荷蒉</w:t>
      </w:r>
      <w:r>
        <w:rPr>
          <w:rFonts w:ascii="Calibri" w:hAnsi="Calibri" w:eastAsia="PingFang SC"/>
          <w:b w:val="0"/>
          <w:color w:val="2563EB"/>
          <w:sz w:val="23"/>
        </w:rPr>
        <w:t>(hè kuì)</w:t>
      </w:r>
      <w:r>
        <w:rPr>
          <w:rFonts w:ascii="Calibri" w:hAnsi="Calibri" w:eastAsia="PingFang SC"/>
          <w:b w:val="0"/>
          <w:color w:val="1F2937"/>
          <w:sz w:val="23"/>
        </w:rPr>
        <w:t>、斫</w:t>
      </w:r>
      <w:r>
        <w:rPr>
          <w:rFonts w:ascii="Calibri" w:hAnsi="Calibri" w:eastAsia="PingFang SC"/>
          <w:b w:val="0"/>
          <w:color w:val="2563EB"/>
          <w:sz w:val="23"/>
        </w:rPr>
        <w:t>(zhuó)</w:t>
      </w:r>
      <w:r>
        <w:rPr>
          <w:rFonts w:ascii="Calibri" w:hAnsi="Calibri" w:eastAsia="PingFang SC"/>
          <w:b w:val="0"/>
          <w:color w:val="1F2937"/>
          <w:sz w:val="23"/>
        </w:rPr>
        <w:t>轮之徒，皆古之仁圣英贤、高洁不群之士，书传所称，可考而信也。</w:t>
      </w:r>
    </w:p>
    <w:p>
      <w:pPr>
        <w:spacing w:after="60" w:line="312" w:lineRule="auto"/>
      </w:pPr>
      <w:r>
        <w:rPr>
          <w:rFonts w:ascii="Calibri" w:hAnsi="Calibri" w:eastAsia="PingFang SC"/>
          <w:b w:val="0"/>
          <w:color w:val="1F2937"/>
          <w:sz w:val="23"/>
        </w:rPr>
        <w:t>自王道熄</w:t>
      </w:r>
      <w:r>
        <w:rPr>
          <w:rFonts w:ascii="Calibri" w:hAnsi="Calibri" w:eastAsia="PingFang SC"/>
          <w:b w:val="0"/>
          <w:color w:val="DC2626"/>
          <w:sz w:val="23"/>
        </w:rPr>
        <w:t>[王道衰微]</w:t>
      </w:r>
      <w:r>
        <w:rPr>
          <w:rFonts w:ascii="Calibri" w:hAnsi="Calibri" w:eastAsia="PingFang SC"/>
          <w:b w:val="0"/>
          <w:color w:val="1F2937"/>
          <w:sz w:val="23"/>
        </w:rPr>
        <w:t>而学术乖</w:t>
      </w:r>
      <w:r>
        <w:rPr>
          <w:rFonts w:ascii="Calibri" w:hAnsi="Calibri" w:eastAsia="PingFang SC"/>
          <w:b w:val="0"/>
          <w:color w:val="DC2626"/>
          <w:sz w:val="23"/>
        </w:rPr>
        <w:t>[背离正道]</w:t>
      </w:r>
      <w:r>
        <w:rPr>
          <w:rFonts w:ascii="Calibri" w:hAnsi="Calibri" w:eastAsia="PingFang SC"/>
          <w:b w:val="0"/>
          <w:color w:val="1F2937"/>
          <w:sz w:val="23"/>
        </w:rPr>
        <w:t>，人失其心，交鹜</w:t>
      </w:r>
      <w:r>
        <w:rPr>
          <w:rFonts w:ascii="Calibri" w:hAnsi="Calibri" w:eastAsia="PingFang SC"/>
          <w:b w:val="0"/>
          <w:color w:val="DC2626"/>
          <w:sz w:val="23"/>
        </w:rPr>
        <w:t>[奔逐]</w:t>
      </w:r>
      <w:r>
        <w:rPr>
          <w:rFonts w:ascii="Calibri" w:hAnsi="Calibri" w:eastAsia="PingFang SC"/>
          <w:b w:val="0"/>
          <w:color w:val="1F2937"/>
          <w:sz w:val="23"/>
        </w:rPr>
        <w:t>于利，以相驱轶</w:t>
      </w:r>
      <w:r>
        <w:rPr>
          <w:rFonts w:ascii="Calibri" w:hAnsi="Calibri" w:eastAsia="PingFang SC"/>
          <w:b w:val="0"/>
          <w:color w:val="DC2626"/>
          <w:sz w:val="23"/>
        </w:rPr>
        <w:t>[相互冲撞、排挤]</w:t>
      </w:r>
      <w:r>
        <w:rPr>
          <w:rFonts w:ascii="Calibri" w:hAnsi="Calibri" w:eastAsia="PingFang SC"/>
          <w:b w:val="0"/>
          <w:color w:val="1F2937"/>
          <w:sz w:val="23"/>
        </w:rPr>
        <w:t>，于是始有歆</w:t>
      </w:r>
      <w:r>
        <w:rPr>
          <w:rFonts w:ascii="Calibri" w:hAnsi="Calibri" w:eastAsia="PingFang SC"/>
          <w:b w:val="0"/>
          <w:color w:val="DC2626"/>
          <w:sz w:val="23"/>
        </w:rPr>
        <w:t>[羡慕]</w:t>
      </w:r>
      <w:r>
        <w:rPr>
          <w:rFonts w:ascii="Calibri" w:hAnsi="Calibri" w:eastAsia="PingFang SC"/>
          <w:b w:val="0"/>
          <w:color w:val="1F2937"/>
          <w:sz w:val="23"/>
        </w:rPr>
        <w:t>士而卑农，荣宦</w:t>
      </w:r>
      <w:r>
        <w:rPr>
          <w:rFonts w:ascii="Calibri" w:hAnsi="Calibri" w:eastAsia="PingFang SC"/>
          <w:b w:val="0"/>
          <w:color w:val="DC2626"/>
          <w:sz w:val="23"/>
        </w:rPr>
        <w:t>[做官游历]</w:t>
      </w:r>
      <w:r>
        <w:rPr>
          <w:rFonts w:ascii="Calibri" w:hAnsi="Calibri" w:eastAsia="PingFang SC"/>
          <w:b w:val="0"/>
          <w:color w:val="1F2937"/>
          <w:sz w:val="23"/>
        </w:rPr>
        <w:t>游而耻工贾</w:t>
      </w:r>
      <w:r>
        <w:rPr>
          <w:rFonts w:ascii="Calibri" w:hAnsi="Calibri" w:eastAsia="PingFang SC"/>
          <w:b w:val="0"/>
          <w:color w:val="DC2626"/>
          <w:sz w:val="23"/>
        </w:rPr>
        <w:t>[工匠与商人]</w:t>
      </w:r>
      <w:r>
        <w:rPr>
          <w:rFonts w:ascii="Calibri" w:hAnsi="Calibri" w:eastAsia="PingFang SC"/>
          <w:b w:val="0"/>
          <w:color w:val="1F2937"/>
          <w:sz w:val="23"/>
        </w:rPr>
        <w:t>。</w:t>
      </w:r>
    </w:p>
    <w:p/>
    <w:p>
      <w:pPr>
        <w:pStyle w:val="Heading1"/>
      </w:pPr>
      <w:r>
        <w:t>二、重点词语卡</w:t>
      </w:r>
    </w:p>
    <w:p>
      <w:pPr>
        <w:spacing w:after="120"/>
      </w:pPr>
      <w:r>
        <w:rPr>
          <w:rFonts w:ascii="Calibri" w:hAnsi="Calibri" w:eastAsia="PingFang SC"/>
          <w:b w:val="0"/>
          <w:color w:val="6B7280"/>
          <w:sz w:val="21"/>
        </w:rPr>
        <w:t>先读原文，再查这一栏。先抓“读音”和“意思”，再看“古今异义”。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050"/>
        <w:gridCol w:w="2600"/>
        <w:gridCol w:w="250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21"/>
              </w:rPr>
              <w:t>词语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21"/>
              </w:rPr>
              <w:t>读音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21"/>
              </w:rPr>
              <w:t>意思 / 说明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2937"/>
                <w:sz w:val="21"/>
              </w:rPr>
              <w:t>学习提醒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生人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shēng rén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古义：百姓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不要按现代义理解为“陌生人”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通货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tōng huò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使货物流通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这里不是“货币”本身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具养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jù yǎng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供养民生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“具”是“备、供给”的意思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修治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xiū zhì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治理、教化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可连到“士之修治”理解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利器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lì qì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制造器物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不是“锋利的武器”那么简单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傅说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fù yuè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商代贤臣，原做版筑劳作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“说”读 yuè，不读 shuō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莘野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shēn yě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地名，伊尹耕于此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“莘”读 shēn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胶鬲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gé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商周贤臣，传统说法中由鱼盐之业出身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“鬲”读 gé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吕望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lǚ wàng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姜太公，周初谋臣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常见称呼是“姜太公”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磻渭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pán wèi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磻溪、渭水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“磻”读 pán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百里奚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bǎi lǐ xī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春秋秦国名臣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“奚”读 xī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乘田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shèng tián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管理畜牧的小官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“乘”在这里读 shèng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荷蒉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hè kuì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背着草筐的人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“荷”读 hè，不读 hé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斫轮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zhuó lún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砍削车轮，指轮扁制轮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“斫”读 zhuó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王道熄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wáng dào xī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王道政治衰微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“熄”在这里是“衰落、停止”的意思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学术乖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xué shù guāi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学风背离正道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“乖”在古文里常有“背离”义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交鹜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jiāo wù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奔逐、追逐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“鹜”与“务”易混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驱轶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qū yì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互相冲撞、侵夺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读音和意义都较生僻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歆士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xīn shì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羡慕士人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“歆”是羡慕、向往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宦游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huàn yóu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做官游历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不是现代“旅游”意思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工贾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gōng gǔ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工匠和商人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1F2937"/>
                <w:sz w:val="20"/>
              </w:rPr>
              <w:t>“贾”在这里读 gǔ</w:t>
            </w:r>
          </w:p>
        </w:tc>
      </w:tr>
    </w:tbl>
    <w:p/>
    <w:p>
      <w:pPr>
        <w:pStyle w:val="Heading1"/>
      </w:pPr>
      <w:r>
        <w:t>三、朗读提示</w:t>
      </w:r>
    </w:p>
    <w:p>
      <w:pPr>
        <w:spacing w:after="60"/>
        <w:ind w:left="216"/>
      </w:pPr>
      <w:r>
        <w:rPr>
          <w:rFonts w:ascii="Calibri" w:hAnsi="Calibri" w:eastAsia="PingFang SC"/>
          <w:b w:val="0"/>
          <w:color w:val="1F2937"/>
          <w:sz w:val="21"/>
        </w:rPr>
        <w:t>• 先读“傅说(fù yuè)”“荷蒉(hè kuì)”“斫轮(zhuó lún)”这些容易读错的人名和词。</w:t>
      </w:r>
    </w:p>
    <w:p>
      <w:pPr>
        <w:spacing w:after="60"/>
        <w:ind w:left="216"/>
      </w:pPr>
      <w:r>
        <w:rPr>
          <w:rFonts w:ascii="Calibri" w:hAnsi="Calibri" w:eastAsia="PingFang SC"/>
          <w:b w:val="0"/>
          <w:color w:val="1F2937"/>
          <w:sz w:val="21"/>
        </w:rPr>
        <w:t>• 再读“生人、通货、王道熄、学术乖”这些古今义容易混淆的词。</w:t>
      </w:r>
    </w:p>
    <w:p>
      <w:pPr>
        <w:spacing w:after="60"/>
        <w:ind w:left="216"/>
      </w:pPr>
      <w:r>
        <w:rPr>
          <w:rFonts w:ascii="Calibri" w:hAnsi="Calibri" w:eastAsia="PingFang SC"/>
          <w:b w:val="0"/>
          <w:color w:val="1F2937"/>
          <w:sz w:val="21"/>
        </w:rPr>
        <w:t>• 最后把整段连读一遍，注意节奏，不要把括号里的说明也一起读进正文里。</w:t>
      </w:r>
    </w:p>
    <w:sectPr w:rsidR="00FC693F" w:rsidRPr="0006063C" w:rsidSect="00034616">
      <w:pgSz w:w="12240" w:h="15840"/>
      <w:pgMar w:top="1296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00" w:lineRule="auto"/>
    </w:pPr>
    <w:rPr>
      <w:rFonts w:ascii="Calibri" w:hAnsi="Calibri" w:eastAsia="PingFang SC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00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00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eastAsia="PingFang S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