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PingFang SC"/>
          <w:b/>
          <w:color w:val="0B2545"/>
          <w:sz w:val="48"/>
        </w:rPr>
        <w:t>阳明子《四民异业而同道》三课时教学计划</w:t>
      </w:r>
    </w:p>
    <w:p>
      <w:pPr>
        <w:pStyle w:val="Subtitle"/>
      </w:pPr>
      <w:r>
        <w:rPr>
          <w:rFonts w:ascii="Calibri" w:hAnsi="Calibri" w:eastAsia="PingFang SC"/>
          <w:color w:val="555555"/>
          <w:sz w:val="24"/>
        </w:rPr>
        <w:t>围绕未选入课文段落，补足典故证据链，兼顾词汇疑难、文法结构、论证方法与精神意义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  <w:vAlign w:val="center"/>
          </w:tcPr>
          <w:p>
            <w:r>
              <w:rPr>
                <w:rFonts w:ascii="Calibri" w:hAnsi="Calibri" w:eastAsia="PingFang SC"/>
                <w:b/>
                <w:color w:val="0B2545"/>
                <w:sz w:val="22"/>
              </w:rPr>
              <w:t>总设计思路</w:t>
            </w:r>
          </w:p>
          <w:p>
            <w:r>
              <w:rPr>
                <w:rFonts w:ascii="Calibri" w:hAnsi="Calibri" w:eastAsia="PingFang SC"/>
              </w:rPr>
              <w:t>三课时按“读懂字句—看清论证—迁移价值”推进。未选段不是旁枝，而是王阳明证明“四民异业而同道”的历史证据库：它把帝王用人、商周贤士、孔门隐者与匠人都放在同一条价值线上，帮助学生理解“职业不同，尽心与益人之道相同”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一、课文定位与学习目标</w:t>
      </w:r>
    </w:p>
    <w:p>
      <w:r>
        <w:rPr>
          <w:rFonts w:ascii="Calibri" w:hAnsi="Calibri" w:eastAsia="PingFang SC"/>
        </w:rPr>
        <w:t>适用对象：IGCSE 0509 Chinese First Language 高阶阅读与文言拓展课。课时建议：3课时，每课时40–45分钟。文本核心问题：为什么阳明子要说“四民异业而同道”？被省略的典故段怎样支撑这个判断？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层面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学生应达到的表现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词汇疑难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能解释“四民、尽心、归要、生人、歆士、宦游、工贾”等关键词，并把典故中的人物、身份、职业与论证作用对应起来。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文法结构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能分析“古者……一也”“士农以……而……犹其……也”“盖昔……”“自……而……于是……”等句式的语义关系。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论证能力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能说明本文先立论、再分说、后举证、终反衬的结构，并判断未选段在全文中的证据功能。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精神意义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能联系现代社会讨论职业尊严、公共价值与“尽心”的关系，避免把“同道”误解为职业无差别或功利主义。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二、课前准备</w:t>
      </w:r>
    </w:p>
    <w:p>
      <w:pPr>
        <w:pStyle w:val="ListBullet"/>
      </w:pPr>
      <w:r>
        <w:rPr>
          <w:rFonts w:ascii="Calibri" w:hAnsi="Calibri" w:eastAsia="PingFang SC"/>
        </w:rPr>
        <w:t>教师准备人物卡：稷、契、垂、益、夔、龙、伊尹、傅说、胶鬲、吕望、百里奚、孔子、仪封人、晨门、荷蒉丈人、轮扁。</w:t>
      </w:r>
    </w:p>
    <w:p>
      <w:pPr>
        <w:pStyle w:val="ListBullet"/>
      </w:pPr>
      <w:r>
        <w:rPr>
          <w:rFonts w:ascii="Calibri" w:hAnsi="Calibri" w:eastAsia="PingFang SC"/>
        </w:rPr>
        <w:t>学生课前任务：圈出文中表示职业的词，另用一种颜色圈出表示价值判断的词。</w:t>
      </w:r>
    </w:p>
    <w:p>
      <w:pPr>
        <w:pStyle w:val="ListBullet"/>
      </w:pPr>
      <w:r>
        <w:rPr>
          <w:rFonts w:ascii="Calibri" w:hAnsi="Calibri" w:eastAsia="PingFang SC"/>
        </w:rPr>
        <w:t>课堂材料：一张“人物—职业—成贤原因—论证作用”四栏活动纸；一张出口条。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</w:rPr>
        <w:t>三、词汇疑难总表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词语/典故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课堂解释与教学提示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四民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士、农、工、商。先让学生说出传统排序，再追问：本文是否认同这种高低排序？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异业而同道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职业分工不同，但若尽心尽力并有益于人群，其归向同一。重点是“道”的价值标准，不是职业内容相同。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其心尽焉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把自己的心力、责任与本分做到极致。“焉”可理解为“于此”。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归要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最终归结的要点。可与现代汉语“归根结底”相连。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生人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生民、百姓、人群。不是“陌生人”。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修治/具养/利器/通货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分别对应士之治理教化、农之供养、工之器用、商之流通。可做四民功能图。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舜叙九官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舜安排九官职务。作者用尧舜时代的政治秩序证明农业、教育、工艺、山泽管理等本来都属大道。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稷、契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稷掌农业，契掌教化。文中“首稷而次契”显示农业与教化并重，打破只尊士的单线价值。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垂工、益虞、夔龙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垂掌工，益掌山泽虞衡，夔掌乐，龙掌纳言。作者强调工、虞排在夔龙之前，突出实业与民生之重。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伊尹耕于莘野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伊尹曾耕作于莘野，后辅商汤。用来说明贤者不必从仕途起步。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傅说板筑于岩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傅说曾做筑墙劳作，后被殷高宗任用。注意“说”读 Yue。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胶鬲举于鱼盐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胶鬲从贩卖鱼盐中被举用，说明商贾身份并不妨碍贤德。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吕望钓于磻渭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姜太公在磻溪、渭水垂钓，被周文王任用。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百里奚处于市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百里奚曾在市井之中，后为秦相。强调贤能可出于市井。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孔子为乘田委吏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孔子曾任管理畜牧、仓库的小官。用圣人经历破除“低职即低人”的偏见。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仪封、晨门、荷蒉、斫轮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多见于《论语》《庄子》等书传中的高洁人物、隐者或技艺之士。课堂不必深考版本，可抓其共同点：不以身份贵贱定人格高下。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歆士而卑农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歆羡士人而轻贱农人。此处是阳明批判后世价值失衡的关键词。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荣宦游而耻工贾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以做官游仕为荣，以工商业为耻。可引出现代职业偏见讨论。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四、关键文法结构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结构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讲法与例句迁移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古者四民异业而同道，其心尽焉，一也。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“异业而同道”是转折并列：职业不同，但价值归一。“其心尽焉”解释“同道”的条件。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各就其资之所近、力之所及者而业焉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“所”字结构：所近、所及，表示“接近的东西、能够达到的范围”。可让学生改写为现代汉语。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其归要在于有益于生人之道，则一而已。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“在于……”表判断依据；“则……而已”表归结。注意“生人”是百姓。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士农以其尽心于……者，而……犹其士与农也。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“以其……者”说明原因；“犹其……”表示仍不失其本类价值。让学生套用“医生/工程师/商人”的现代例句。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盖昔……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“盖”引出解释和证据，相当于“原来、因为”。此段不是插叙闲笔，而是证据段。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首稷而次契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名词活用为动词：以稷为首，以契为次。可讲“首”“次”的排序功能。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伊尹耕于莘野 / 傅说板筑于岩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“于”引出地点；短句密排形成典故链，产生“例证压强”。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胶鬲举于鱼盐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“举于”有被举用、从某处被提拔之意。可提醒学生不要译成“举着鱼盐”。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自王道熄而学术乖……于是始有……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“自……而……于是……”构成历史转折：从大道衰微到价值颠倒。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五、三课时详案</w:t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第1课时：把省略段读成“证据地图”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300"/>
        <w:gridCol w:w="2600"/>
        <w:gridCol w:w="23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教学活动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教师抓手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学生产出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0–5分钟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快速导入：展示四个词“士、农、工、商”，让学生按传统地位排序，再按“对生活不可或缺程度”重新排序。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制造认知冲突：排序标准改变，价值判断就改变。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说出至少一个排序理由。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5–12分钟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朗读核心句：“古者四民异业而同道，其心尽焉，一也。”学生先尝试直译。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抓“异/同”“业/道”“心尽”三组关键词。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完成一句现代汉语译文。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12–25分钟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人物卡配对：每组领取6张人物卡，匹配“人物—原职业/身份—后来地位—共同意义”。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卡片不追求百科细节，重点问：这个例子怎样反驳“耻工贾”？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完成四栏活动纸。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25–35分钟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全班共建证据地图：舜九官、商周贤士、孔门隐者/技艺之士三层。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板书三层证据：制度证据、历史人物证据、书传证据。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能说出每层证据的作用。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35–43分钟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词义抢答：教师读解释，学生抢答词语；或教师给词语，学生用一句话解释。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重点校正“生人”“举于”“处于市”“歆士”等误读。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出口条：写出三个最容易误解的词。</w:t>
            </w:r>
          </w:p>
        </w:tc>
      </w:tr>
    </w:tbl>
    <w:p/>
    <w:p>
      <w:r>
        <w:rPr>
          <w:rFonts w:ascii="Calibri" w:hAnsi="Calibri" w:eastAsia="PingFang SC"/>
        </w:rPr>
        <w:t>本课重点：让学生明白省略段的价值不是“多几个典故”，而是把抽象观点压实为历史证据。</w:t>
      </w:r>
    </w:p>
    <w:p>
      <w:r>
        <w:rPr>
          <w:rFonts w:ascii="Calibri" w:hAnsi="Calibri" w:eastAsia="PingFang SC"/>
        </w:rPr>
        <w:t>本课难点：典故数量多，容易变成死记硬背。解决办法是按证据功能分类，而不是逐条讲掌故。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第2课时：从句式看论证怎样推进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300"/>
        <w:gridCol w:w="2600"/>
        <w:gridCol w:w="23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教学活动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教师抓手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学生产出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0–6分钟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复盘测验：给出5个典故，学生写出其职业/身份和共同论证点。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只要抓住“贤者可出于农、工、商、市井、微职”即可。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5题小测。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6–16分钟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句式拆解：“士农以其尽心于……者，而……犹其士与农也。”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用颜色标出原因、行为、判断三部分。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完成结构标注。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16–25分钟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句式迁移：把现代职业套入句式，例如“教师以其尽心于育人者，而研究技术，犹其教师也。”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提醒学生不要机械仿写，要保留“尽心”和“益人”条件。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每组写2句现代仿句。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25–34分钟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论证链排序：给学生打乱的五张论证牌：立论、分说四民、归结标准、举古证今、批判后世。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追问“盖昔”承上启下的功能。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排出论证流程并说明理由。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34–43分钟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微型辩论：省略段如果删除，课文论证会损失什么？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引导回答从“证据密度、历史权威、反偏见力度”三方面展开。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形成3句答题模板。</w:t>
            </w:r>
          </w:p>
        </w:tc>
      </w:tr>
    </w:tbl>
    <w:p/>
    <w:p>
      <w:r>
        <w:rPr>
          <w:rFonts w:ascii="Calibri" w:hAnsi="Calibri" w:eastAsia="PingFang SC"/>
        </w:rPr>
        <w:t>本课重点：掌握文言句式背后的逻辑关系。</w:t>
      </w:r>
    </w:p>
    <w:p>
      <w:r>
        <w:rPr>
          <w:rFonts w:ascii="Calibri" w:hAnsi="Calibri" w:eastAsia="PingFang SC"/>
        </w:rPr>
        <w:t>本课难点：学生会把文法分析做成零碎翻译。解决办法是每讲一个句式，都追问它服务于哪个论证步骤。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第3课时：精神意义与现代迁移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300"/>
        <w:gridCol w:w="2600"/>
        <w:gridCol w:w="23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教学活动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教师抓手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学生产出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0–5分钟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价值判断投票：哪些工作更“有价值”？医生、农民、工程师、外卖员、商人、艺术家、清洁工、研究员。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不急着纠正，先记录学生标准。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说出价值标准。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5–15分钟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回到原文：“其归要在于有益于生人之道，则一而已。”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把“有益于生人”解释为公共价值；把“尽心”解释为责任伦理。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一句话概括本文精神。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15–25分钟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观点光谱：A端“职业有高低”，B端“职业无高低”。学生站位并用文本论证。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推动更精确表达：职业分工有差异，人的价值不应由职业贵贱决定。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完成一次文本引用发言。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25–36分钟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写作工作坊：题目“从‘四民异业而同道’看现代职业尊严”。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提供结构：观点句—文本证据—现代例子—回应偏见—结论。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写150–220字短论。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36–43分钟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同伴互评：用量规给出一条赞赏、一条修改建议。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重点看是否引用文本、是否解释“尽心/益人”、是否避免空泛说教。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修改一处论证。</w:t>
            </w:r>
          </w:p>
        </w:tc>
      </w:tr>
    </w:tbl>
    <w:p/>
    <w:p>
      <w:r>
        <w:rPr>
          <w:rFonts w:ascii="Calibri" w:hAnsi="Calibri" w:eastAsia="PingFang SC"/>
        </w:rPr>
        <w:t>本课重点：从文本走向现实，但不脱离文本。</w:t>
      </w:r>
    </w:p>
    <w:p>
      <w:r>
        <w:rPr>
          <w:rFonts w:ascii="Calibri" w:hAnsi="Calibri" w:eastAsia="PingFang SC"/>
        </w:rPr>
        <w:t>本课难点：学生容易把主题讲成“职业都很伟大”的口号。解决办法是要求每个观点必须回扣“尽心”和“有益于生人”。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</w:rPr>
        <w:t>六、板书设计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板书模块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中心命题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四民异业而同道：异在职业分工，同在尽心益人。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证据地图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制度证据：舜叙九官；历史贤士：伊尹、傅说、胶鬲、吕望、百里奚、孔子；书传人物：仪封、晨门、荷蒉、斫轮。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论证流程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立论 → 分说四民 → 归结标准 → 举古证今 → 批判后世价值颠倒。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精神意义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反职业偏见；重实际民生；以责任和公共价值衡量人。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七、课堂活动卡与问题设计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60"/>
        <w:gridCol w:w="32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活动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操作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高效提问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人物卡牌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每张卡只写人物名与一句线索，学生补职业、地位和论证作用。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这个人为什么能证明“工贾不必为耻”？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证据阶梯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把典故按“制度、贤士、书传”三层贴到黑板。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哪一层证据最有说服力？为什么？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句式换装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保留“以其尽心于……者，而……犹其……也”的结构，套入现代职业。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如果没有“尽心”，这个句式还成立吗？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观点光谱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学生按立场站位，再必须用原文词语调整自己的观点。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“职业无高低”这句话是否过于简单？原文更精确的说法是什么？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八、评价与作业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560"/>
        <w:gridCol w:w="21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评价项目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达成标准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快速检查方式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词义掌握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能准确解释关键词，尤其能避免把“生人”译为陌生人，把“举于鱼盐”误解为动作描写。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5分钟词义出口条。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文法分析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能指出句式中的因果、转折、归结、举证关系。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给一句原文做颜色标注。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论证理解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能说明省略段是证据段，且能概括三层证据。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用“如果删除此段，会……”写3句。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价值迁移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能用“尽心”“有益于生人”评价现代职业，不停留在口号。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150–220字短论或1分钟口头表达。</w:t>
            </w:r>
          </w:p>
        </w:tc>
      </w:tr>
    </w:tbl>
    <w:p/>
    <w:p>
      <w:r>
        <w:rPr>
          <w:rFonts w:ascii="Calibri" w:hAnsi="Calibri" w:eastAsia="PingFang SC"/>
        </w:rPr>
        <w:t>课后作业二选一：</w:t>
      </w:r>
    </w:p>
    <w:p>
      <w:pPr>
        <w:pStyle w:val="ListBullet"/>
      </w:pPr>
      <w:r>
        <w:rPr>
          <w:rFonts w:ascii="Calibri" w:hAnsi="Calibri" w:eastAsia="PingFang SC"/>
        </w:rPr>
        <w:t>基础型：整理10个关键词，每个词写“原文语境+现代汉语解释+易错点”。</w:t>
      </w:r>
    </w:p>
    <w:p>
      <w:pPr>
        <w:pStyle w:val="ListBullet"/>
      </w:pPr>
      <w:r>
        <w:rPr>
          <w:rFonts w:ascii="Calibri" w:hAnsi="Calibri" w:eastAsia="PingFang SC"/>
        </w:rPr>
        <w:t>提升型：以“省略段是否应该放回课文”为题写250–350字短评，至少引用两个典故。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</w:rPr>
        <w:t>九、差异化支持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学生类型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支持方式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文言基础较弱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给出半成品译文，只留关键词空格；人物卡减少到6张，先抓共同意义。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中等学生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要求独立完成句式标注，并能把典故归入三层证据。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高阶学生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追问王阳明为何从心学角度重估职业：‘尽心’如何连接个人本分与社会价值？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十、教师提醒：容易讲偏的地方</w:t>
      </w:r>
    </w:p>
    <w:p>
      <w:pPr>
        <w:pStyle w:val="ListNumber"/>
      </w:pPr>
      <w:r>
        <w:rPr>
          <w:rFonts w:ascii="Calibri" w:hAnsi="Calibri" w:eastAsia="PingFang SC"/>
        </w:rPr>
        <w:t>不要把典故段讲成历史人物百科。人物细节服务于论证，核心是“贤圣英贤可出于不同职业和身份”。</w:t>
      </w:r>
    </w:p>
    <w:p>
      <w:pPr>
        <w:pStyle w:val="ListNumber"/>
      </w:pPr>
      <w:r>
        <w:rPr>
          <w:rFonts w:ascii="Calibri" w:hAnsi="Calibri" w:eastAsia="PingFang SC"/>
        </w:rPr>
        <w:t>不要把“同道”讲成职业完全没有差异。原文承认“异业”，只是反对以职业分工定人格高低。</w:t>
      </w:r>
    </w:p>
    <w:p>
      <w:pPr>
        <w:pStyle w:val="ListNumber"/>
      </w:pPr>
      <w:r>
        <w:rPr>
          <w:rFonts w:ascii="Calibri" w:hAnsi="Calibri" w:eastAsia="PingFang SC"/>
        </w:rPr>
        <w:t>不要把“有益于生人”讲成狭隘功利。这里强调责任、民生与公共价值，而不是单纯赚钱或效率。</w:t>
      </w:r>
    </w:p>
    <w:p>
      <w:pPr>
        <w:pStyle w:val="ListNumber"/>
      </w:pPr>
      <w:r>
        <w:rPr>
          <w:rFonts w:ascii="Calibri" w:hAnsi="Calibri" w:eastAsia="PingFang SC"/>
        </w:rPr>
        <w:t>不要只做价值讨论而忘记文言训练。每个讨论点都要回到关键词、句式或典故证据。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</w:rPr>
        <w:t>附录：可打印出口条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出口条题目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color w:val="0B2545"/>
              </w:rPr>
              <w:t>学生作答空间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1. 今天我最容易误解的一个词是：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2. 省略段中最能支持“四民异业而同道”的一个人物是：因为：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3. 用一句话解释“尽心”和“有益于生人”的关系：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  <w:t>4. 我还想追问的问题：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55555"/>
        <w:sz w:val="18"/>
      </w:rPr>
      <w:t>教师参考稿｜词义、文法、论证与精神意义整合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color w:val="555555"/>
        <w:sz w:val="18"/>
      </w:rPr>
      <w:t>阳明子《四民异业而同道》三课时教学计划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PingFang SC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PingFang SC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PingFang SC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