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PingFang SC" w:hAnsi="PingFang SC" w:eastAsia="PingFang SC"/>
          <w:b/>
          <w:color w:val="222831"/>
          <w:sz w:val="40"/>
        </w:rPr>
        <w:t>[唐代] 杜甫 《严郑公宅同咏竹》 批注海报</w:t>
      </w:r>
    </w:p>
    <w:p>
      <w:pPr>
        <w:spacing w:after="240"/>
        <w:jc w:val="center"/>
      </w:pPr>
      <w:r>
        <w:rPr>
          <w:rFonts w:ascii="PingFang SC" w:hAnsi="PingFang SC" w:eastAsia="PingFang SC"/>
          <w:color w:val="6D675F"/>
          <w:sz w:val="20"/>
        </w:rPr>
        <w:t>蓝色：拼音    红色：字义/句意    金色下划线：人物、地名（Word批注）</w:t>
      </w:r>
    </w:p>
    <w:p>
      <w:pPr>
        <w:pStyle w:val="Heading2"/>
      </w:pPr>
      <w: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词语</w:t>
            </w:r>
          </w:p>
        </w:tc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提示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绿竹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全文的中心对象，既写景，也写品格。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含箨 / 新梢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写竹笋初生，强调生命力正在展开。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书帙 / 酒樽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竹影进入室内，连读书、饮酒都带上清凉。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剪伐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末句的关键动作：不要伤竹、不要折损美好。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拂云长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终将长到云边，写出竹的高势与愿景。</w:t>
            </w:r>
          </w:p>
        </w:tc>
      </w:tr>
    </w:tbl>
    <w:p>
      <w:pPr>
        <w:pStyle w:val="Heading2"/>
      </w:pPr>
      <w:r>
        <w:t>正文批注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b/>
          <w:color w:val="222831"/>
          <w:sz w:val="24"/>
          <w:u w:val="single"/>
        </w:rPr>
        <w:t>绿竹</w:t>
      </w:r>
      <w:r>
        <w:rPr>
          <w:rFonts w:ascii="Songti SC" w:hAnsi="Songti SC" w:eastAsia="Songti SC"/>
          <w:sz w:val="24"/>
        </w:rPr>
        <w:t>半含</w:t>
      </w:r>
      <w:r>
        <w:rPr>
          <w:rFonts w:ascii="Songti SC" w:hAnsi="Songti SC" w:eastAsia="Songti SC"/>
          <w:sz w:val="24"/>
        </w:rPr>
        <w:t>箨</w:t>
      </w:r>
      <w:r>
        <w:rPr>
          <w:rFonts w:ascii="PingFang SC" w:hAnsi="PingFang SC" w:eastAsia="PingFang SC"/>
          <w:b/>
          <w:color w:val="1D5FBF"/>
          <w:sz w:val="21"/>
        </w:rPr>
        <w:t>(tuò)</w:t>
      </w:r>
      <w:r>
        <w:rPr>
          <w:rFonts w:ascii="PingFang SC" w:hAnsi="PingFang SC" w:eastAsia="PingFang SC"/>
          <w:b/>
          <w:color w:val="C63D32"/>
          <w:sz w:val="21"/>
        </w:rPr>
        <w:t>（竹笋外壳）</w:t>
      </w:r>
      <w:r>
        <w:rPr>
          <w:rFonts w:ascii="Songti SC" w:hAnsi="Songti SC" w:eastAsia="Songti SC"/>
          <w:sz w:val="24"/>
        </w:rPr>
        <w:t>，</w:t>
      </w:r>
      <w:r>
        <w:rPr>
          <w:rFonts w:ascii="Songti SC" w:hAnsi="Songti SC" w:eastAsia="Songti SC"/>
          <w:sz w:val="24"/>
        </w:rPr>
        <w:t>新梢</w:t>
      </w:r>
      <w:r>
        <w:rPr>
          <w:rFonts w:ascii="PingFang SC" w:hAnsi="PingFang SC" w:eastAsia="PingFang SC"/>
          <w:b/>
          <w:color w:val="1D5FBF"/>
          <w:sz w:val="21"/>
        </w:rPr>
        <w:t>(shāo)</w:t>
      </w:r>
      <w:r>
        <w:rPr>
          <w:rFonts w:ascii="PingFang SC" w:hAnsi="PingFang SC" w:eastAsia="PingFang SC"/>
          <w:b/>
          <w:color w:val="C63D32"/>
          <w:sz w:val="21"/>
        </w:rPr>
        <w:t>（新长竹枝）</w:t>
      </w:r>
      <w:r>
        <w:rPr>
          <w:rFonts w:ascii="Songti SC" w:hAnsi="Songti SC" w:eastAsia="Songti SC"/>
          <w:sz w:val="24"/>
        </w:rPr>
        <w:t>才出墙。色侵</w:t>
      </w:r>
      <w:r>
        <w:rPr>
          <w:rFonts w:ascii="Songti SC" w:hAnsi="Songti SC" w:eastAsia="Songti SC"/>
          <w:sz w:val="24"/>
        </w:rPr>
        <w:t>书帙</w:t>
      </w:r>
      <w:r>
        <w:rPr>
          <w:rFonts w:ascii="PingFang SC" w:hAnsi="PingFang SC" w:eastAsia="PingFang SC"/>
          <w:b/>
          <w:color w:val="1D5FBF"/>
          <w:sz w:val="21"/>
        </w:rPr>
        <w:t>(zhì)</w:t>
      </w:r>
      <w:r>
        <w:rPr>
          <w:rFonts w:ascii="PingFang SC" w:hAnsi="PingFang SC" w:eastAsia="PingFang SC"/>
          <w:b/>
          <w:color w:val="C63D32"/>
          <w:sz w:val="21"/>
        </w:rPr>
        <w:t>（书卷封套）</w:t>
      </w:r>
      <w:r>
        <w:rPr>
          <w:rFonts w:ascii="Songti SC" w:hAnsi="Songti SC" w:eastAsia="Songti SC"/>
          <w:sz w:val="24"/>
        </w:rPr>
        <w:t>晚，阴过</w:t>
      </w:r>
      <w:r>
        <w:rPr>
          <w:rFonts w:ascii="Songti SC" w:hAnsi="Songti SC" w:eastAsia="Songti SC"/>
          <w:b/>
          <w:color w:val="222831"/>
          <w:sz w:val="24"/>
          <w:u w:val="single"/>
        </w:rPr>
        <w:t>酒樽</w:t>
      </w:r>
      <w:r>
        <w:rPr>
          <w:rFonts w:ascii="PingFang SC" w:hAnsi="PingFang SC" w:eastAsia="PingFang SC"/>
          <w:b/>
          <w:color w:val="1D5FBF"/>
          <w:sz w:val="21"/>
        </w:rPr>
        <w:t>(zūn)</w:t>
      </w:r>
      <w:r>
        <w:rPr>
          <w:rFonts w:ascii="PingFang SC" w:hAnsi="PingFang SC" w:eastAsia="PingFang SC"/>
          <w:b/>
          <w:color w:val="C63D32"/>
          <w:sz w:val="21"/>
        </w:rPr>
        <w:t>（酒器）</w:t>
      </w:r>
      <w:r>
        <w:rPr>
          <w:rFonts w:ascii="Songti SC" w:hAnsi="Songti SC" w:eastAsia="Songti SC"/>
          <w:sz w:val="24"/>
        </w:rPr>
        <w:t>凉。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雨洗</w:t>
      </w:r>
      <w:r>
        <w:rPr>
          <w:rFonts w:ascii="Songti SC" w:hAnsi="Songti SC" w:eastAsia="Songti SC"/>
          <w:sz w:val="24"/>
        </w:rPr>
        <w:t>娟娟</w:t>
      </w:r>
      <w:r>
        <w:rPr>
          <w:rFonts w:ascii="PingFang SC" w:hAnsi="PingFang SC" w:eastAsia="PingFang SC"/>
          <w:b/>
          <w:color w:val="1D5FBF"/>
          <w:sz w:val="21"/>
        </w:rPr>
        <w:t>(juān juān)</w:t>
      </w:r>
      <w:r>
        <w:rPr>
          <w:rFonts w:ascii="PingFang SC" w:hAnsi="PingFang SC" w:eastAsia="PingFang SC"/>
          <w:b/>
          <w:color w:val="C63D32"/>
          <w:sz w:val="21"/>
        </w:rPr>
        <w:t>（清美柔和）</w:t>
      </w:r>
      <w:r>
        <w:rPr>
          <w:rFonts w:ascii="Songti SC" w:hAnsi="Songti SC" w:eastAsia="Songti SC"/>
          <w:sz w:val="24"/>
        </w:rPr>
        <w:t>净，风吹细细香。但令</w:t>
      </w:r>
      <w:r>
        <w:rPr>
          <w:rFonts w:ascii="PingFang SC" w:hAnsi="PingFang SC" w:eastAsia="PingFang SC"/>
          <w:b/>
          <w:color w:val="C63D32"/>
          <w:sz w:val="21"/>
        </w:rPr>
        <w:t>（只要）</w:t>
      </w:r>
      <w:r>
        <w:rPr>
          <w:rFonts w:ascii="Songti SC" w:hAnsi="Songti SC" w:eastAsia="Songti SC"/>
          <w:sz w:val="24"/>
        </w:rPr>
        <w:t>无</w:t>
      </w:r>
      <w:r>
        <w:rPr>
          <w:rFonts w:ascii="Songti SC" w:hAnsi="Songti SC" w:eastAsia="Songti SC"/>
          <w:sz w:val="24"/>
        </w:rPr>
        <w:t>剪伐</w:t>
      </w:r>
      <w:r>
        <w:rPr>
          <w:rFonts w:ascii="PingFang SC" w:hAnsi="PingFang SC" w:eastAsia="PingFang SC"/>
          <w:b/>
          <w:color w:val="C63D32"/>
          <w:sz w:val="21"/>
        </w:rPr>
        <w:t>（砍伐修剪）</w:t>
      </w:r>
      <w:r>
        <w:rPr>
          <w:rFonts w:ascii="Songti SC" w:hAnsi="Songti SC" w:eastAsia="Songti SC"/>
          <w:sz w:val="24"/>
        </w:rPr>
        <w:t>，会见</w:t>
      </w:r>
      <w:r>
        <w:rPr>
          <w:rFonts w:ascii="PingFang SC" w:hAnsi="PingFang SC" w:eastAsia="PingFang SC"/>
          <w:b/>
          <w:color w:val="C63D32"/>
          <w:sz w:val="21"/>
        </w:rPr>
        <w:t>（终会看见）</w:t>
      </w:r>
      <w:r>
        <w:rPr>
          <w:rFonts w:ascii="Songti SC" w:hAnsi="Songti SC" w:eastAsia="Songti SC"/>
          <w:sz w:val="24"/>
        </w:rPr>
        <w:t>拂云</w:t>
      </w:r>
      <w:r>
        <w:rPr>
          <w:rFonts w:ascii="Songti SC" w:hAnsi="Songti SC" w:eastAsia="Songti SC"/>
          <w:sz w:val="24"/>
        </w:rPr>
        <w:t>长</w:t>
      </w:r>
      <w:r>
        <w:rPr>
          <w:rFonts w:ascii="PingFang SC" w:hAnsi="PingFang SC" w:eastAsia="PingFang SC"/>
          <w:b/>
          <w:color w:val="1D5FBF"/>
          <w:sz w:val="21"/>
        </w:rPr>
        <w:t>(zhǎng)</w:t>
      </w:r>
      <w:r>
        <w:rPr>
          <w:rFonts w:ascii="PingFang SC" w:hAnsi="PingFang SC" w:eastAsia="PingFang SC"/>
          <w:b/>
          <w:color w:val="C63D32"/>
          <w:sz w:val="21"/>
        </w:rPr>
        <w:t>（长到云边）</w:t>
      </w:r>
      <w:r>
        <w:rPr>
          <w:rFonts w:ascii="Songti SC" w:hAnsi="Songti SC" w:eastAsia="Songti SC"/>
          <w:sz w:val="24"/>
        </w:rPr>
        <w:t>。</w:t>
      </w:r>
    </w:p>
    <w:p>
      <w:pPr>
        <w:pStyle w:val="Heading2"/>
      </w:pPr>
      <w:r>
        <w:t>人物 / 地名批注</w:t>
      </w:r>
    </w:p>
    <w:p>
      <w:commentRangeStart w:id="0"/>
      <w:r>
        <w:rPr>
          <w:rFonts w:ascii="Songti SC" w:hAnsi="Songti SC" w:eastAsia="Songti SC"/>
          <w:b/>
          <w:color w:val="B8791A"/>
          <w:sz w:val="24"/>
          <w:u w:val="single"/>
        </w:rPr>
        <w:t>严郑公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自学提示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学生自学：先看顶部核心词，再读黑色原文、蓝色读音和红色短注。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核心问题：这首诗为什么从“竹”的清新外形，写到“不要剪伐”和“拂云长”?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严郑公</w:t>
      </w:r>
    </w:p>
    <w:p>
      <w:pPr>
        <w:pStyle w:val="CommentText"/>
      </w:pPr>
      <w:r>
        <w:t>严武，杜甫友人。题目点出作诗地点和对象。</w:t>
      </w:r>
    </w:p>
    <w:p>
      <w:pPr>
        <w:pStyle w:val="CommentText"/>
      </w:pPr>
      <w:r>
        <w:t>先记“宅”，再咏“竹”，是应酬诗常见的写法。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Songti SC" w:hAnsi="Songti SC" w:eastAsia="Songti SC"/>
      <w:color w:val="22283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