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[宋代] 苏轼 《於潜僧绿筠轩》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食无肉 / 居无竹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这是全诗的价值选择：宁缺肉，不可无竹。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俗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诗中反复对立的词，代表庸俗、粗鄙。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此君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古人对竹的敬称，把竹写成像君子一样的人。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俗士不可医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夸张而锋利的说法，讽刺太俗的人难以矫正。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扬州鹤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结尾典故，带着戏谑，收住全诗的机锋。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宁可食无肉</w:t>
      </w:r>
      <w:r>
        <w:rPr>
          <w:rFonts w:ascii="PingFang SC" w:hAnsi="PingFang SC" w:eastAsia="PingFang SC"/>
          <w:b/>
          <w:color w:val="C63D32"/>
          <w:sz w:val="21"/>
        </w:rPr>
        <w:t>（吃饭可以没有肉）</w:t>
      </w:r>
      <w:r>
        <w:rPr>
          <w:rFonts w:ascii="Songti SC" w:hAnsi="Songti SC" w:eastAsia="Songti SC"/>
          <w:sz w:val="24"/>
        </w:rPr>
        <w:t>，不可</w:t>
      </w:r>
      <w:r>
        <w:rPr>
          <w:rFonts w:ascii="Songti SC" w:hAnsi="Songti SC" w:eastAsia="Songti SC"/>
          <w:sz w:val="24"/>
        </w:rPr>
        <w:t>居无竹</w:t>
      </w:r>
      <w:r>
        <w:rPr>
          <w:rFonts w:ascii="PingFang SC" w:hAnsi="PingFang SC" w:eastAsia="PingFang SC"/>
          <w:b/>
          <w:color w:val="C63D32"/>
          <w:sz w:val="21"/>
        </w:rPr>
        <w:t>（居住不能没有竹）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无肉令人瘦，无竹令人俗</w:t>
      </w:r>
      <w:r>
        <w:rPr>
          <w:rFonts w:ascii="PingFang SC" w:hAnsi="PingFang SC" w:eastAsia="PingFang SC"/>
          <w:b/>
          <w:color w:val="C63D32"/>
          <w:sz w:val="21"/>
        </w:rPr>
        <w:t>（俗气）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人瘦尚可肥，</w:t>
      </w:r>
      <w:r>
        <w:rPr>
          <w:rFonts w:ascii="Songti SC" w:hAnsi="Songti SC" w:eastAsia="Songti SC"/>
          <w:sz w:val="24"/>
        </w:rPr>
        <w:t>俗士不可医</w:t>
      </w:r>
      <w:r>
        <w:rPr>
          <w:rFonts w:ascii="PingFang SC" w:hAnsi="PingFang SC" w:eastAsia="PingFang SC"/>
          <w:b/>
          <w:color w:val="C63D32"/>
          <w:sz w:val="21"/>
        </w:rPr>
        <w:t>（庸俗难矫正）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旁人笑此言，似高还似痴</w:t>
      </w:r>
      <w:r>
        <w:rPr>
          <w:rFonts w:ascii="PingFang SC" w:hAnsi="PingFang SC" w:eastAsia="PingFang SC"/>
          <w:b/>
          <w:color w:val="C63D32"/>
          <w:sz w:val="21"/>
        </w:rPr>
        <w:t>（像高雅，又像痴傻）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若对</w:t>
      </w:r>
      <w:r>
        <w:rPr>
          <w:rFonts w:ascii="Songti SC" w:hAnsi="Songti SC" w:eastAsia="Songti SC"/>
          <w:sz w:val="24"/>
        </w:rPr>
        <w:t>此君</w:t>
      </w:r>
      <w:r>
        <w:rPr>
          <w:rFonts w:ascii="PingFang SC" w:hAnsi="PingFang SC" w:eastAsia="PingFang SC"/>
          <w:b/>
          <w:color w:val="1D5FBF"/>
          <w:sz w:val="21"/>
        </w:rPr>
        <w:t>(cǐ jūn)</w:t>
      </w:r>
      <w:r>
        <w:rPr>
          <w:rFonts w:ascii="PingFang SC" w:hAnsi="PingFang SC" w:eastAsia="PingFang SC"/>
          <w:b/>
          <w:color w:val="C63D32"/>
          <w:sz w:val="21"/>
        </w:rPr>
        <w:t>（竹的敬称）</w:t>
      </w:r>
      <w:r>
        <w:rPr>
          <w:rFonts w:ascii="Songti SC" w:hAnsi="Songti SC" w:eastAsia="Songti SC"/>
          <w:sz w:val="24"/>
        </w:rPr>
        <w:t>仍</w:t>
      </w:r>
      <w:r>
        <w:rPr>
          <w:rFonts w:ascii="Songti SC" w:hAnsi="Songti SC" w:eastAsia="Songti SC"/>
          <w:sz w:val="24"/>
        </w:rPr>
        <w:t>大嚼</w:t>
      </w:r>
      <w:r>
        <w:rPr>
          <w:rFonts w:ascii="PingFang SC" w:hAnsi="PingFang SC" w:eastAsia="PingFang SC"/>
          <w:b/>
          <w:color w:val="1D5FBF"/>
          <w:sz w:val="21"/>
        </w:rPr>
        <w:t>(jiáo)</w:t>
      </w:r>
      <w:r>
        <w:rPr>
          <w:rFonts w:ascii="PingFang SC" w:hAnsi="PingFang SC" w:eastAsia="PingFang SC"/>
          <w:b/>
          <w:color w:val="C63D32"/>
          <w:sz w:val="21"/>
        </w:rPr>
        <w:t>（大口咀嚼）</w:t>
      </w:r>
      <w:r>
        <w:rPr>
          <w:rFonts w:ascii="Songti SC" w:hAnsi="Songti SC" w:eastAsia="Songti SC"/>
          <w:sz w:val="24"/>
        </w:rPr>
        <w:t>，世间哪有</w:t>
      </w:r>
      <w:r>
        <w:rPr>
          <w:rFonts w:ascii="Songti SC" w:hAnsi="Songti SC" w:eastAsia="Songti SC"/>
          <w:sz w:val="24"/>
        </w:rPr>
        <w:t>扬州鹤</w:t>
      </w:r>
      <w:r>
        <w:rPr>
          <w:rFonts w:ascii="PingFang SC" w:hAnsi="PingFang SC" w:eastAsia="PingFang SC"/>
          <w:b/>
          <w:color w:val="1D5FBF"/>
          <w:sz w:val="21"/>
        </w:rPr>
        <w:t>(yáng zhōu hè)</w:t>
      </w:r>
      <w:r>
        <w:rPr>
          <w:rFonts w:ascii="PingFang SC" w:hAnsi="PingFang SC" w:eastAsia="PingFang SC"/>
          <w:b/>
          <w:color w:val="C63D32"/>
          <w:sz w:val="21"/>
        </w:rPr>
        <w:t>（高雅超脱的典故）</w:t>
      </w:r>
      <w:r>
        <w:rPr>
          <w:rFonts w:ascii="Songti SC" w:hAnsi="Songti SC" w:eastAsia="Songti SC"/>
          <w:sz w:val="24"/>
        </w:rPr>
        <w:t>。</w:t>
      </w:r>
    </w:p>
    <w:p>
      <w:pPr>
        <w:pStyle w:val="Heading2"/>
      </w:pPr>
      <w:r>
        <w:t>人物 / 地名批注</w:t>
      </w:r>
    </w:p>
    <w:p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於潜 (yú qián)</w:t>
      </w:r>
      <w:commentRangeEnd w:id="0"/>
      <w:r>
        <w:rPr>
          <w:rStyle w:val="CommentReference"/>
        </w:rPr>
        <w:commentReference w:id="0"/>
      </w:r>
      <w:r>
        <w:rPr>
          <w:rFonts w:ascii="Songti SC" w:hAnsi="Songti SC" w:eastAsia="Songti SC"/>
          <w:sz w:val="24"/>
        </w:rPr>
        <w:t xml:space="preserve">　</w:t>
      </w: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绿筠 (lǜ yún)轩</w:t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学生自学：先看顶部核心词，再读黑色原文、蓝色读音和红色短注。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核心问题：苏轼为什么说“不可居无竹”？结尾为什么忽然提到“扬州鹤”？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於潜 (yú qián)</w:t>
      </w:r>
    </w:p>
    <w:p>
      <w:pPr>
        <w:pStyle w:val="CommentText"/>
      </w:pPr>
      <w:r>
        <w:t>地名，点出这首诗所指向的具体地方。</w:t>
      </w:r>
    </w:p>
    <w:p>
      <w:pPr>
        <w:pStyle w:val="CommentText"/>
      </w:pPr>
      <w:r>
        <w:t>题目先交代地点，再引出竹轩中的见闻。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绿筠 (lǜ yún)轩</w:t>
      </w:r>
    </w:p>
    <w:p>
      <w:pPr>
        <w:pStyle w:val="CommentText"/>
      </w:pPr>
      <w:r>
        <w:t>竹轩名。筠指竹皮，也常借指竹子。</w:t>
      </w:r>
    </w:p>
    <w:p>
      <w:pPr>
        <w:pStyle w:val="CommentText"/>
      </w:pPr>
      <w:r>
        <w:t>题目本身就在告诉读者：这里是竹的空间。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