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700" w:after="160" w:line="240" w:lineRule="auto"/>
        <w:jc w:val="center"/>
      </w:pPr>
      <w:r>
        <w:rPr>
          <w:rFonts w:ascii="STHeiti" w:hAnsi="STHeiti" w:eastAsia="STHeiti" w:cs="STHeiti"/>
          <w:b/>
          <w:color w:val="000000"/>
          <w:sz w:val="42"/>
        </w:rPr>
        <w:t>IGCSE 0509 中文第一语言 两年长期计划 修订版</w:t>
      </w:r>
    </w:p>
    <w:p>
      <w:pPr>
        <w:spacing w:before="0" w:after="300" w:line="264" w:lineRule="auto"/>
        <w:jc w:val="center"/>
      </w:pPr>
      <w:r>
        <w:rPr>
          <w:rFonts w:ascii="STHeiti" w:hAnsi="STHeiti" w:eastAsia="STHeiti" w:cs="STHeiti"/>
          <w:color w:val="4B5563"/>
          <w:sz w:val="22"/>
        </w:rPr>
        <w:t>含原计划审计 课程建议与学期实施框架</w:t>
      </w:r>
    </w:p>
    <w:p>
      <w:pPr>
        <w:spacing w:before="0" w:after="180" w:line="288" w:lineRule="auto"/>
      </w:pPr>
      <w:r>
        <w:rPr>
          <w:rFonts w:ascii="STHeiti" w:hAnsi="STHeiti" w:eastAsia="STHeiti" w:cs="STHeiti"/>
          <w:color w:val="1F2937"/>
          <w:sz w:val="21"/>
        </w:rPr>
        <w:t>结论：原计划的总课时与文本跨度足以支撑两年课程，但现有表格把“学过什么”列得较清楚，把“学生何时、以什么标准证明已掌握考试技能”留空。修订版保留《匠心》三大单元的核心阅读，并以每学期可观察的技能、定时写作、完整试卷和错因追踪补齐课程闭环。</w:t>
      </w:r>
    </w:p>
    <w:p>
      <w:pPr>
        <w:spacing w:before="0" w:after="240" w:line="288" w:lineRule="auto"/>
      </w:pPr>
      <w:r>
        <w:rPr>
          <w:rFonts w:ascii="STHeiti" w:hAnsi="STHeiti" w:eastAsia="STHeiti" w:cs="STHeiti"/>
          <w:color w:val="1F2937"/>
          <w:sz w:val="21"/>
        </w:rPr>
        <w:t>本计划按 2028 至 2029 年 Cambridge IGCSE 中文第一语言 0509 大纲编排。若本届学生的实际考试年份不是 2028 或 2029，须在课程开始前以该考试年份的正式大纲复核考评细节。</w:t>
      </w:r>
    </w:p>
    <w:p>
      <w:pPr>
        <w:pStyle w:val="Heading1"/>
        <w:keepNext/>
        <w:spacing w:before="240" w:after="100" w:line="252" w:lineRule="auto"/>
      </w:pPr>
      <w:r>
        <w:rPr>
          <w:rFonts w:ascii="STHeiti" w:hAnsi="STHeiti" w:eastAsia="STHeiti" w:cs="STHeiti"/>
          <w:b/>
          <w:color w:val="000000"/>
          <w:sz w:val="30"/>
        </w:rPr>
        <w:t>一 原计划审计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44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审计维度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原计划证据</w:t>
            </w:r>
          </w:p>
        </w:tc>
        <w:tc>
          <w:tcPr>
            <w:tcW w:type="dxa" w:w="1613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判断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修订建议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课时量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jc w:val="left"/>
            </w:pPr>
            <w:r>
              <w:rPr/>
              <w:t>151 小时：Y10 89 小时，Y11 教学、诊断、再教学与模拟 62 小时。</w:t>
            </w:r>
          </w:p>
        </w:tc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可行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jc w:val="left"/>
            </w:pPr>
            <w:r>
              <w:rPr/>
              <w:t>总量充足；锁定每周课时和校历。Y11T3 的 21 小时应保留为模拟、反馈与定向再教学，避免被活动或停课挤占。</w:t>
            </w:r>
          </w:p>
        </w:tc>
      </w:tr>
      <w:tr>
        <w:tc>
          <w:tcPr>
            <w:tcW w:type="dxa" w:w="144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试卷对齐</w:t>
            </w:r>
          </w:p>
        </w:tc>
        <w:tc>
          <w:tcPr>
            <w:tcW w:type="dxa" w:w="288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原表按“现代文、总结、文言文、作文”标注，未细分正式试卷的三个部分和两种作文区。</w:t>
            </w:r>
          </w:p>
        </w:tc>
        <w:tc>
          <w:tcPr>
            <w:tcW w:type="dxa" w:w="1613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需修订</w:t>
            </w:r>
          </w:p>
        </w:tc>
        <w:tc>
          <w:tcPr>
            <w:tcW w:type="dxa" w:w="324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改为：卷1语言理解与运用、指导式写作、文言文；卷2议论或论证、描写或记叙。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技能栏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8 个教学学期的“学习到的技能”均为空。</w:t>
            </w:r>
          </w:p>
        </w:tc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高优先级缺口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每学期写入可评估技能，并用统一评分量规和个人错因册追踪。</w:t>
            </w:r>
          </w:p>
        </w:tc>
      </w:tr>
      <w:tr>
        <w:tc>
          <w:tcPr>
            <w:tcW w:type="dxa" w:w="144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考核闭环</w:t>
            </w:r>
          </w:p>
        </w:tc>
        <w:tc>
          <w:tcPr>
            <w:tcW w:type="dxa" w:w="288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只在少数期末标明卷别；Y10T3、Y10T4、Y11T2 缺少明确终结性证据。</w:t>
            </w:r>
          </w:p>
        </w:tc>
        <w:tc>
          <w:tcPr>
            <w:tcW w:type="dxa" w:w="1613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高优先级缺口</w:t>
            </w:r>
          </w:p>
        </w:tc>
        <w:tc>
          <w:tcPr>
            <w:tcW w:type="dxa" w:w="324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每学期至少一项定时、留档、按试卷标准评分的任务；Y11 至少两轮完整模拟。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文言文准备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已安排两篇文言文，作品选择有价值。</w:t>
            </w:r>
          </w:p>
        </w:tc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方向正确但不足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考试为陌生明代短篇小说或文章节选；每学期加入短篇陌生语段，训练语境推断，不以背诵篇目替代阅读。</w:t>
            </w:r>
          </w:p>
        </w:tc>
      </w:tr>
      <w:tr>
        <w:tc>
          <w:tcPr>
            <w:tcW w:type="dxa" w:w="144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文本广度</w:t>
            </w:r>
          </w:p>
        </w:tc>
        <w:tc>
          <w:tcPr>
            <w:tcW w:type="dxa" w:w="288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小说、散文、评论、演说、诗歌、非文学文本兼具。</w:t>
            </w:r>
          </w:p>
        </w:tc>
        <w:tc>
          <w:tcPr>
            <w:tcW w:type="dxa" w:w="1613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优势</w:t>
            </w:r>
          </w:p>
        </w:tc>
        <w:tc>
          <w:tcPr>
            <w:tcW w:type="dxa" w:w="324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保留文本群；诗歌用于语言与结构分析，不应挤占卷1指导式写作和文言文的持续练习。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写作覆盖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原表有描写、记叙、议论、讨论的意图，但缺少字数、定时与受众语体要求。</w:t>
            </w:r>
          </w:p>
        </w:tc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需落实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四种写作都完成至少两次定时 400 至 600 字练习；指导式写作持续完成 250 至 350 字的双文本综合任务。</w:t>
            </w:r>
          </w:p>
        </w:tc>
      </w:tr>
      <w:tr>
        <w:tc>
          <w:tcPr>
            <w:tcW w:type="dxa" w:w="144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复习与分层</w:t>
            </w:r>
          </w:p>
        </w:tc>
        <w:tc>
          <w:tcPr>
            <w:tcW w:type="dxa" w:w="288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jc w:val="left"/>
            </w:pPr>
            <w:r>
              <w:rPr/>
              <w:t>Y11T3 原标为“Final revision”，需明确说明复习期仍保留模拟后的诊断、定向再教学与再测。</w:t>
            </w:r>
          </w:p>
        </w:tc>
        <w:tc>
          <w:tcPr>
            <w:tcW w:type="dxa" w:w="1613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jc w:val="left"/>
            </w:pPr>
            <w:r>
              <w:rPr/>
              <w:t>需落实</w:t>
            </w:r>
          </w:p>
        </w:tc>
        <w:tc>
          <w:tcPr>
            <w:tcW w:type="dxa" w:w="3240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jc w:val="left"/>
            </w:pPr>
            <w:r>
              <w:rPr/>
              <w:t>采用“模拟一—48小时诊断—定向微技能再教学—模拟二—考前交接”循环；停止大型新单元，但不停止针对性教学。</w:t>
            </w:r>
          </w:p>
        </w:tc>
      </w:tr>
    </w:tbl>
    <w:p>
      <w:pPr>
        <w:spacing w:before="0" w:after="80" w:line="240" w:lineRule="auto"/>
      </w:pPr>
    </w:p>
    <w:p>
      <w:pPr>
        <w:pStyle w:val="Heading1"/>
        <w:keepNext/>
        <w:spacing w:before="240" w:after="100" w:line="252" w:lineRule="auto"/>
      </w:pPr>
      <w:r>
        <w:rPr>
          <w:rFonts w:ascii="STHeiti" w:hAnsi="STHeiti" w:eastAsia="STHeiti" w:cs="STHeiti"/>
          <w:b/>
          <w:color w:val="000000"/>
          <w:sz w:val="30"/>
        </w:rPr>
        <w:t>二 修订的设计原则</w:t>
      </w:r>
    </w:p>
    <w:p>
      <w:pPr>
        <w:pStyle w:val="ListBullet"/>
        <w:spacing w:before="0" w:after="60" w:line="276" w:lineRule="auto"/>
      </w:pPr>
      <w:r>
        <w:rPr>
          <w:rFonts w:ascii="STHeiti" w:hAnsi="STHeiti" w:eastAsia="STHeiti" w:cs="STHeiti"/>
          <w:color w:val="1F2937"/>
          <w:sz w:val="20"/>
        </w:rPr>
        <w:t>以考试任务反推教学：每个文本单元同时服务阅读分析、信息选择与写作迁移，避免只做篇章讲解。</w:t>
      </w:r>
    </w:p>
    <w:p>
      <w:pPr>
        <w:pStyle w:val="ListBullet"/>
        <w:spacing w:before="0" w:after="60" w:line="276" w:lineRule="auto"/>
      </w:pPr>
      <w:r>
        <w:rPr>
          <w:rFonts w:ascii="STHeiti" w:hAnsi="STHeiti" w:eastAsia="STHeiti" w:cs="STHeiti"/>
          <w:color w:val="1F2937"/>
          <w:sz w:val="20"/>
        </w:rPr>
        <w:t>用螺旋式练习替代一次性覆盖：卷1三部分与卷2四种写作从 Y10T1 起反复出现，难度和定时要求逐步增加。</w:t>
      </w:r>
    </w:p>
    <w:p>
      <w:pPr>
        <w:pStyle w:val="ListBullet"/>
        <w:spacing w:before="0" w:after="60" w:line="276" w:lineRule="auto"/>
      </w:pPr>
      <w:r>
        <w:rPr>
          <w:rFonts w:ascii="STHeiti" w:hAnsi="STHeiti" w:eastAsia="STHeiti" w:cs="STHeiti"/>
          <w:color w:val="1F2937"/>
          <w:sz w:val="20"/>
        </w:rPr>
        <w:t>把文本教学与陌生材料分开安排：课内精读建立语言和结构意识；每两周至少一次陌生现代文或文言短篇迁移练习。</w:t>
      </w:r>
    </w:p>
    <w:p>
      <w:pPr>
        <w:pStyle w:val="ListBullet"/>
        <w:spacing w:before="0" w:after="60" w:line="276" w:lineRule="auto"/>
      </w:pPr>
      <w:r>
        <w:rPr>
          <w:rFonts w:ascii="STHeiti" w:hAnsi="STHeiti" w:eastAsia="STHeiti" w:cs="STHeiti"/>
          <w:color w:val="1F2937"/>
          <w:sz w:val="20"/>
        </w:rPr>
        <w:t>把评估变成决策工具：每次定时任务都记录一项优点、一项优先改进点和下一次的具体目标。</w:t>
      </w:r>
    </w:p>
    <w:p>
      <w:r>
        <w:br w:type="page"/>
      </w:r>
    </w:p>
    <w:p>
      <w:pPr>
        <w:pStyle w:val="Heading1"/>
        <w:keepNext/>
        <w:spacing w:before="240" w:after="100" w:line="252" w:lineRule="auto"/>
      </w:pPr>
      <w:r>
        <w:rPr>
          <w:rFonts w:ascii="STHeiti" w:hAnsi="STHeiti" w:eastAsia="STHeiti" w:cs="STHeiti"/>
          <w:b/>
          <w:color w:val="000000"/>
          <w:sz w:val="30"/>
        </w:rPr>
        <w:t>三 0509 考评目标与课程覆盖</w:t>
      </w:r>
    </w:p>
    <w:p>
      <w:pPr>
        <w:spacing w:before="0" w:after="180" w:line="288" w:lineRule="auto"/>
      </w:pPr>
      <w:r>
        <w:rPr>
          <w:rFonts w:ascii="STHeiti" w:hAnsi="STHeiti" w:eastAsia="STHeiti" w:cs="STHeiti"/>
          <w:color w:val="1F2937"/>
          <w:sz w:val="21"/>
        </w:rPr>
        <w:t>课程以 AO1 阅读 40% 和 AO2 写作 60% 为主线。卷1为 2 小时 15 分钟、60 分，包含语言理解与运用 23 分、指导式写作 25 分、文言文 12 分；卷2为 2 小时、50 分，考生各完成一篇议论或论证式写作，以及一篇描写或记叙文。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51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试卷部分</w:t>
            </w:r>
          </w:p>
        </w:tc>
        <w:tc>
          <w:tcPr>
            <w:tcW w:type="dxa" w:w="175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核心任务</w:t>
            </w:r>
          </w:p>
        </w:tc>
        <w:tc>
          <w:tcPr>
            <w:tcW w:type="dxa" w:w="4003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学生必须能做到</w:t>
            </w:r>
          </w:p>
        </w:tc>
        <w:tc>
          <w:tcPr>
            <w:tcW w:type="dxa" w:w="19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课程中的最低频率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 第1部分</w:t>
            </w:r>
          </w:p>
        </w:tc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语言理解与运用</w:t>
            </w:r>
          </w:p>
        </w:tc>
        <w:tc>
          <w:tcPr>
            <w:tcW w:type="dxa" w:w="40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小说阅读；显性与隐含意义；比喻语言；语言和结构效果。</w:t>
            </w:r>
          </w:p>
        </w:tc>
        <w:tc>
          <w:tcPr>
            <w:tcW w:type="dxa" w:w="19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Y10 每单元精读加短答；Y11 定时整组练习。</w:t>
            </w:r>
          </w:p>
        </w:tc>
      </w:tr>
      <w:tr>
        <w:tc>
          <w:tcPr>
            <w:tcW w:type="dxa" w:w="1512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 第2部分</w:t>
            </w:r>
          </w:p>
        </w:tc>
        <w:tc>
          <w:tcPr>
            <w:tcW w:type="dxa" w:w="1757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指导式写作</w:t>
            </w:r>
          </w:p>
        </w:tc>
        <w:tc>
          <w:tcPr>
            <w:tcW w:type="dxa" w:w="4003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比较、选择和评估两篇相关非小说文本的信息；用自己的话写 250 至 350 字议论或论证性回答。</w:t>
            </w:r>
          </w:p>
        </w:tc>
        <w:tc>
          <w:tcPr>
            <w:tcW w:type="dxa" w:w="1901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每学期至少 2 次；Y11 每学期至少 1 次限时。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 第3部分</w:t>
            </w:r>
          </w:p>
        </w:tc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文言文</w:t>
            </w:r>
          </w:p>
        </w:tc>
        <w:tc>
          <w:tcPr>
            <w:tcW w:type="dxa" w:w="40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约 200 字陌生明代小说或文章节选；理解显性与隐含意义；不要求文言写作。</w:t>
            </w:r>
          </w:p>
        </w:tc>
        <w:tc>
          <w:tcPr>
            <w:tcW w:type="dxa" w:w="19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Y10T2 起每两周短练；Y10T4 与 Y11T2 强化。</w:t>
            </w:r>
          </w:p>
        </w:tc>
      </w:tr>
      <w:tr>
        <w:tc>
          <w:tcPr>
            <w:tcW w:type="dxa" w:w="1512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卷2 第1部分</w:t>
            </w:r>
          </w:p>
        </w:tc>
        <w:tc>
          <w:tcPr>
            <w:tcW w:type="dxa" w:w="1757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议论或论证</w:t>
            </w:r>
          </w:p>
        </w:tc>
        <w:tc>
          <w:tcPr>
            <w:tcW w:type="dxa" w:w="4003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400 至 600 字；立场、受众、论据、反驳或正反论证、结构与语体。</w:t>
            </w:r>
          </w:p>
        </w:tc>
        <w:tc>
          <w:tcPr>
            <w:tcW w:type="dxa" w:w="1901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每学期至少一种；Y11 两种均定时完成。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卷2 第2部分</w:t>
            </w:r>
          </w:p>
        </w:tc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描写或记叙</w:t>
            </w:r>
          </w:p>
        </w:tc>
        <w:tc>
          <w:tcPr>
            <w:tcW w:type="dxa" w:w="40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400 至 600 字；画面、感官、视角、情节、节奏和准确表达。</w:t>
            </w:r>
          </w:p>
        </w:tc>
        <w:tc>
          <w:tcPr>
            <w:tcW w:type="dxa" w:w="19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每学期至少一种；Y11 两种均定时完成。</w:t>
            </w:r>
          </w:p>
        </w:tc>
      </w:tr>
    </w:tbl>
    <w:p>
      <w:pPr>
        <w:spacing w:before="0" w:after="80" w:line="240" w:lineRule="auto"/>
      </w:pPr>
    </w:p>
    <w:p>
      <w:pPr>
        <w:pStyle w:val="Heading1"/>
        <w:keepNext/>
        <w:spacing w:before="240" w:after="100" w:line="252" w:lineRule="auto"/>
      </w:pPr>
      <w:r>
        <w:rPr>
          <w:rFonts w:ascii="STHeiti" w:hAnsi="STHeiti" w:eastAsia="STHeiti" w:cs="STHeiti"/>
          <w:b/>
          <w:color w:val="000000"/>
          <w:sz w:val="30"/>
        </w:rPr>
        <w:t>四 评估与反馈节奏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时间点</w:t>
            </w:r>
          </w:p>
        </w:tc>
        <w:tc>
          <w:tcPr>
            <w:tcW w:type="dxa" w:w="194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评估类型</w:t>
            </w:r>
          </w:p>
        </w:tc>
        <w:tc>
          <w:tcPr>
            <w:tcW w:type="dxa" w:w="5645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目的与证据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Y10T1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入学诊断</w:t>
            </w:r>
          </w:p>
        </w:tc>
        <w:tc>
          <w:tcPr>
            <w:tcW w:type="dxa" w:w="56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卷1第1部分短答 + 一篇非定时卷2写作。建立个人基线。</w:t>
            </w:r>
          </w:p>
        </w:tc>
      </w:tr>
      <w:tr>
        <w:tc>
          <w:tcPr>
            <w:tcW w:type="dxa" w:w="1584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每 2 至 3 周</w:t>
            </w:r>
          </w:p>
        </w:tc>
        <w:tc>
          <w:tcPr>
            <w:tcW w:type="dxa" w:w="1944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低风险练习</w:t>
            </w:r>
          </w:p>
        </w:tc>
        <w:tc>
          <w:tcPr>
            <w:tcW w:type="dxa" w:w="5645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陌生材料短答、文言语段、段落改写或 15 至 25 分钟微写作；快速反馈。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每学期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定时留档任务</w:t>
            </w:r>
          </w:p>
        </w:tc>
        <w:tc>
          <w:tcPr>
            <w:tcW w:type="dxa" w:w="56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至少一项按正式评分要求批阅的卷1或卷2任务，收录至学生作品档案。</w:t>
            </w:r>
          </w:p>
        </w:tc>
      </w:tr>
      <w:tr>
        <w:tc>
          <w:tcPr>
            <w:tcW w:type="dxa" w:w="1584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Y10T2 末</w:t>
            </w:r>
          </w:p>
        </w:tc>
        <w:tc>
          <w:tcPr>
            <w:tcW w:type="dxa" w:w="1944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卷1完整诊断</w:t>
            </w:r>
          </w:p>
        </w:tc>
        <w:tc>
          <w:tcPr>
            <w:tcW w:type="dxa" w:w="5645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2 小时 15 分钟；公布个人三项优先提升指标。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Y10T4 末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双卷阶段检查</w:t>
            </w:r>
          </w:p>
        </w:tc>
        <w:tc>
          <w:tcPr>
            <w:tcW w:type="dxa" w:w="56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卷1完整试卷 + 卷2一篇定时组合或完整卷2，检查选择题型的成熟度。</w:t>
            </w:r>
          </w:p>
        </w:tc>
      </w:tr>
      <w:tr>
        <w:tc>
          <w:tcPr>
            <w:tcW w:type="dxa" w:w="1584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Y11T1 末</w:t>
            </w:r>
          </w:p>
        </w:tc>
        <w:tc>
          <w:tcPr>
            <w:tcW w:type="dxa" w:w="1944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卷2完整模拟</w:t>
            </w:r>
          </w:p>
        </w:tc>
        <w:tc>
          <w:tcPr>
            <w:tcW w:type="dxa" w:w="5645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2 小时完成两篇作文；重点查看时间分配、字数与自我校对。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7"/>
              </w:rPr>
              <w:t>Y11T2 至 T3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jc w:val="left"/>
            </w:pPr>
            <w:r>
              <w:rPr/>
              <w:t>两轮完整模拟与间隔再教学</w:t>
            </w:r>
          </w:p>
        </w:tc>
        <w:tc>
          <w:tcPr>
            <w:tcW w:type="dxa" w:w="56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jc w:val="left"/>
            </w:pPr>
            <w:r>
              <w:rPr/>
              <w:t>每轮包含卷1和卷2；模拟后 48 小时内完成错因分类与个人目标。两轮之间安排定向再教学，第二轮用于验证改进。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pStyle w:val="Heading1"/>
        <w:keepNext/>
        <w:spacing w:before="240" w:after="100" w:line="252" w:lineRule="auto"/>
      </w:pPr>
      <w:r>
        <w:rPr>
          <w:rFonts w:ascii="STHeiti" w:hAnsi="STHeiti" w:eastAsia="STHeiti" w:cs="STHeiti"/>
          <w:b/>
          <w:color w:val="000000"/>
          <w:sz w:val="30"/>
        </w:rPr>
        <w:t>五 两年长期计划</w:t>
      </w:r>
    </w:p>
    <w:p>
      <w:pPr>
        <w:spacing w:before="0" w:after="160" w:line="288" w:lineRule="auto"/>
      </w:pPr>
      <w:r>
        <w:rPr>
          <w:rFonts w:ascii="STHeiti" w:hAnsi="STHeiti" w:eastAsia="STHeiti" w:cs="STHeiti"/>
          <w:color w:val="1F2937"/>
          <w:sz w:val="21"/>
        </w:rPr>
        <w:t>以下课时沿用原计划的 151 小时分配。教材文本为核心材料；“补充陌生材料”是必需的迁移训练，不等同于增加新的大型单元。每学期最后 1 至 2 小时应预留给作品归档、错因分析和下一学期目标设定。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123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学期与课时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文本群</w:t>
            </w:r>
          </w:p>
        </w:tc>
        <w:tc>
          <w:tcPr>
            <w:tcW w:type="dxa" w:w="3125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可评估的重点技能</w:t>
            </w:r>
          </w:p>
        </w:tc>
        <w:tc>
          <w:tcPr>
            <w:tcW w:type="dxa" w:w="247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/>
                <w:color w:val="FFFFFF"/>
                <w:sz w:val="17"/>
              </w:rPr>
              <w:t>考核与学期成果</w:t>
            </w:r>
          </w:p>
        </w:tc>
      </w:tr>
      <w:tr>
        <w:tc>
          <w:tcPr>
            <w:tcW w:type="dxa" w:w="112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Y10T1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22 小时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第一单元 文化认同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《假黎婆》；《新加坡多种族政策》；《文化入侵故宫星巴克的伪问题》</w:t>
            </w:r>
          </w:p>
        </w:tc>
        <w:tc>
          <w:tcPr>
            <w:tcW w:type="dxa" w:w="31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卷1第1部分：叙事中的显性、隐含意义与语言效果。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卷1第2部分：比较两篇非小说的观点、事实和选择信息。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卷2：描写与议论的基本结构。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入学诊断；1 篇描写文；1 次指导式写作。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学生能用“证据 解释 效果”完成语言分析，并在综合写作中避免照抄。</w:t>
            </w:r>
          </w:p>
        </w:tc>
      </w:tr>
      <w:tr>
        <w:tc>
          <w:tcPr>
            <w:tcW w:type="dxa" w:w="1123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Y10T2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19 小时</w:t>
            </w:r>
          </w:p>
        </w:tc>
        <w:tc>
          <w:tcPr>
            <w:tcW w:type="dxa" w:w="2448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文言文与散文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《记李歌》；《华语情结》；补充 4 至 6 则明代陌生语段</w:t>
            </w:r>
          </w:p>
        </w:tc>
        <w:tc>
          <w:tcPr>
            <w:tcW w:type="dxa" w:w="3125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卷1第3部分：语境推断、人物行为与隐含态度。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卷1第1部分：散文语言和结构。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卷2：描写或记叙的细节选择。</w:t>
            </w:r>
          </w:p>
        </w:tc>
        <w:tc>
          <w:tcPr>
            <w:tcW w:type="dxa" w:w="2477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卷1完整诊断。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每两周一则文言短练；形成常见实词、虚词和句式的“语境证据”笔记。</w:t>
            </w:r>
          </w:p>
        </w:tc>
      </w:tr>
      <w:tr>
        <w:tc>
          <w:tcPr>
            <w:tcW w:type="dxa" w:w="112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Y10T3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24 小时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第二单元 社会选择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《超人》；《香港的补习文化》；《纪念伏尔泰逝世一百周年的演说》</w:t>
            </w:r>
          </w:p>
        </w:tc>
        <w:tc>
          <w:tcPr>
            <w:tcW w:type="dxa" w:w="31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卷2：记叙的冲突、转折与叙述视角；议论的立场、论据、反驳。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卷1第2部分：论点比较与材料取舍。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1 篇记叙文 + 1 篇议论文定时写作；1 次双文本指导写作。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对两种卷2作文各建立一张自评清单。</w:t>
            </w:r>
          </w:p>
        </w:tc>
      </w:tr>
      <w:tr>
        <w:tc>
          <w:tcPr>
            <w:tcW w:type="dxa" w:w="1123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Y10T4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24 小时</w:t>
            </w:r>
          </w:p>
        </w:tc>
        <w:tc>
          <w:tcPr>
            <w:tcW w:type="dxa" w:w="2448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文言文与诗歌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《节庵方公墓表》；四首诗歌；补充陌生文言文与现代评论</w:t>
            </w:r>
          </w:p>
        </w:tc>
        <w:tc>
          <w:tcPr>
            <w:tcW w:type="dxa" w:w="3125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卷1第1部分：语言、形式、结构如何制造效果。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卷1第3部分：不依赖背景知识的陌生文言阅读。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卷2：论证文与描写文的提升。</w:t>
            </w:r>
          </w:p>
        </w:tc>
        <w:tc>
          <w:tcPr>
            <w:tcW w:type="dxa" w:w="2477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卷1完整试卷；卷2定时组合任务。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Y10 结束时，学生能在 2 小时内完成两种卷2写作，并解释自己的题型选择。</w:t>
            </w:r>
          </w:p>
        </w:tc>
      </w:tr>
      <w:tr>
        <w:tc>
          <w:tcPr>
            <w:tcW w:type="dxa" w:w="112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Y11T1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22 小时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第三单元 公义与责任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《手》；《各国对于动物福祉的相应以及法规》；三篇讨论或演说文本</w:t>
            </w:r>
          </w:p>
        </w:tc>
        <w:tc>
          <w:tcPr>
            <w:tcW w:type="dxa" w:w="31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卷1第2部分：评估事实、观点、偏见与论证质量；针对目的与受众组织回答。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卷2：论证或议论的成熟结构。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卷2完整模拟；1 次卷1第2部分限时写作。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每名学生依据卷2数据选定一类优先作文题型，同时保持另一类练习。</w:t>
            </w:r>
          </w:p>
        </w:tc>
      </w:tr>
      <w:tr>
        <w:tc>
          <w:tcPr>
            <w:tcW w:type="dxa" w:w="1123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Y11T2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19 小时</w:t>
            </w:r>
          </w:p>
        </w:tc>
        <w:tc>
          <w:tcPr>
            <w:tcW w:type="dxa" w:w="2448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文言文与小说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《郁离子》卷二；《非攻》；补充明代陌生节选与当代非小说材料</w:t>
            </w:r>
          </w:p>
        </w:tc>
        <w:tc>
          <w:tcPr>
            <w:tcW w:type="dxa" w:w="3125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三部分卷1的整合与时间分配；四种卷2体裁的弹性选择；字词、标点和句法的精准校对。</w:t>
            </w:r>
          </w:p>
        </w:tc>
        <w:tc>
          <w:tcPr>
            <w:tcW w:type="dxa" w:w="2477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卷1完整模拟 + 卷2完整模拟。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完成个人错因档案：阅读证据、材料选择、结构、表达准确度、时间管理。</w:t>
            </w:r>
          </w:p>
        </w:tc>
      </w:tr>
      <w:tr>
        <w:tc>
          <w:tcPr>
            <w:tcW w:type="dxa" w:w="112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Y11T3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21 小时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jc w:val="left"/>
            </w:pPr>
            <w:r>
              <w:rPr/>
              <w:t>考前诊断、定向再教学与模拟</w:t>
              <w:br/>
              <w:t>历届或样题、学生错题、短篇陌生材料</w:t>
            </w:r>
          </w:p>
        </w:tc>
        <w:tc>
          <w:tcPr>
            <w:tcW w:type="dxa" w:w="31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jc w:val="left"/>
            </w:pPr>
            <w:r>
              <w:rPr/>
              <w:t>停止大型新单元；在真实时限下稳定完成两卷。根据数据重教阅读、指导写作、文言、卷2写作、校对与时间管理等微技能；选择最适合的卷2题型。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jc w:val="left"/>
            </w:pPr>
            <w:r>
              <w:rPr/>
              <w:t>模拟一（6小时）→ 48小时内反馈与诊断（2小时）→ 定向再教学（7小时）→ 模拟二（5小时）→ 考前交接（1小时）。每轮含卷1与卷2；第二轮验证改进。</w:t>
            </w:r>
          </w:p>
        </w:tc>
      </w:tr>
      <w:tr>
        <w:tc>
          <w:tcPr>
            <w:tcW w:type="dxa" w:w="1123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Y11T4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Study Leave</w:t>
            </w:r>
          </w:p>
        </w:tc>
        <w:tc>
          <w:tcPr>
            <w:tcW w:type="dxa" w:w="2448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个别化复习</w:t>
            </w:r>
            <w:r>
              <w:br/>
            </w:r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作品档案、错因册、已批改模拟卷</w:t>
            </w:r>
          </w:p>
        </w:tc>
        <w:tc>
          <w:tcPr>
            <w:tcW w:type="dxa" w:w="3125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保持阅读节奏、作文构思速度和字词准确度；不再大规模引入新内容。</w:t>
            </w:r>
          </w:p>
        </w:tc>
        <w:tc>
          <w:tcPr>
            <w:tcW w:type="dxa" w:w="2477"/>
            <w:shd w:fill="F4F7F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THeiti" w:hAnsi="STHeiti" w:eastAsia="STHeiti" w:cs="STHeiti"/>
                <w:b w:val="0"/>
                <w:color w:val="1F2937"/>
                <w:sz w:val="16"/>
              </w:rPr>
              <w:t>每周短练安排：1 则现代文或文言短答、1 个提纲或段落、1 次错因回看。按学校考试日期调整。</w:t>
            </w:r>
          </w:p>
        </w:tc>
      </w:tr>
    </w:tbl>
    <w:p>
      <w:pPr>
        <w:spacing w:before="0" w:after="80" w:line="240" w:lineRule="auto"/>
      </w:pPr>
    </w:p>
    <w:p>
      <w:pPr>
        <w:pStyle w:val="Heading1"/>
        <w:keepNext/>
        <w:spacing w:before="240" w:after="100" w:line="252" w:lineRule="auto"/>
      </w:pPr>
      <w:r>
        <w:rPr>
          <w:rFonts w:ascii="STHeiti" w:hAnsi="STHeiti" w:eastAsia="STHeiti" w:cs="STHeiti"/>
          <w:b/>
          <w:color w:val="000000"/>
          <w:sz w:val="30"/>
        </w:rPr>
        <w:t>六 实施建议</w:t>
      </w:r>
    </w:p>
    <w:p>
      <w:pPr>
        <w:pStyle w:val="ListBullet"/>
        <w:spacing w:before="0" w:after="60" w:line="276" w:lineRule="auto"/>
      </w:pPr>
      <w:r>
        <w:rPr>
          <w:rFonts w:ascii="STHeiti" w:hAnsi="STHeiti" w:eastAsia="STHeiti" w:cs="STHeiti"/>
          <w:color w:val="1F2937"/>
          <w:sz w:val="20"/>
        </w:rPr>
        <w:t>每周固定一个“考试技能时段”：即使文本单元正在进行，也保留 30 至 45 分钟处理陌生材料或定时写作。</w:t>
      </w:r>
    </w:p>
    <w:p>
      <w:pPr>
        <w:pStyle w:val="ListBullet"/>
        <w:spacing w:before="0" w:after="60" w:line="276" w:lineRule="auto"/>
      </w:pPr>
      <w:r>
        <w:rPr>
          <w:rFonts w:ascii="STHeiti" w:hAnsi="STHeiti" w:eastAsia="STHeiti" w:cs="STHeiti"/>
          <w:color w:val="1F2937"/>
          <w:sz w:val="20"/>
        </w:rPr>
        <w:t>建立统一作品档案：每项定时任务保留原稿、量规、教师反馈、学生反思和一段修订稿。这样 Y11 的分层复习有真实依据。</w:t>
      </w:r>
    </w:p>
    <w:p>
      <w:pPr>
        <w:pStyle w:val="ListBullet"/>
        <w:spacing w:before="0" w:after="60" w:line="276" w:lineRule="auto"/>
      </w:pPr>
      <w:r>
        <w:rPr>
          <w:rFonts w:ascii="STHeiti" w:hAnsi="STHeiti" w:eastAsia="STHeiti" w:cs="STHeiti"/>
          <w:color w:val="1F2937"/>
          <w:sz w:val="20"/>
        </w:rPr>
        <w:t>统一评分语言：阅读使用“信息 证据 推断 效果”；指导式写作使用“选择 评估 综合 语体”；作文使用“内容与结构 词汇与语体 准确度”。</w:t>
      </w:r>
    </w:p>
    <w:p>
      <w:pPr>
        <w:pStyle w:val="ListBullet"/>
        <w:spacing w:before="0" w:after="60" w:line="276" w:lineRule="auto"/>
      </w:pPr>
      <w:r>
        <w:rPr>
          <w:rFonts w:ascii="STHeiti" w:hAnsi="STHeiti" w:eastAsia="STHeiti" w:cs="STHeiti"/>
          <w:color w:val="1F2937"/>
          <w:sz w:val="20"/>
        </w:rPr>
        <w:t>将诗歌和课文讲读限制在服务技能的范围内：每次精读必须产出可迁移的分析句式、写作技法或词汇，而不是只完成内容理解。</w:t>
      </w:r>
    </w:p>
    <w:p>
      <w:pPr>
        <w:pStyle w:val="ListBullet"/>
        <w:spacing w:before="0" w:after="60" w:line="276" w:lineRule="auto"/>
      </w:pPr>
      <w:r>
        <w:rPr>
          <w:rFonts w:ascii="STHeiti" w:hAnsi="STHeiti" w:eastAsia="STHeiti" w:cs="STHeiti"/>
          <w:color w:val="1F2937"/>
          <w:sz w:val="20"/>
        </w:rPr>
        <w:t>模拟前先训练流程：审题、选择、列提纲、计时、校对分别显性示范；模拟后用同一错误类别跨文本再练，避免只讲答案。</w:t>
      </w:r>
    </w:p>
    <w:p>
      <w:pPr>
        <w:pStyle w:val="ListBullet"/>
        <w:spacing w:before="0" w:after="60" w:line="276" w:lineRule="auto"/>
      </w:pPr>
      <w:r>
        <w:rPr>
          <w:rFonts w:ascii="STHeiti" w:hAnsi="STHeiti" w:eastAsia="STHeiti" w:cs="STHeiti"/>
          <w:color w:val="1F2937"/>
          <w:sz w:val="20"/>
        </w:rPr>
        <w:t>每年开课前由课程负责人复核 Cambridge 当年正式教学大纲、样题和考试时刻表；本计划不替代学校的考试行政要求。</w:t>
      </w:r>
    </w:p>
    <w:sectPr w:rsidR="00FC693F" w:rsidRPr="0006063C" w:rsidSect="00034616">
      <w:footerReference w:type="default" r:id="rId9"/>
      <w:pgSz w:w="12240" w:h="15840"/>
      <w:pgMar w:top="893" w:right="893" w:bottom="835" w:left="893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STHeiti" w:hAnsi="STHeiti" w:eastAsia="STHeiti" w:cs="STHeiti"/>
        <w:color w:val="5B6775"/>
        <w:sz w:val="16"/>
      </w:rPr>
      <w:t>IGCSE 0509 中文第一语言 两年长期计划 修订版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THeiti" w:hAnsi="STHeiti" w:eastAsia="STHeit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STHeiti" w:hAnsi="STHeiti" w:eastAsia="STHeit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STHeiti" w:hAnsi="STHeiti" w:eastAsia="STHeit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IGCSE 0509 中文第一语言 两年长期计划 修订版</dc:title>
  <dc:subject>两年课程审计与长期计划</dc:subject>
  <dc:creator>Codex</dc:creator>
  <cp:keywords/>
  <dc:description>Based on the supplied LTP and Cambridge IGCSE First Language Chinese 0509 syllabus for 2028-2029.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