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 w:after="160" w:line="240" w:lineRule="auto"/>
        <w:jc w:val="center"/>
      </w:pPr>
      <w:r>
        <w:rPr>
          <w:rFonts w:ascii="STHeiti" w:hAnsi="STHeiti" w:eastAsia="STHeiti" w:cs="STHeiti"/>
          <w:b/>
          <w:color w:val="000000"/>
          <w:sz w:val="42"/>
        </w:rPr>
        <w:t>IGCSE 0509 中文第一语言 两年长期计划 修订版</w:t>
      </w:r>
    </w:p>
    <w:p>
      <w:pPr>
        <w:spacing w:before="0" w:after="300" w:line="264" w:lineRule="auto"/>
        <w:jc w:val="center"/>
      </w:pPr>
      <w:r>
        <w:rPr>
          <w:rFonts w:ascii="STHeiti" w:hAnsi="STHeiti" w:eastAsia="STHeiti" w:cs="STHeiti"/>
          <w:color w:val="4B5563"/>
          <w:sz w:val="22"/>
        </w:rPr>
        <w:t>含原计划审计 课程建议与学期实施框架</w:t>
      </w:r>
    </w:p>
    <w:p>
      <w:pPr>
        <w:spacing w:before="0" w:after="180" w:line="288" w:lineRule="auto"/>
      </w:pPr>
      <w:r>
        <w:rPr>
          <w:rFonts w:ascii="STHeiti" w:hAnsi="STHeiti" w:eastAsia="STHeiti" w:cs="STHeiti"/>
          <w:color w:val="1F2937"/>
          <w:sz w:val="21"/>
        </w:rPr>
        <w:t>结论：原计划的总课时与文本跨度足以支撑两年课程，但现有表格把“学过什么”列得较清楚，把“学生何时、以什么标准证明已掌握考试技能”留空。修订版保留《匠心》三大单元的核心阅读，并以每学期可观察的技能、定时写作、完整试卷和错因追踪补齐课程闭环。</w:t>
      </w:r>
    </w:p>
    <w:p>
      <w:pPr>
        <w:spacing w:before="0" w:after="240" w:line="288" w:lineRule="auto"/>
      </w:pPr>
      <w:r>
        <w:rPr>
          <w:rFonts w:ascii="STHeiti" w:hAnsi="STHeiti" w:eastAsia="STHeiti" w:cs="STHeiti"/>
          <w:color w:val="1F2937"/>
          <w:sz w:val="21"/>
        </w:rPr>
        <w:t>本计划按 2028 至 2029 年 Cambridge IGCSE 中文第一语言 0509 大纲编排。若本届学生的实际考试年份不是 2028 或 2029，须在课程开始前以该考试年份的正式大纲复核考评细节。</w:t>
      </w: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一 原计划审计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审计维度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原计划证据</w:t>
            </w:r>
          </w:p>
        </w:tc>
        <w:tc>
          <w:tcPr>
            <w:tcW w:type="dxa" w:w="161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32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修订建议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课时量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151 小时：Y10 89 小时，Y11 教学与复习 62 小时。</w:t>
            </w:r>
          </w:p>
        </w:tc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可行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总量充足；须锁定每周课时和校历，避免 Y11T3 的 21 小时被活动或停课挤占。</w:t>
            </w:r>
          </w:p>
        </w:tc>
      </w:tr>
      <w:tr>
        <w:tc>
          <w:tcPr>
            <w:tcW w:type="dxa" w:w="14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试卷对齐</w:t>
            </w:r>
          </w:p>
        </w:tc>
        <w:tc>
          <w:tcPr>
            <w:tcW w:type="dxa" w:w="288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原表按“现代文、总结、文言文、作文”标注，未细分正式试卷的三个部分和两种作文区。</w:t>
            </w:r>
          </w:p>
        </w:tc>
        <w:tc>
          <w:tcPr>
            <w:tcW w:type="dxa" w:w="16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需修订</w:t>
            </w:r>
          </w:p>
        </w:tc>
        <w:tc>
          <w:tcPr>
            <w:tcW w:type="dxa" w:w="32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改为：卷1语言理解与运用、指导式写作、文言文；卷2议论或论证、描写或记叙。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技能栏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8 个教学学期的“学习到的技能”均为空。</w:t>
            </w:r>
          </w:p>
        </w:tc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高优先级缺口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每学期写入可评估技能，并用统一评分量规和个人错因册追踪。</w:t>
            </w:r>
          </w:p>
        </w:tc>
      </w:tr>
      <w:tr>
        <w:tc>
          <w:tcPr>
            <w:tcW w:type="dxa" w:w="14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考核闭环</w:t>
            </w:r>
          </w:p>
        </w:tc>
        <w:tc>
          <w:tcPr>
            <w:tcW w:type="dxa" w:w="288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只在少数期末标明卷别；Y10T3、Y10T4、Y11T2 缺少明确终结性证据。</w:t>
            </w:r>
          </w:p>
        </w:tc>
        <w:tc>
          <w:tcPr>
            <w:tcW w:type="dxa" w:w="16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高优先级缺口</w:t>
            </w:r>
          </w:p>
        </w:tc>
        <w:tc>
          <w:tcPr>
            <w:tcW w:type="dxa" w:w="32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每学期至少一项定时、留档、按试卷标准评分的任务；Y11 至少两轮完整模拟。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文言文准备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已安排两篇文言文，作品选择有价值。</w:t>
            </w:r>
          </w:p>
        </w:tc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方向正确但不足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考试为陌生明代短篇小说或文章节选；每学期加入短篇陌生语段，训练语境推断，不以背诵篇目替代阅读。</w:t>
            </w:r>
          </w:p>
        </w:tc>
      </w:tr>
      <w:tr>
        <w:tc>
          <w:tcPr>
            <w:tcW w:type="dxa" w:w="14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文本广度</w:t>
            </w:r>
          </w:p>
        </w:tc>
        <w:tc>
          <w:tcPr>
            <w:tcW w:type="dxa" w:w="288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小说、散文、评论、演说、诗歌、非文学文本兼具。</w:t>
            </w:r>
          </w:p>
        </w:tc>
        <w:tc>
          <w:tcPr>
            <w:tcW w:type="dxa" w:w="16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优势</w:t>
            </w:r>
          </w:p>
        </w:tc>
        <w:tc>
          <w:tcPr>
            <w:tcW w:type="dxa" w:w="32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保留文本群；诗歌用于语言与结构分析，不应挤占卷1指导式写作和文言文的持续练习。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写作覆盖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原表有描写、记叙、议论、讨论的意图，但缺少字数、定时与受众语体要求。</w:t>
            </w:r>
          </w:p>
        </w:tc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需落实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四种写作都完成至少两次定时 400 至 600 字练习；指导式写作持续完成 250 至 350 字的双文本综合任务。</w:t>
            </w:r>
          </w:p>
        </w:tc>
      </w:tr>
      <w:tr>
        <w:tc>
          <w:tcPr>
            <w:tcW w:type="dxa" w:w="14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复习与分层</w:t>
            </w:r>
          </w:p>
        </w:tc>
        <w:tc>
          <w:tcPr>
            <w:tcW w:type="dxa" w:w="288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Y11T3 标为 Final revision，未列诊断、干预或模拟后的再教学。</w:t>
            </w:r>
          </w:p>
        </w:tc>
        <w:tc>
          <w:tcPr>
            <w:tcW w:type="dxa" w:w="16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需细化</w:t>
            </w:r>
          </w:p>
        </w:tc>
        <w:tc>
          <w:tcPr>
            <w:tcW w:type="dxa" w:w="324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采用“模拟 诊断 微技能重教 再测”循环；按阅读、指导写作、文言、四类作文建立个人目标。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二 修订的设计原则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以考试任务反推教学：每个文本单元同时服务阅读分析、信息选择与写作迁移，避免只做篇章讲解。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用螺旋式练习替代一次性覆盖：卷1三部分与卷2四种写作从 Y10T1 起反复出现，难度和定时要求逐步增加。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把文本教学与陌生材料分开安排：课内精读建立语言和结构意识；每两周至少一次陌生现代文或文言短篇迁移练习。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把评估变成决策工具：每次定时任务都记录一项优点、一项优先改进点和下一次的具体目标。</w:t>
      </w:r>
    </w:p>
    <w:p>
      <w:r>
        <w:br w:type="page"/>
      </w: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三 0509 考评目标与课程覆盖</w:t>
      </w:r>
    </w:p>
    <w:p>
      <w:pPr>
        <w:spacing w:before="0" w:after="180" w:line="288" w:lineRule="auto"/>
      </w:pPr>
      <w:r>
        <w:rPr>
          <w:rFonts w:ascii="STHeiti" w:hAnsi="STHeiti" w:eastAsia="STHeiti" w:cs="STHeiti"/>
          <w:color w:val="1F2937"/>
          <w:sz w:val="21"/>
        </w:rPr>
        <w:t>课程以 AO1 阅读 40% 和 AO2 写作 60% 为主线。卷1为 2 小时 15 分钟、60 分，包含语言理解与运用 23 分、指导式写作 25 分、文言文 12 分；卷2为 2 小时、50 分，考生各完成一篇议论或论证式写作，以及一篇描写或记叙文。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试卷部分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400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学生必须能做到</w:t>
            </w:r>
          </w:p>
        </w:tc>
        <w:tc>
          <w:tcPr>
            <w:tcW w:type="dxa" w:w="19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课程中的最低频率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 第1部分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语言理解与运用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小说阅读；显性与隐含意义；比喻语言；语言和结构效果。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 每单元精读加短答；Y11 定时整组练习。</w:t>
            </w:r>
          </w:p>
        </w:tc>
      </w:tr>
      <w:tr>
        <w:tc>
          <w:tcPr>
            <w:tcW w:type="dxa" w:w="151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 第2部分</w:t>
            </w:r>
          </w:p>
        </w:tc>
        <w:tc>
          <w:tcPr>
            <w:tcW w:type="dxa" w:w="175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指导式写作</w:t>
            </w:r>
          </w:p>
        </w:tc>
        <w:tc>
          <w:tcPr>
            <w:tcW w:type="dxa" w:w="40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比较、选择和评估两篇相关非小说文本的信息；用自己的话写 250 至 350 字议论或论证性回答。</w:t>
            </w:r>
          </w:p>
        </w:tc>
        <w:tc>
          <w:tcPr>
            <w:tcW w:type="dxa" w:w="19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每学期至少 2 次；Y11 每学期至少 1 次限时。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 第3部分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文言文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约 200 字陌生明代小说或文章节选；理解显性与隐含意义；不要求文言写作。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Y10T2 起每两周短练；Y10T4 与 Y11T2 强化。</w:t>
            </w:r>
          </w:p>
        </w:tc>
      </w:tr>
      <w:tr>
        <w:tc>
          <w:tcPr>
            <w:tcW w:type="dxa" w:w="151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 第1部分</w:t>
            </w:r>
          </w:p>
        </w:tc>
        <w:tc>
          <w:tcPr>
            <w:tcW w:type="dxa" w:w="175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议论或论证</w:t>
            </w:r>
          </w:p>
        </w:tc>
        <w:tc>
          <w:tcPr>
            <w:tcW w:type="dxa" w:w="40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400 至 600 字；立场、受众、论据、反驳或正反论证、结构与语体。</w:t>
            </w:r>
          </w:p>
        </w:tc>
        <w:tc>
          <w:tcPr>
            <w:tcW w:type="dxa" w:w="19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每学期至少一种；Y11 两种均定时完成。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 第2部分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描写或记叙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400 至 600 字；画面、感官、视角、情节、节奏和准确表达。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每学期至少一种；Y11 两种均定时完成。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四 评估与反馈节奏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时间点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评估类型</w:t>
            </w:r>
          </w:p>
        </w:tc>
        <w:tc>
          <w:tcPr>
            <w:tcW w:type="dxa" w:w="564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目的与证据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Y10T1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入学诊断</w:t>
            </w:r>
          </w:p>
        </w:tc>
        <w:tc>
          <w:tcPr>
            <w:tcW w:type="dxa" w:w="5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卷1第1部分短答 + 一篇非定时卷2写作。建立个人基线。</w:t>
            </w:r>
          </w:p>
        </w:tc>
      </w:tr>
      <w:tr>
        <w:tc>
          <w:tcPr>
            <w:tcW w:type="dxa" w:w="15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每 2 至 3 周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低风险练习</w:t>
            </w:r>
          </w:p>
        </w:tc>
        <w:tc>
          <w:tcPr>
            <w:tcW w:type="dxa" w:w="564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陌生材料短答、文言语段、段落改写或 15 至 25 分钟微写作；快速反馈。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每学期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定时留档任务</w:t>
            </w:r>
          </w:p>
        </w:tc>
        <w:tc>
          <w:tcPr>
            <w:tcW w:type="dxa" w:w="5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至少一项按正式评分要求批阅的卷1或卷2任务，收录至学生作品档案。</w:t>
            </w:r>
          </w:p>
        </w:tc>
      </w:tr>
      <w:tr>
        <w:tc>
          <w:tcPr>
            <w:tcW w:type="dxa" w:w="15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Y10T2 末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卷1完整诊断</w:t>
            </w:r>
          </w:p>
        </w:tc>
        <w:tc>
          <w:tcPr>
            <w:tcW w:type="dxa" w:w="564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2 小时 15 分钟；公布个人三项优先提升指标。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Y10T4 末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双卷阶段检查</w:t>
            </w:r>
          </w:p>
        </w:tc>
        <w:tc>
          <w:tcPr>
            <w:tcW w:type="dxa" w:w="5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卷1完整试卷 + 卷2一篇定时组合或完整卷2，检查选择题型的成熟度。</w:t>
            </w:r>
          </w:p>
        </w:tc>
      </w:tr>
      <w:tr>
        <w:tc>
          <w:tcPr>
            <w:tcW w:type="dxa" w:w="15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Y11T1 末</w:t>
            </w:r>
          </w:p>
        </w:tc>
        <w:tc>
          <w:tcPr>
            <w:tcW w:type="dxa" w:w="194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卷2完整模拟</w:t>
            </w:r>
          </w:p>
        </w:tc>
        <w:tc>
          <w:tcPr>
            <w:tcW w:type="dxa" w:w="564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2 小时完成两篇作文；重点查看时间分配、字数与自我校对。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Y11T2 至 T3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两轮完整模拟</w:t>
            </w:r>
          </w:p>
        </w:tc>
        <w:tc>
          <w:tcPr>
            <w:tcW w:type="dxa" w:w="56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7"/>
              </w:rPr>
              <w:t>每轮包含卷1和卷2，间隔再教学；第二轮用于验证改进，而非只给排名。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五 两年长期计划</w:t>
      </w:r>
    </w:p>
    <w:p>
      <w:pPr>
        <w:spacing w:before="0" w:after="160" w:line="288" w:lineRule="auto"/>
      </w:pPr>
      <w:r>
        <w:rPr>
          <w:rFonts w:ascii="STHeiti" w:hAnsi="STHeiti" w:eastAsia="STHeiti" w:cs="STHeiti"/>
          <w:color w:val="1F2937"/>
          <w:sz w:val="21"/>
        </w:rPr>
        <w:t>以下课时沿用原计划的 151 小时分配。教材文本为核心材料；“补充陌生材料”是必需的迁移训练，不等同于增加新的大型单元。每学期最后 1 至 2 小时应预留给作品归档、错因分析和下一学期目标设定。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12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学期与课时</w:t>
            </w:r>
          </w:p>
        </w:tc>
        <w:tc>
          <w:tcPr>
            <w:tcW w:type="dxa" w:w="24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文本群</w:t>
            </w:r>
          </w:p>
        </w:tc>
        <w:tc>
          <w:tcPr>
            <w:tcW w:type="dxa" w:w="312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可评估的重点技能</w:t>
            </w:r>
          </w:p>
        </w:tc>
        <w:tc>
          <w:tcPr>
            <w:tcW w:type="dxa" w:w="24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/>
                <w:color w:val="FFFFFF"/>
                <w:sz w:val="17"/>
              </w:rPr>
              <w:t>考核与学期成果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Y10T1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22 小时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第一单元 文化认同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《假黎婆》；《新加坡多种族政策》；《文化入侵故宫星巴克的伪问题》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卷1第1部分：叙事中的显性、隐含意义与语言效果。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卷1第2部分：比较两篇非小说的观点、事实和选择信息。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卷2：描写与议论的基本结构。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入学诊断；1 篇描写文；1 次指导式写作。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学生能用“证据 解释 效果”完成语言分析，并在综合写作中避免照抄。</w:t>
            </w:r>
          </w:p>
        </w:tc>
      </w:tr>
      <w:tr>
        <w:tc>
          <w:tcPr>
            <w:tcW w:type="dxa" w:w="112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Y10T2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19 小时</w:t>
            </w:r>
          </w:p>
        </w:tc>
        <w:tc>
          <w:tcPr>
            <w:tcW w:type="dxa" w:w="24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文言文与散文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《记李歌》；《华语情结》；补充 4 至 6 则明代陌生语段</w:t>
            </w:r>
          </w:p>
        </w:tc>
        <w:tc>
          <w:tcPr>
            <w:tcW w:type="dxa" w:w="312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卷1第3部分：语境推断、人物行为与隐含态度。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卷1第1部分：散文语言和结构。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卷2：描写或记叙的细节选择。</w:t>
            </w:r>
          </w:p>
        </w:tc>
        <w:tc>
          <w:tcPr>
            <w:tcW w:type="dxa" w:w="247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卷1完整诊断。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每两周一则文言短练；形成常见实词、虚词和句式的“语境证据”笔记。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Y10T3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24 小时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第二单元 社会选择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《超人》；《香港的补习文化》；《纪念伏尔泰逝世一百周年的演说》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卷2：记叙的冲突、转折与叙述视角；议论的立场、论据、反驳。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卷1第2部分：论点比较与材料取舍。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1 篇记叙文 + 1 篇议论文定时写作；1 次双文本指导写作。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对两种卷2作文各建立一张自评清单。</w:t>
            </w:r>
          </w:p>
        </w:tc>
      </w:tr>
      <w:tr>
        <w:tc>
          <w:tcPr>
            <w:tcW w:type="dxa" w:w="112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Y10T4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24 小时</w:t>
            </w:r>
          </w:p>
        </w:tc>
        <w:tc>
          <w:tcPr>
            <w:tcW w:type="dxa" w:w="24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文言文与诗歌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《节庵方公墓表》；四首诗歌；补充陌生文言文与现代评论</w:t>
            </w:r>
          </w:p>
        </w:tc>
        <w:tc>
          <w:tcPr>
            <w:tcW w:type="dxa" w:w="312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卷1第1部分：语言、形式、结构如何制造效果。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卷1第3部分：不依赖背景知识的陌生文言阅读。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卷2：论证文与描写文的提升。</w:t>
            </w:r>
          </w:p>
        </w:tc>
        <w:tc>
          <w:tcPr>
            <w:tcW w:type="dxa" w:w="247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卷1完整试卷；卷2定时组合任务。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Y10 结束时，学生能在 2 小时内完成两种卷2写作，并解释自己的题型选择。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Y11T1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22 小时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第三单元 公义与责任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《手》；《各国对于动物福祉的相应以及法规》；三篇讨论或演说文本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卷1第2部分：评估事实、观点、偏见与论证质量；针对目的与受众组织回答。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卷2：论证或议论的成熟结构。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卷2完整模拟；1 次卷1第2部分限时写作。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每名学生依据卷2数据选定一类优先作文题型，同时保持另一类练习。</w:t>
            </w:r>
          </w:p>
        </w:tc>
      </w:tr>
      <w:tr>
        <w:tc>
          <w:tcPr>
            <w:tcW w:type="dxa" w:w="112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Y11T2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19 小时</w:t>
            </w:r>
          </w:p>
        </w:tc>
        <w:tc>
          <w:tcPr>
            <w:tcW w:type="dxa" w:w="24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文言文与小说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《郁离子》卷二；《非攻》；补充明代陌生节选与当代非小说材料</w:t>
            </w:r>
          </w:p>
        </w:tc>
        <w:tc>
          <w:tcPr>
            <w:tcW w:type="dxa" w:w="312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三部分卷1的整合与时间分配；四种卷2体裁的弹性选择；字词、标点和句法的精准校对。</w:t>
            </w:r>
          </w:p>
        </w:tc>
        <w:tc>
          <w:tcPr>
            <w:tcW w:type="dxa" w:w="247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卷1完整模拟 + 卷2完整模拟。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完成个人错因档案：阅读证据、材料选择、结构、表达准确度、时间管理。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Y11T3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21 小时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最终复习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历届或样题、学生错题、短篇陌生材料</w:t>
            </w:r>
          </w:p>
        </w:tc>
        <w:tc>
          <w:tcPr>
            <w:tcW w:type="dxa" w:w="31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在真实时限下稳定完成两卷；按数据重教薄弱微技能；选择最适合的卷2题型。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两轮完整模拟（卷1与卷2各一份）；模拟后 48 小时内完成错因归类和针对性再写或再测。</w:t>
            </w:r>
          </w:p>
        </w:tc>
      </w:tr>
      <w:tr>
        <w:tc>
          <w:tcPr>
            <w:tcW w:type="dxa" w:w="112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Y11T4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Study Leave</w:t>
            </w:r>
          </w:p>
        </w:tc>
        <w:tc>
          <w:tcPr>
            <w:tcW w:type="dxa" w:w="24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个别化复习</w:t>
            </w:r>
            <w:r>
              <w:br/>
            </w:r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作品档案、错因册、已批改模拟卷</w:t>
            </w:r>
          </w:p>
        </w:tc>
        <w:tc>
          <w:tcPr>
            <w:tcW w:type="dxa" w:w="312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保持阅读节奏、作文构思速度和字词准确度；不再大规模引入新内容。</w:t>
            </w:r>
          </w:p>
        </w:tc>
        <w:tc>
          <w:tcPr>
            <w:tcW w:type="dxa" w:w="247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 w:cs="STHeiti"/>
                <w:b w:val="0"/>
                <w:color w:val="1F2937"/>
                <w:sz w:val="16"/>
              </w:rPr>
              <w:t>每周短练安排：1 则现代文或文言短答、1 个提纲或段落、1 次错因回看。按学校考试日期调整。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  <w:spacing w:before="240" w:after="100" w:line="252" w:lineRule="auto"/>
      </w:pPr>
      <w:r>
        <w:rPr>
          <w:rFonts w:ascii="STHeiti" w:hAnsi="STHeiti" w:eastAsia="STHeiti" w:cs="STHeiti"/>
          <w:b/>
          <w:color w:val="000000"/>
          <w:sz w:val="30"/>
        </w:rPr>
        <w:t>六 实施建议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每周固定一个“考试技能时段”：即使文本单元正在进行，也保留 30 至 45 分钟处理陌生材料或定时写作。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建立统一作品档案：每项定时任务保留原稿、量规、教师反馈、学生反思和一段修订稿。这样 Y11 的分层复习有真实依据。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统一评分语言：阅读使用“信息 证据 推断 效果”；指导式写作使用“选择 评估 综合 语体”；作文使用“内容与结构 词汇与语体 准确度”。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将诗歌和课文讲读限制在服务技能的范围内：每次精读必须产出可迁移的分析句式、写作技法或词汇，而不是只完成内容理解。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模拟前先训练流程：审题、选择、列提纲、计时、校对分别显性示范；模拟后用同一错误类别跨文本再练，避免只讲答案。</w:t>
      </w:r>
    </w:p>
    <w:p>
      <w:pPr>
        <w:pStyle w:val="ListBullet"/>
        <w:spacing w:before="0" w:after="60" w:line="276" w:lineRule="auto"/>
      </w:pPr>
      <w:r>
        <w:rPr>
          <w:rFonts w:ascii="STHeiti" w:hAnsi="STHeiti" w:eastAsia="STHeiti" w:cs="STHeiti"/>
          <w:color w:val="1F2937"/>
          <w:sz w:val="20"/>
        </w:rPr>
        <w:t>每年开课前由课程负责人复核 Cambridge 当年正式教学大纲、样题和考试时刻表；本计划不替代学校的考试行政要求。</w:t>
      </w:r>
    </w:p>
    <w:sectPr w:rsidR="00FC693F" w:rsidRPr="0006063C" w:rsidSect="00034616">
      <w:footerReference w:type="default" r:id="rId9"/>
      <w:pgSz w:w="12240" w:h="15840"/>
      <w:pgMar w:top="893" w:right="893" w:bottom="835" w:left="89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STHeiti" w:hAnsi="STHeiti" w:eastAsia="STHeiti" w:cs="STHeiti"/>
        <w:color w:val="5B6775"/>
        <w:sz w:val="16"/>
      </w:rPr>
      <w:t>IGCSE 0509 中文第一语言 两年长期计划 修订版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THeiti" w:hAnsi="STHeiti" w:eastAsia="STHeit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IGCSE 0509 中文第一语言 两年长期计划 修订版</dc:title>
  <dc:subject>两年课程审计与长期计划</dc:subject>
  <dc:creator>Codex</dc:creator>
  <cp:keywords/>
  <dc:description>Based on the supplied LTP and Cambridge IGCSE First Language Chinese 0509 syllabus for 2028-2029.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