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E34" w:rsidRPr="009576EF" w:rsidRDefault="00163E34" w:rsidP="00965CFB">
      <w:pPr>
        <w:pStyle w:val="Titre3"/>
        <w:ind w:left="-786"/>
        <w:rPr>
          <w:sz w:val="25"/>
          <w:szCs w:val="25"/>
        </w:rPr>
      </w:pPr>
      <w:r w:rsidRPr="009576EF">
        <w:rPr>
          <w:sz w:val="25"/>
          <w:szCs w:val="25"/>
        </w:rPr>
        <w:t>Laboratoire de la semaine n°2</w:t>
      </w:r>
    </w:p>
    <w:p w:rsidR="001C63DE" w:rsidRPr="009576EF" w:rsidRDefault="00BC1D3F" w:rsidP="00965CFB">
      <w:pPr>
        <w:pStyle w:val="Titre3"/>
        <w:ind w:left="-786"/>
        <w:rPr>
          <w:sz w:val="25"/>
          <w:szCs w:val="25"/>
        </w:rPr>
      </w:pPr>
      <w:r w:rsidRPr="009576EF">
        <w:rPr>
          <w:sz w:val="25"/>
          <w:szCs w:val="25"/>
        </w:rPr>
        <w:t>Conditions de l'expérience</w:t>
      </w:r>
    </w:p>
    <w:p w:rsidR="001C63DE" w:rsidRPr="009576EF" w:rsidRDefault="001C63DE" w:rsidP="00A14A8D">
      <w:pPr>
        <w:pStyle w:val="Sansinterligne"/>
        <w:ind w:left="-709"/>
        <w:jc w:val="both"/>
        <w:rPr>
          <w:rStyle w:val="Emphaseintense"/>
          <w:sz w:val="25"/>
          <w:szCs w:val="25"/>
        </w:rPr>
      </w:pPr>
      <w:r w:rsidRPr="009576EF">
        <w:rPr>
          <w:rStyle w:val="Emphaseintense"/>
          <w:sz w:val="25"/>
          <w:szCs w:val="25"/>
        </w:rPr>
        <w:t xml:space="preserve">Matériel et configuration de la machine utilisée pour l’expérience : </w:t>
      </w:r>
    </w:p>
    <w:p w:rsidR="001C63DE" w:rsidRPr="009576EF" w:rsidRDefault="001C63DE" w:rsidP="001C63DE">
      <w:pPr>
        <w:pStyle w:val="Sansinterligne"/>
        <w:ind w:left="-709"/>
        <w:rPr>
          <w:rStyle w:val="Emphaseintense"/>
          <w:b w:val="0"/>
          <w:bCs w:val="0"/>
          <w:i w:val="0"/>
          <w:iCs w:val="0"/>
          <w:color w:val="auto"/>
          <w:sz w:val="25"/>
          <w:szCs w:val="25"/>
        </w:rPr>
      </w:pPr>
      <w:r w:rsidRPr="009576EF">
        <w:rPr>
          <w:rStyle w:val="Emphaseintense"/>
          <w:b w:val="0"/>
          <w:bCs w:val="0"/>
          <w:i w:val="0"/>
          <w:iCs w:val="0"/>
          <w:color w:val="auto"/>
          <w:sz w:val="25"/>
          <w:szCs w:val="25"/>
        </w:rPr>
        <w:t xml:space="preserve">CPU : Intel </w:t>
      </w:r>
      <w:proofErr w:type="spellStart"/>
      <w:r w:rsidRPr="009576EF">
        <w:rPr>
          <w:rStyle w:val="Emphaseintense"/>
          <w:b w:val="0"/>
          <w:bCs w:val="0"/>
          <w:i w:val="0"/>
          <w:iCs w:val="0"/>
          <w:color w:val="auto"/>
          <w:sz w:val="25"/>
          <w:szCs w:val="25"/>
        </w:rPr>
        <w:t>Core</w:t>
      </w:r>
      <w:proofErr w:type="spellEnd"/>
      <w:r w:rsidRPr="009576EF">
        <w:rPr>
          <w:rStyle w:val="Emphaseintense"/>
          <w:b w:val="0"/>
          <w:bCs w:val="0"/>
          <w:i w:val="0"/>
          <w:iCs w:val="0"/>
          <w:color w:val="auto"/>
          <w:sz w:val="25"/>
          <w:szCs w:val="25"/>
        </w:rPr>
        <w:t xml:space="preserve"> i7 – 46000</w:t>
      </w:r>
    </w:p>
    <w:p w:rsidR="001C63DE" w:rsidRPr="009576EF" w:rsidRDefault="001C63DE" w:rsidP="001C63DE">
      <w:pPr>
        <w:pStyle w:val="Sansinterligne"/>
        <w:ind w:left="-709"/>
        <w:rPr>
          <w:rStyle w:val="Emphaseintense"/>
          <w:b w:val="0"/>
          <w:bCs w:val="0"/>
          <w:i w:val="0"/>
          <w:iCs w:val="0"/>
          <w:color w:val="auto"/>
          <w:sz w:val="25"/>
          <w:szCs w:val="25"/>
        </w:rPr>
      </w:pPr>
      <w:r w:rsidRPr="009576EF">
        <w:rPr>
          <w:rStyle w:val="Emphaseintense"/>
          <w:b w:val="0"/>
          <w:bCs w:val="0"/>
          <w:i w:val="0"/>
          <w:iCs w:val="0"/>
          <w:color w:val="auto"/>
          <w:sz w:val="25"/>
          <w:szCs w:val="25"/>
        </w:rPr>
        <w:t>Ram : 8 Go</w:t>
      </w:r>
    </w:p>
    <w:p w:rsidR="001C63DE" w:rsidRPr="009576EF" w:rsidRDefault="001C63DE" w:rsidP="009576EF">
      <w:pPr>
        <w:pStyle w:val="Sansinterligne"/>
        <w:ind w:left="-709" w:right="84"/>
        <w:rPr>
          <w:rStyle w:val="Emphaseintense"/>
          <w:b w:val="0"/>
          <w:bCs w:val="0"/>
          <w:i w:val="0"/>
          <w:iCs w:val="0"/>
          <w:color w:val="auto"/>
          <w:sz w:val="25"/>
          <w:szCs w:val="25"/>
        </w:rPr>
      </w:pPr>
      <w:r w:rsidRPr="009576EF">
        <w:rPr>
          <w:rStyle w:val="Emphaseintense"/>
          <w:b w:val="0"/>
          <w:bCs w:val="0"/>
          <w:i w:val="0"/>
          <w:iCs w:val="0"/>
          <w:color w:val="auto"/>
          <w:sz w:val="25"/>
          <w:szCs w:val="25"/>
        </w:rPr>
        <w:t>OS : Windows 7</w:t>
      </w:r>
    </w:p>
    <w:p w:rsidR="001C63DE" w:rsidRDefault="001C63DE" w:rsidP="001C63DE">
      <w:pPr>
        <w:pStyle w:val="Sansinterligne"/>
        <w:ind w:left="-709"/>
        <w:rPr>
          <w:rStyle w:val="Emphaseintense"/>
          <w:b w:val="0"/>
          <w:bCs w:val="0"/>
          <w:i w:val="0"/>
          <w:iCs w:val="0"/>
          <w:color w:val="auto"/>
          <w:sz w:val="25"/>
          <w:szCs w:val="25"/>
        </w:rPr>
      </w:pPr>
      <w:r w:rsidRPr="009576EF">
        <w:rPr>
          <w:rStyle w:val="Emphaseintense"/>
          <w:b w:val="0"/>
          <w:bCs w:val="0"/>
          <w:i w:val="0"/>
          <w:iCs w:val="0"/>
          <w:color w:val="auto"/>
          <w:sz w:val="25"/>
          <w:szCs w:val="25"/>
        </w:rPr>
        <w:t>Utilisation d’</w:t>
      </w:r>
      <w:r w:rsidR="00A245FB" w:rsidRPr="009576EF">
        <w:rPr>
          <w:rStyle w:val="Emphaseintense"/>
          <w:b w:val="0"/>
          <w:bCs w:val="0"/>
          <w:i w:val="0"/>
          <w:iCs w:val="0"/>
          <w:color w:val="auto"/>
          <w:sz w:val="25"/>
          <w:szCs w:val="25"/>
        </w:rPr>
        <w:t>un SSD</w:t>
      </w:r>
    </w:p>
    <w:p w:rsidR="009576EF" w:rsidRPr="009576EF" w:rsidRDefault="009576EF" w:rsidP="001C63DE">
      <w:pPr>
        <w:pStyle w:val="Sansinterligne"/>
        <w:ind w:left="-709"/>
        <w:rPr>
          <w:rStyle w:val="Emphaseintense"/>
          <w:b w:val="0"/>
          <w:bCs w:val="0"/>
          <w:i w:val="0"/>
          <w:iCs w:val="0"/>
          <w:color w:val="auto"/>
          <w:sz w:val="25"/>
          <w:szCs w:val="25"/>
        </w:rPr>
      </w:pPr>
    </w:p>
    <w:p w:rsidR="00A245FB" w:rsidRPr="009576EF" w:rsidRDefault="00A245FB" w:rsidP="001C63DE">
      <w:pPr>
        <w:pStyle w:val="Sansinterligne"/>
        <w:ind w:left="-709"/>
        <w:rPr>
          <w:rStyle w:val="Emphaseintense"/>
          <w:b w:val="0"/>
          <w:bCs w:val="0"/>
          <w:i w:val="0"/>
          <w:iCs w:val="0"/>
          <w:color w:val="auto"/>
          <w:sz w:val="25"/>
          <w:szCs w:val="25"/>
        </w:rPr>
      </w:pPr>
    </w:p>
    <w:p w:rsidR="001C63DE" w:rsidRPr="009576EF" w:rsidRDefault="00A245FB" w:rsidP="00A14A8D">
      <w:pPr>
        <w:pStyle w:val="Sansinterligne"/>
        <w:ind w:left="-709"/>
        <w:jc w:val="both"/>
        <w:rPr>
          <w:rStyle w:val="Emphaseintense"/>
          <w:sz w:val="25"/>
          <w:szCs w:val="25"/>
        </w:rPr>
      </w:pPr>
      <w:r w:rsidRPr="009576EF">
        <w:rPr>
          <w:rStyle w:val="Emphaseintense"/>
          <w:sz w:val="25"/>
          <w:szCs w:val="25"/>
        </w:rPr>
        <w:t>Conditions</w:t>
      </w:r>
    </w:p>
    <w:p w:rsidR="00A14A8D" w:rsidRPr="009576EF" w:rsidRDefault="00C616AA" w:rsidP="00A14A8D">
      <w:pPr>
        <w:pStyle w:val="Sansinterligne"/>
        <w:ind w:left="-709"/>
        <w:jc w:val="both"/>
        <w:rPr>
          <w:sz w:val="25"/>
          <w:szCs w:val="25"/>
        </w:rPr>
      </w:pPr>
      <w:r w:rsidRPr="009576EF">
        <w:rPr>
          <w:sz w:val="25"/>
          <w:szCs w:val="25"/>
        </w:rPr>
        <w:t xml:space="preserve">Ce laboratoire consiste en la modification d’un programme </w:t>
      </w:r>
      <w:r w:rsidR="00447C0A" w:rsidRPr="009576EF">
        <w:rPr>
          <w:sz w:val="25"/>
          <w:szCs w:val="25"/>
        </w:rPr>
        <w:t xml:space="preserve">fourni par le professeur </w:t>
      </w:r>
      <w:proofErr w:type="spellStart"/>
      <w:r w:rsidR="00447C0A" w:rsidRPr="009576EF">
        <w:rPr>
          <w:sz w:val="25"/>
          <w:szCs w:val="25"/>
        </w:rPr>
        <w:t>Lietchi</w:t>
      </w:r>
      <w:proofErr w:type="spellEnd"/>
      <w:r w:rsidR="00447C0A" w:rsidRPr="009576EF">
        <w:rPr>
          <w:sz w:val="25"/>
          <w:szCs w:val="25"/>
        </w:rPr>
        <w:t xml:space="preserve"> dans le but de récupérer les résultats </w:t>
      </w:r>
      <w:r w:rsidR="00A14A8D" w:rsidRPr="009576EF">
        <w:rPr>
          <w:sz w:val="25"/>
          <w:szCs w:val="25"/>
        </w:rPr>
        <w:t xml:space="preserve">produits par </w:t>
      </w:r>
      <w:r w:rsidR="00447C0A" w:rsidRPr="009576EF">
        <w:rPr>
          <w:sz w:val="25"/>
          <w:szCs w:val="25"/>
        </w:rPr>
        <w:t>le logiciel. L’expérience consiste à exposer les résultats  de</w:t>
      </w:r>
      <w:r w:rsidR="00A14A8D" w:rsidRPr="009576EF">
        <w:rPr>
          <w:sz w:val="25"/>
          <w:szCs w:val="25"/>
        </w:rPr>
        <w:t>s</w:t>
      </w:r>
      <w:r w:rsidR="00447C0A" w:rsidRPr="009576EF">
        <w:rPr>
          <w:sz w:val="25"/>
          <w:szCs w:val="25"/>
        </w:rPr>
        <w:t xml:space="preserve"> performances </w:t>
      </w:r>
      <w:r w:rsidR="00A14A8D" w:rsidRPr="009576EF">
        <w:rPr>
          <w:sz w:val="25"/>
          <w:szCs w:val="25"/>
        </w:rPr>
        <w:t>de lecture et écriture de données en Java en utilisant différentes stratégies :</w:t>
      </w:r>
    </w:p>
    <w:p w:rsidR="00A14A8D" w:rsidRPr="009576EF" w:rsidRDefault="00A14A8D" w:rsidP="00A14A8D">
      <w:pPr>
        <w:pStyle w:val="Sansinterligne"/>
        <w:numPr>
          <w:ilvl w:val="0"/>
          <w:numId w:val="2"/>
        </w:numPr>
        <w:jc w:val="both"/>
        <w:rPr>
          <w:sz w:val="25"/>
          <w:szCs w:val="25"/>
        </w:rPr>
      </w:pPr>
      <w:r w:rsidRPr="009576EF">
        <w:rPr>
          <w:sz w:val="25"/>
          <w:szCs w:val="25"/>
        </w:rPr>
        <w:t>Pas de tampons utilisés avec un nombre d’octets par bloc défini.</w:t>
      </w:r>
    </w:p>
    <w:p w:rsidR="00A14A8D" w:rsidRPr="009576EF" w:rsidRDefault="00A14A8D" w:rsidP="00A14A8D">
      <w:pPr>
        <w:pStyle w:val="Sansinterligne"/>
        <w:numPr>
          <w:ilvl w:val="0"/>
          <w:numId w:val="2"/>
        </w:numPr>
        <w:jc w:val="both"/>
        <w:rPr>
          <w:sz w:val="25"/>
          <w:szCs w:val="25"/>
        </w:rPr>
      </w:pPr>
      <w:r w:rsidRPr="009576EF">
        <w:rPr>
          <w:sz w:val="25"/>
          <w:szCs w:val="25"/>
        </w:rPr>
        <w:t xml:space="preserve">Pas de tampons utilisés </w:t>
      </w:r>
      <w:r w:rsidRPr="009576EF">
        <w:rPr>
          <w:sz w:val="25"/>
          <w:szCs w:val="25"/>
        </w:rPr>
        <w:t>avec la taille des blocs à zéro</w:t>
      </w:r>
    </w:p>
    <w:p w:rsidR="00A14A8D" w:rsidRPr="009576EF" w:rsidRDefault="00A14A8D" w:rsidP="00A14A8D">
      <w:pPr>
        <w:pStyle w:val="Sansinterligne"/>
        <w:numPr>
          <w:ilvl w:val="0"/>
          <w:numId w:val="2"/>
        </w:numPr>
        <w:jc w:val="both"/>
        <w:rPr>
          <w:sz w:val="25"/>
          <w:szCs w:val="25"/>
        </w:rPr>
      </w:pPr>
      <w:r w:rsidRPr="009576EF">
        <w:rPr>
          <w:sz w:val="25"/>
          <w:szCs w:val="25"/>
        </w:rPr>
        <w:t>Utilisation de tampons avec un nombre d’octets par bloc défini.</w:t>
      </w:r>
    </w:p>
    <w:p w:rsidR="00A14A8D" w:rsidRPr="009576EF" w:rsidRDefault="00A14A8D" w:rsidP="00A14A8D">
      <w:pPr>
        <w:pStyle w:val="Sansinterligne"/>
        <w:numPr>
          <w:ilvl w:val="0"/>
          <w:numId w:val="2"/>
        </w:numPr>
        <w:jc w:val="both"/>
        <w:rPr>
          <w:sz w:val="25"/>
          <w:szCs w:val="25"/>
        </w:rPr>
      </w:pPr>
      <w:r w:rsidRPr="009576EF">
        <w:rPr>
          <w:sz w:val="25"/>
          <w:szCs w:val="25"/>
        </w:rPr>
        <w:t xml:space="preserve">Utilisation de tampons avec la taille des blocs à </w:t>
      </w:r>
      <w:r w:rsidR="009576EF">
        <w:rPr>
          <w:sz w:val="25"/>
          <w:szCs w:val="25"/>
        </w:rPr>
        <w:tab/>
      </w:r>
      <w:r w:rsidRPr="009576EF">
        <w:rPr>
          <w:sz w:val="25"/>
          <w:szCs w:val="25"/>
        </w:rPr>
        <w:t>zéro</w:t>
      </w:r>
    </w:p>
    <w:p w:rsidR="009576EF" w:rsidRDefault="009576EF" w:rsidP="009576EF">
      <w:pPr>
        <w:pStyle w:val="Sansinterligne"/>
        <w:ind w:left="-709"/>
        <w:jc w:val="both"/>
        <w:rPr>
          <w:sz w:val="25"/>
          <w:szCs w:val="25"/>
        </w:rPr>
      </w:pPr>
    </w:p>
    <w:p w:rsidR="009576EF" w:rsidRDefault="009576EF" w:rsidP="009576EF">
      <w:pPr>
        <w:pStyle w:val="Sansinterligne"/>
        <w:ind w:left="-709"/>
        <w:jc w:val="both"/>
        <w:rPr>
          <w:sz w:val="25"/>
          <w:szCs w:val="25"/>
        </w:rPr>
      </w:pPr>
    </w:p>
    <w:p w:rsidR="00C616AA" w:rsidRPr="009576EF" w:rsidRDefault="00A14A8D" w:rsidP="009576EF">
      <w:pPr>
        <w:pStyle w:val="Sansinterligne"/>
        <w:ind w:left="-284"/>
        <w:jc w:val="both"/>
        <w:rPr>
          <w:sz w:val="25"/>
          <w:szCs w:val="25"/>
        </w:rPr>
      </w:pPr>
      <w:r w:rsidRPr="009576EF">
        <w:rPr>
          <w:sz w:val="25"/>
          <w:szCs w:val="25"/>
        </w:rPr>
        <w:lastRenderedPageBreak/>
        <w:t xml:space="preserve">Ces performances de lecture et écriture peuvent être améliorées grâce à l’implémentation de </w:t>
      </w:r>
      <w:r w:rsidR="001C63DE" w:rsidRPr="009576EF">
        <w:rPr>
          <w:sz w:val="25"/>
          <w:szCs w:val="25"/>
        </w:rPr>
        <w:t xml:space="preserve">ces </w:t>
      </w:r>
      <w:r w:rsidRPr="009576EF">
        <w:rPr>
          <w:sz w:val="25"/>
          <w:szCs w:val="25"/>
        </w:rPr>
        <w:t>tampons</w:t>
      </w:r>
      <w:r w:rsidR="001C63DE" w:rsidRPr="009576EF">
        <w:rPr>
          <w:sz w:val="25"/>
          <w:szCs w:val="25"/>
        </w:rPr>
        <w:t xml:space="preserve"> cités précédemment dans les stratégies</w:t>
      </w:r>
      <w:r w:rsidRPr="009576EF">
        <w:rPr>
          <w:sz w:val="25"/>
          <w:szCs w:val="25"/>
        </w:rPr>
        <w:t>. Finalement, ces données sont écrites dans un fichier csv qui permettra une</w:t>
      </w:r>
      <w:r w:rsidR="001C63DE" w:rsidRPr="009576EF">
        <w:rPr>
          <w:sz w:val="25"/>
          <w:szCs w:val="25"/>
        </w:rPr>
        <w:t xml:space="preserve"> analyse plus approfondie</w:t>
      </w:r>
    </w:p>
    <w:p w:rsidR="004B0ECC" w:rsidRPr="009576EF" w:rsidRDefault="004B0ECC" w:rsidP="00A14A8D">
      <w:pPr>
        <w:pStyle w:val="Sansinterligne"/>
        <w:ind w:left="-709"/>
        <w:jc w:val="both"/>
        <w:rPr>
          <w:sz w:val="25"/>
          <w:szCs w:val="25"/>
        </w:rPr>
      </w:pPr>
    </w:p>
    <w:p w:rsidR="00BC1D3F" w:rsidRPr="009576EF" w:rsidRDefault="00965CFB" w:rsidP="000832FD">
      <w:pPr>
        <w:pStyle w:val="Titre3"/>
        <w:numPr>
          <w:ilvl w:val="0"/>
          <w:numId w:val="2"/>
        </w:numPr>
        <w:ind w:left="-284"/>
        <w:rPr>
          <w:sz w:val="25"/>
          <w:szCs w:val="25"/>
        </w:rPr>
      </w:pPr>
      <w:r w:rsidRPr="009576EF">
        <w:rPr>
          <w:sz w:val="25"/>
          <w:szCs w:val="25"/>
        </w:rPr>
        <w:t>Code du programme</w:t>
      </w:r>
    </w:p>
    <w:p w:rsidR="006F298D" w:rsidRPr="009576EF" w:rsidRDefault="00B56004" w:rsidP="004B0ECC">
      <w:pPr>
        <w:pStyle w:val="Sansinterligne"/>
        <w:ind w:left="-284"/>
        <w:rPr>
          <w:sz w:val="25"/>
          <w:szCs w:val="25"/>
        </w:rPr>
      </w:pPr>
      <w:r w:rsidRPr="009576EF">
        <w:rPr>
          <w:sz w:val="25"/>
          <w:szCs w:val="25"/>
        </w:rPr>
        <w:t>Le programme permet la création d’un fichier csv comportant les données de l’</w:t>
      </w:r>
      <w:r w:rsidR="0048214D" w:rsidRPr="009576EF">
        <w:rPr>
          <w:sz w:val="25"/>
          <w:szCs w:val="25"/>
        </w:rPr>
        <w:t>expérience</w:t>
      </w:r>
      <w:r w:rsidR="000832FD" w:rsidRPr="009576EF">
        <w:rPr>
          <w:sz w:val="25"/>
          <w:szCs w:val="25"/>
        </w:rPr>
        <w:t xml:space="preserve">, </w:t>
      </w:r>
      <w:r w:rsidR="0048214D" w:rsidRPr="009576EF">
        <w:rPr>
          <w:sz w:val="25"/>
          <w:szCs w:val="25"/>
        </w:rPr>
        <w:t>le programme.</w:t>
      </w:r>
      <w:r w:rsidR="006F298D" w:rsidRPr="009576EF">
        <w:rPr>
          <w:sz w:val="25"/>
          <w:szCs w:val="25"/>
        </w:rPr>
        <w:t xml:space="preserve"> Les modifications sont les suivantes :</w:t>
      </w:r>
    </w:p>
    <w:p w:rsidR="00650EBB" w:rsidRPr="009576EF" w:rsidRDefault="00650EBB" w:rsidP="004B0ECC">
      <w:pPr>
        <w:pStyle w:val="Sansinterligne"/>
        <w:ind w:left="-284"/>
        <w:rPr>
          <w:sz w:val="25"/>
          <w:szCs w:val="25"/>
        </w:rPr>
      </w:pPr>
    </w:p>
    <w:p w:rsidR="006F298D" w:rsidRPr="009576EF" w:rsidRDefault="00F42EAF" w:rsidP="004B0ECC">
      <w:pPr>
        <w:pStyle w:val="Sansinterligne"/>
        <w:ind w:left="-284"/>
        <w:rPr>
          <w:sz w:val="25"/>
          <w:szCs w:val="25"/>
        </w:rPr>
      </w:pPr>
      <w:r w:rsidRPr="009576EF">
        <w:rPr>
          <w:noProof/>
          <w:sz w:val="25"/>
          <w:szCs w:val="25"/>
          <w:lang w:eastAsia="fr-CH"/>
        </w:rPr>
        <w:drawing>
          <wp:inline distT="0" distB="0" distL="0" distR="0" wp14:anchorId="02EB0B01" wp14:editId="0E11DBEA">
            <wp:extent cx="2768455" cy="2143125"/>
            <wp:effectExtent l="0" t="0" r="0" b="0"/>
            <wp:docPr id="7" name="Image 7" descr="D:\2e\RES\Labo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2e\RES\Labo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817" cy="21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98D" w:rsidRDefault="006F298D" w:rsidP="004B0ECC">
      <w:pPr>
        <w:pStyle w:val="Sansinterligne"/>
        <w:ind w:left="-284"/>
        <w:rPr>
          <w:sz w:val="25"/>
          <w:szCs w:val="25"/>
        </w:rPr>
      </w:pPr>
    </w:p>
    <w:p w:rsidR="00AD58BD" w:rsidRDefault="00AD58BD" w:rsidP="004B0ECC">
      <w:pPr>
        <w:pStyle w:val="Sansinterligne"/>
        <w:ind w:left="-284"/>
        <w:rPr>
          <w:sz w:val="25"/>
          <w:szCs w:val="25"/>
        </w:rPr>
      </w:pPr>
    </w:p>
    <w:p w:rsidR="00AD58BD" w:rsidRPr="009576EF" w:rsidRDefault="00AD58BD" w:rsidP="004B0ECC">
      <w:pPr>
        <w:pStyle w:val="Sansinterligne"/>
        <w:ind w:left="-284"/>
        <w:rPr>
          <w:sz w:val="25"/>
          <w:szCs w:val="25"/>
        </w:rPr>
      </w:pPr>
    </w:p>
    <w:p w:rsidR="006F298D" w:rsidRPr="009576EF" w:rsidRDefault="00650EBB" w:rsidP="004B0ECC">
      <w:pPr>
        <w:pStyle w:val="Sansinterligne"/>
        <w:ind w:left="-284"/>
        <w:rPr>
          <w:sz w:val="25"/>
          <w:szCs w:val="25"/>
        </w:rPr>
      </w:pPr>
      <w:r w:rsidRPr="009576EF">
        <w:rPr>
          <w:noProof/>
          <w:sz w:val="25"/>
          <w:szCs w:val="25"/>
          <w:lang w:eastAsia="fr-CH"/>
        </w:rPr>
        <w:lastRenderedPageBreak/>
        <w:t>Mes modificat</w:t>
      </w:r>
      <w:r w:rsidRPr="009576EF">
        <w:rPr>
          <w:sz w:val="25"/>
          <w:szCs w:val="25"/>
        </w:rPr>
        <w:t>ions consistent en l’</w:t>
      </w:r>
      <w:proofErr w:type="spellStart"/>
      <w:r w:rsidRPr="009576EF">
        <w:rPr>
          <w:sz w:val="25"/>
          <w:szCs w:val="25"/>
        </w:rPr>
        <w:t>instanciantion</w:t>
      </w:r>
      <w:proofErr w:type="spellEnd"/>
      <w:r w:rsidRPr="009576EF">
        <w:rPr>
          <w:sz w:val="25"/>
          <w:szCs w:val="25"/>
        </w:rPr>
        <w:t xml:space="preserve"> de deux objets </w:t>
      </w:r>
      <w:proofErr w:type="spellStart"/>
      <w:r w:rsidRPr="009576EF">
        <w:rPr>
          <w:sz w:val="25"/>
          <w:szCs w:val="25"/>
        </w:rPr>
        <w:t>FileWriter</w:t>
      </w:r>
      <w:proofErr w:type="spellEnd"/>
      <w:r w:rsidRPr="009576EF">
        <w:rPr>
          <w:sz w:val="25"/>
          <w:szCs w:val="25"/>
        </w:rPr>
        <w:t xml:space="preserve"> permettant de gérer des flux de caractères avec des fichiers ainsi que </w:t>
      </w:r>
      <w:proofErr w:type="spellStart"/>
      <w:r w:rsidRPr="009576EF">
        <w:rPr>
          <w:sz w:val="25"/>
          <w:szCs w:val="25"/>
        </w:rPr>
        <w:t>BufferedWriter</w:t>
      </w:r>
      <w:proofErr w:type="spellEnd"/>
      <w:r w:rsidRPr="009576EF">
        <w:rPr>
          <w:sz w:val="25"/>
          <w:szCs w:val="25"/>
        </w:rPr>
        <w:t xml:space="preserve"> permettant de gérer des flux de caractères tamponnés avec des fichiers. Puis, simplement, j’ai appelé la méthode de classe permettant l’écriture dans des fichier « </w:t>
      </w:r>
      <w:proofErr w:type="spellStart"/>
      <w:proofErr w:type="gramStart"/>
      <w:r w:rsidRPr="009576EF">
        <w:rPr>
          <w:sz w:val="25"/>
          <w:szCs w:val="25"/>
        </w:rPr>
        <w:t>write</w:t>
      </w:r>
      <w:proofErr w:type="spellEnd"/>
      <w:r w:rsidRPr="009576EF">
        <w:rPr>
          <w:sz w:val="25"/>
          <w:szCs w:val="25"/>
        </w:rPr>
        <w:t>(</w:t>
      </w:r>
      <w:proofErr w:type="gramEnd"/>
      <w:r w:rsidRPr="009576EF">
        <w:rPr>
          <w:sz w:val="25"/>
          <w:szCs w:val="25"/>
        </w:rPr>
        <w:t>) ».</w:t>
      </w:r>
    </w:p>
    <w:p w:rsidR="004B0ECC" w:rsidRPr="009576EF" w:rsidRDefault="004B0ECC" w:rsidP="004B0ECC">
      <w:pPr>
        <w:pStyle w:val="Sansinterligne"/>
        <w:ind w:left="-284"/>
        <w:rPr>
          <w:sz w:val="25"/>
          <w:szCs w:val="25"/>
        </w:rPr>
      </w:pPr>
    </w:p>
    <w:p w:rsidR="004B0ECC" w:rsidRPr="009576EF" w:rsidRDefault="004B0ECC" w:rsidP="004B0ECC">
      <w:pPr>
        <w:pStyle w:val="Titre3"/>
        <w:ind w:left="-284"/>
        <w:rPr>
          <w:sz w:val="25"/>
          <w:szCs w:val="25"/>
        </w:rPr>
      </w:pPr>
      <w:r w:rsidRPr="009576EF">
        <w:rPr>
          <w:sz w:val="25"/>
          <w:szCs w:val="25"/>
        </w:rPr>
        <w:t>Analyse des mesures (graphique au verso)</w:t>
      </w:r>
    </w:p>
    <w:p w:rsidR="00163E34" w:rsidRPr="009576EF" w:rsidRDefault="00163E34" w:rsidP="00163E34">
      <w:pPr>
        <w:ind w:left="-284"/>
        <w:rPr>
          <w:sz w:val="25"/>
          <w:szCs w:val="25"/>
        </w:rPr>
      </w:pPr>
      <w:r w:rsidRPr="009576EF">
        <w:rPr>
          <w:sz w:val="25"/>
          <w:szCs w:val="25"/>
        </w:rPr>
        <w:t>On peut remarquer que l’utilisation de tampons améliore significativement les performances en écriture et lecture. De plus les blocs de données plus grands augmentent égal</w:t>
      </w:r>
      <w:r w:rsidRPr="009576EF">
        <w:rPr>
          <w:sz w:val="25"/>
          <w:szCs w:val="25"/>
        </w:rPr>
        <w:t>ement les performances. Les tampons permettent la minimisation des accès au disque ainsi que des appels systèmes permettant ainsi d’améliorer la vitesse d’exécution de logiciel.</w:t>
      </w:r>
    </w:p>
    <w:p w:rsidR="00163E34" w:rsidRPr="009576EF" w:rsidRDefault="00163E34" w:rsidP="00163E34">
      <w:pPr>
        <w:ind w:left="-284"/>
        <w:rPr>
          <w:sz w:val="25"/>
          <w:szCs w:val="25"/>
        </w:rPr>
      </w:pPr>
    </w:p>
    <w:p w:rsidR="004B0ECC" w:rsidRPr="009576EF" w:rsidRDefault="004B0ECC" w:rsidP="00D14212">
      <w:pPr>
        <w:pStyle w:val="Sansinterligne"/>
        <w:rPr>
          <w:sz w:val="25"/>
          <w:szCs w:val="25"/>
        </w:rPr>
      </w:pPr>
    </w:p>
    <w:p w:rsidR="00D14212" w:rsidRPr="009576EF" w:rsidRDefault="00D14212" w:rsidP="00D14212">
      <w:pPr>
        <w:pStyle w:val="Sansinterligne"/>
        <w:rPr>
          <w:sz w:val="25"/>
          <w:szCs w:val="25"/>
        </w:rPr>
        <w:sectPr w:rsidR="00D14212" w:rsidRPr="009576EF" w:rsidSect="00322EA2">
          <w:headerReference w:type="default" r:id="rId10"/>
          <w:footerReference w:type="default" r:id="rId11"/>
          <w:pgSz w:w="16838" w:h="11906" w:orient="landscape" w:code="9"/>
          <w:pgMar w:top="180" w:right="1418" w:bottom="1418" w:left="1418" w:header="142" w:footer="284" w:gutter="0"/>
          <w:cols w:num="3" w:space="708"/>
          <w:docGrid w:linePitch="360"/>
        </w:sectPr>
      </w:pPr>
    </w:p>
    <w:p w:rsidR="00965CFB" w:rsidRPr="009576EF" w:rsidRDefault="00965CFB" w:rsidP="000832FD">
      <w:pPr>
        <w:pStyle w:val="Sansinterligne"/>
        <w:ind w:left="-284"/>
        <w:rPr>
          <w:sz w:val="25"/>
          <w:szCs w:val="25"/>
        </w:rPr>
      </w:pPr>
    </w:p>
    <w:p w:rsidR="00BC1D3F" w:rsidRPr="009576EF" w:rsidRDefault="00965CFB" w:rsidP="00965CFB">
      <w:pPr>
        <w:pStyle w:val="Titre3"/>
        <w:ind w:left="-644"/>
        <w:rPr>
          <w:sz w:val="25"/>
          <w:szCs w:val="25"/>
        </w:rPr>
      </w:pPr>
      <w:r w:rsidRPr="009576EF">
        <w:rPr>
          <w:sz w:val="25"/>
          <w:szCs w:val="25"/>
        </w:rPr>
        <w:t>M</w:t>
      </w:r>
      <w:r w:rsidR="00BC1D3F" w:rsidRPr="009576EF">
        <w:rPr>
          <w:sz w:val="25"/>
          <w:szCs w:val="25"/>
        </w:rPr>
        <w:t xml:space="preserve">esures  </w:t>
      </w:r>
    </w:p>
    <w:p w:rsidR="00965CFB" w:rsidRPr="009576EF" w:rsidRDefault="00965CFB" w:rsidP="00027F48">
      <w:pPr>
        <w:pStyle w:val="Sansinterligne"/>
        <w:ind w:left="-284"/>
        <w:rPr>
          <w:sz w:val="25"/>
          <w:szCs w:val="25"/>
        </w:rPr>
      </w:pPr>
      <w:r w:rsidRPr="009576EF">
        <w:rPr>
          <w:sz w:val="25"/>
          <w:szCs w:val="25"/>
        </w:rPr>
        <w:t>Le programme permet la création d’un fichier csv comportant les données de l’</w:t>
      </w:r>
      <w:r w:rsidRPr="009576EF">
        <w:rPr>
          <w:sz w:val="25"/>
          <w:szCs w:val="25"/>
        </w:rPr>
        <w:t>expérience. Ci-dessus sont présentés sous forme de graphique les résultats de l’expérience à l’aide du fichier csv généré par l’</w:t>
      </w:r>
      <w:r w:rsidR="00027F48">
        <w:rPr>
          <w:sz w:val="25"/>
          <w:szCs w:val="25"/>
        </w:rPr>
        <w:t>application.</w:t>
      </w:r>
      <w:bookmarkStart w:id="0" w:name="_GoBack"/>
      <w:bookmarkEnd w:id="0"/>
    </w:p>
    <w:p w:rsidR="00BC1D3F" w:rsidRPr="009576EF" w:rsidRDefault="00965CFB" w:rsidP="00F42EAF">
      <w:pPr>
        <w:ind w:left="-426"/>
        <w:jc w:val="center"/>
        <w:rPr>
          <w:sz w:val="25"/>
          <w:szCs w:val="25"/>
        </w:rPr>
      </w:pPr>
      <w:r w:rsidRPr="009576EF">
        <w:rPr>
          <w:noProof/>
          <w:sz w:val="25"/>
          <w:szCs w:val="25"/>
          <w:lang w:eastAsia="fr-CH"/>
        </w:rPr>
        <w:drawing>
          <wp:inline distT="0" distB="0" distL="0" distR="0" wp14:anchorId="5E2E5C7A" wp14:editId="339E9534">
            <wp:extent cx="7210425" cy="4876800"/>
            <wp:effectExtent l="0" t="0" r="9525" b="1905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BC1D3F" w:rsidRPr="009576EF" w:rsidSect="00965CFB">
      <w:pgSz w:w="16838" w:h="11906" w:orient="landscape" w:code="9"/>
      <w:pgMar w:top="568" w:right="1418" w:bottom="1418" w:left="1418" w:header="142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610" w:rsidRDefault="00F92610" w:rsidP="00C616AA">
      <w:pPr>
        <w:spacing w:after="0" w:line="240" w:lineRule="auto"/>
      </w:pPr>
      <w:r>
        <w:separator/>
      </w:r>
    </w:p>
  </w:endnote>
  <w:endnote w:type="continuationSeparator" w:id="0">
    <w:p w:rsidR="00F92610" w:rsidRDefault="00F92610" w:rsidP="00C6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6AA" w:rsidRDefault="00A245FB" w:rsidP="00C616AA">
    <w:pPr>
      <w:pStyle w:val="Titre2"/>
      <w:ind w:left="142"/>
      <w:jc w:val="center"/>
    </w:pPr>
    <w:r>
      <w:t>HEIG -VD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610" w:rsidRDefault="00F92610" w:rsidP="00C616AA">
      <w:pPr>
        <w:spacing w:after="0" w:line="240" w:lineRule="auto"/>
      </w:pPr>
      <w:r>
        <w:separator/>
      </w:r>
    </w:p>
  </w:footnote>
  <w:footnote w:type="continuationSeparator" w:id="0">
    <w:p w:rsidR="00F92610" w:rsidRDefault="00F92610" w:rsidP="00C6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5735" w:type="dxa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71"/>
      <w:gridCol w:w="8664"/>
    </w:tblGrid>
    <w:tr w:rsidR="00C616AA" w:rsidTr="00322EA2">
      <w:trPr>
        <w:trHeight w:val="572"/>
      </w:trPr>
      <w:tc>
        <w:tcPr>
          <w:tcW w:w="7071" w:type="dxa"/>
        </w:tcPr>
        <w:p w:rsidR="00C616AA" w:rsidRDefault="00A245FB" w:rsidP="00A245FB">
          <w:pPr>
            <w:pStyle w:val="Titre2"/>
            <w:outlineLvl w:val="1"/>
          </w:pPr>
          <w:proofErr w:type="spellStart"/>
          <w:r>
            <w:t>Dardan</w:t>
          </w:r>
          <w:proofErr w:type="spellEnd"/>
          <w:r>
            <w:t xml:space="preserve"> </w:t>
          </w:r>
          <w:proofErr w:type="spellStart"/>
          <w:r>
            <w:t>Selimi</w:t>
          </w:r>
          <w:proofErr w:type="spellEnd"/>
        </w:p>
        <w:p w:rsidR="00A245FB" w:rsidRPr="00A245FB" w:rsidRDefault="00A245FB" w:rsidP="00A245FB"/>
      </w:tc>
      <w:tc>
        <w:tcPr>
          <w:tcW w:w="8664" w:type="dxa"/>
        </w:tcPr>
        <w:p w:rsidR="00C616AA" w:rsidRDefault="00C616AA" w:rsidP="00C616AA">
          <w:pPr>
            <w:pStyle w:val="Titre2"/>
            <w:jc w:val="center"/>
          </w:pPr>
          <w:r>
            <w:t>09.03.2015</w:t>
          </w:r>
        </w:p>
      </w:tc>
    </w:tr>
  </w:tbl>
  <w:p w:rsidR="00C616AA" w:rsidRDefault="00C616A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24F2F"/>
    <w:multiLevelType w:val="hybridMultilevel"/>
    <w:tmpl w:val="7ED2B160"/>
    <w:lvl w:ilvl="0" w:tplc="100C000F">
      <w:start w:val="1"/>
      <w:numFmt w:val="decimal"/>
      <w:lvlText w:val="%1."/>
      <w:lvlJc w:val="left"/>
      <w:pPr>
        <w:ind w:left="-131" w:hanging="360"/>
      </w:pPr>
    </w:lvl>
    <w:lvl w:ilvl="1" w:tplc="100C0019" w:tentative="1">
      <w:start w:val="1"/>
      <w:numFmt w:val="lowerLetter"/>
      <w:lvlText w:val="%2."/>
      <w:lvlJc w:val="left"/>
      <w:pPr>
        <w:ind w:left="589" w:hanging="360"/>
      </w:pPr>
    </w:lvl>
    <w:lvl w:ilvl="2" w:tplc="100C001B" w:tentative="1">
      <w:start w:val="1"/>
      <w:numFmt w:val="lowerRoman"/>
      <w:lvlText w:val="%3."/>
      <w:lvlJc w:val="right"/>
      <w:pPr>
        <w:ind w:left="1309" w:hanging="180"/>
      </w:pPr>
    </w:lvl>
    <w:lvl w:ilvl="3" w:tplc="100C000F" w:tentative="1">
      <w:start w:val="1"/>
      <w:numFmt w:val="decimal"/>
      <w:lvlText w:val="%4."/>
      <w:lvlJc w:val="left"/>
      <w:pPr>
        <w:ind w:left="2029" w:hanging="360"/>
      </w:pPr>
    </w:lvl>
    <w:lvl w:ilvl="4" w:tplc="100C0019" w:tentative="1">
      <w:start w:val="1"/>
      <w:numFmt w:val="lowerLetter"/>
      <w:lvlText w:val="%5."/>
      <w:lvlJc w:val="left"/>
      <w:pPr>
        <w:ind w:left="2749" w:hanging="360"/>
      </w:pPr>
    </w:lvl>
    <w:lvl w:ilvl="5" w:tplc="100C001B" w:tentative="1">
      <w:start w:val="1"/>
      <w:numFmt w:val="lowerRoman"/>
      <w:lvlText w:val="%6."/>
      <w:lvlJc w:val="right"/>
      <w:pPr>
        <w:ind w:left="3469" w:hanging="180"/>
      </w:pPr>
    </w:lvl>
    <w:lvl w:ilvl="6" w:tplc="100C000F" w:tentative="1">
      <w:start w:val="1"/>
      <w:numFmt w:val="decimal"/>
      <w:lvlText w:val="%7."/>
      <w:lvlJc w:val="left"/>
      <w:pPr>
        <w:ind w:left="4189" w:hanging="360"/>
      </w:pPr>
    </w:lvl>
    <w:lvl w:ilvl="7" w:tplc="100C0019" w:tentative="1">
      <w:start w:val="1"/>
      <w:numFmt w:val="lowerLetter"/>
      <w:lvlText w:val="%8."/>
      <w:lvlJc w:val="left"/>
      <w:pPr>
        <w:ind w:left="4909" w:hanging="360"/>
      </w:pPr>
    </w:lvl>
    <w:lvl w:ilvl="8" w:tplc="100C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5D525D03"/>
    <w:multiLevelType w:val="hybridMultilevel"/>
    <w:tmpl w:val="7ED2B160"/>
    <w:lvl w:ilvl="0" w:tplc="100C000F">
      <w:start w:val="1"/>
      <w:numFmt w:val="decimal"/>
      <w:lvlText w:val="%1."/>
      <w:lvlJc w:val="left"/>
      <w:pPr>
        <w:ind w:left="-131" w:hanging="360"/>
      </w:pPr>
    </w:lvl>
    <w:lvl w:ilvl="1" w:tplc="100C0019" w:tentative="1">
      <w:start w:val="1"/>
      <w:numFmt w:val="lowerLetter"/>
      <w:lvlText w:val="%2."/>
      <w:lvlJc w:val="left"/>
      <w:pPr>
        <w:ind w:left="589" w:hanging="360"/>
      </w:pPr>
    </w:lvl>
    <w:lvl w:ilvl="2" w:tplc="100C001B" w:tentative="1">
      <w:start w:val="1"/>
      <w:numFmt w:val="lowerRoman"/>
      <w:lvlText w:val="%3."/>
      <w:lvlJc w:val="right"/>
      <w:pPr>
        <w:ind w:left="1309" w:hanging="180"/>
      </w:pPr>
    </w:lvl>
    <w:lvl w:ilvl="3" w:tplc="100C000F" w:tentative="1">
      <w:start w:val="1"/>
      <w:numFmt w:val="decimal"/>
      <w:lvlText w:val="%4."/>
      <w:lvlJc w:val="left"/>
      <w:pPr>
        <w:ind w:left="2029" w:hanging="360"/>
      </w:pPr>
    </w:lvl>
    <w:lvl w:ilvl="4" w:tplc="100C0019" w:tentative="1">
      <w:start w:val="1"/>
      <w:numFmt w:val="lowerLetter"/>
      <w:lvlText w:val="%5."/>
      <w:lvlJc w:val="left"/>
      <w:pPr>
        <w:ind w:left="2749" w:hanging="360"/>
      </w:pPr>
    </w:lvl>
    <w:lvl w:ilvl="5" w:tplc="100C001B" w:tentative="1">
      <w:start w:val="1"/>
      <w:numFmt w:val="lowerRoman"/>
      <w:lvlText w:val="%6."/>
      <w:lvlJc w:val="right"/>
      <w:pPr>
        <w:ind w:left="3469" w:hanging="180"/>
      </w:pPr>
    </w:lvl>
    <w:lvl w:ilvl="6" w:tplc="100C000F" w:tentative="1">
      <w:start w:val="1"/>
      <w:numFmt w:val="decimal"/>
      <w:lvlText w:val="%7."/>
      <w:lvlJc w:val="left"/>
      <w:pPr>
        <w:ind w:left="4189" w:hanging="360"/>
      </w:pPr>
    </w:lvl>
    <w:lvl w:ilvl="7" w:tplc="100C0019" w:tentative="1">
      <w:start w:val="1"/>
      <w:numFmt w:val="lowerLetter"/>
      <w:lvlText w:val="%8."/>
      <w:lvlJc w:val="left"/>
      <w:pPr>
        <w:ind w:left="4909" w:hanging="360"/>
      </w:pPr>
    </w:lvl>
    <w:lvl w:ilvl="8" w:tplc="100C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3F"/>
    <w:rsid w:val="00027F48"/>
    <w:rsid w:val="000832FD"/>
    <w:rsid w:val="00163E34"/>
    <w:rsid w:val="00176557"/>
    <w:rsid w:val="001866C9"/>
    <w:rsid w:val="001C63DE"/>
    <w:rsid w:val="00322EA2"/>
    <w:rsid w:val="00447C0A"/>
    <w:rsid w:val="004742C6"/>
    <w:rsid w:val="0048214D"/>
    <w:rsid w:val="004B0ECC"/>
    <w:rsid w:val="00650EBB"/>
    <w:rsid w:val="006F298D"/>
    <w:rsid w:val="009576EF"/>
    <w:rsid w:val="00965CFB"/>
    <w:rsid w:val="00A14A8D"/>
    <w:rsid w:val="00A245FB"/>
    <w:rsid w:val="00A36D9B"/>
    <w:rsid w:val="00AD58BD"/>
    <w:rsid w:val="00B56004"/>
    <w:rsid w:val="00BB271A"/>
    <w:rsid w:val="00BC1D3F"/>
    <w:rsid w:val="00C616AA"/>
    <w:rsid w:val="00D14212"/>
    <w:rsid w:val="00F42EAF"/>
    <w:rsid w:val="00F9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16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63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C1D3F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C616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16AA"/>
  </w:style>
  <w:style w:type="paragraph" w:styleId="Pieddepage">
    <w:name w:val="footer"/>
    <w:basedOn w:val="Normal"/>
    <w:link w:val="PieddepageCar"/>
    <w:uiPriority w:val="99"/>
    <w:unhideWhenUsed/>
    <w:rsid w:val="00C616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16AA"/>
  </w:style>
  <w:style w:type="table" w:styleId="Grilledutableau">
    <w:name w:val="Table Grid"/>
    <w:basedOn w:val="TableauNormal"/>
    <w:uiPriority w:val="59"/>
    <w:rsid w:val="00C61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C616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C63DE"/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character" w:styleId="Emphaseintense">
    <w:name w:val="Intense Emphasis"/>
    <w:basedOn w:val="Policepardfaut"/>
    <w:uiPriority w:val="21"/>
    <w:qFormat/>
    <w:rsid w:val="001C63DE"/>
    <w:rPr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5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5C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16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63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C1D3F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C616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16AA"/>
  </w:style>
  <w:style w:type="paragraph" w:styleId="Pieddepage">
    <w:name w:val="footer"/>
    <w:basedOn w:val="Normal"/>
    <w:link w:val="PieddepageCar"/>
    <w:uiPriority w:val="99"/>
    <w:unhideWhenUsed/>
    <w:rsid w:val="00C616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16AA"/>
  </w:style>
  <w:style w:type="table" w:styleId="Grilledutableau">
    <w:name w:val="Table Grid"/>
    <w:basedOn w:val="TableauNormal"/>
    <w:uiPriority w:val="59"/>
    <w:rsid w:val="00C61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C616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C63DE"/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character" w:styleId="Emphaseintense">
    <w:name w:val="Intense Emphasis"/>
    <w:basedOn w:val="Policepardfaut"/>
    <w:uiPriority w:val="21"/>
    <w:qFormat/>
    <w:rsid w:val="001C63DE"/>
    <w:rPr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5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5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2e\RES\Labos\dat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C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1437384065433036"/>
          <c:y val="0.17135621719160107"/>
          <c:w val="0.7742822003270533"/>
          <c:h val="0.71922803767176169"/>
        </c:manualLayout>
      </c:layout>
      <c:bar3DChart>
        <c:barDir val="col"/>
        <c:grouping val="clustered"/>
        <c:varyColors val="0"/>
        <c:ser>
          <c:idx val="1"/>
          <c:order val="0"/>
          <c:tx>
            <c:strRef>
              <c:f>data!$B$12</c:f>
              <c:strCache>
                <c:ptCount val="1"/>
                <c:pt idx="0">
                  <c:v>Writing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2.7809058092603399E-17"/>
                  <c:y val="-2.41448692152918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0"/>
                  <c:y val="-2.682763246143527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0"/>
                  <c:y val="-1.877934272300474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0"/>
                  <c:y val="-1.877934272300474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data!$D$2:$D$5</c:f>
              <c:numCache>
                <c:formatCode>General</c:formatCode>
                <c:ptCount val="4"/>
                <c:pt idx="0">
                  <c:v>500</c:v>
                </c:pt>
                <c:pt idx="1">
                  <c:v>50</c:v>
                </c:pt>
                <c:pt idx="2">
                  <c:v>5</c:v>
                </c:pt>
                <c:pt idx="3">
                  <c:v>0</c:v>
                </c:pt>
              </c:numCache>
            </c:numRef>
          </c:cat>
          <c:val>
            <c:numRef>
              <c:f>data!$E$2:$E$5</c:f>
              <c:numCache>
                <c:formatCode>General</c:formatCode>
                <c:ptCount val="4"/>
                <c:pt idx="0">
                  <c:v>31</c:v>
                </c:pt>
                <c:pt idx="1">
                  <c:v>111</c:v>
                </c:pt>
                <c:pt idx="2">
                  <c:v>207</c:v>
                </c:pt>
                <c:pt idx="3">
                  <c:v>312</c:v>
                </c:pt>
              </c:numCache>
            </c:numRef>
          </c:val>
        </c:ser>
        <c:ser>
          <c:idx val="2"/>
          <c:order val="1"/>
          <c:tx>
            <c:strRef>
              <c:f>data!$B$11</c:f>
              <c:strCache>
                <c:ptCount val="1"/>
                <c:pt idx="0">
                  <c:v>Reading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1.5168752370117557E-3"/>
                  <c:y val="-1.609657947686126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5.5618116185206797E-17"/>
                  <c:y val="-1.609657947686121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0"/>
                  <c:y val="-1.609657947686116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0"/>
                  <c:y val="-2.414486921529174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data!$D$2:$D$5</c:f>
              <c:numCache>
                <c:formatCode>General</c:formatCode>
                <c:ptCount val="4"/>
                <c:pt idx="0">
                  <c:v>500</c:v>
                </c:pt>
                <c:pt idx="1">
                  <c:v>50</c:v>
                </c:pt>
                <c:pt idx="2">
                  <c:v>5</c:v>
                </c:pt>
                <c:pt idx="3">
                  <c:v>0</c:v>
                </c:pt>
              </c:numCache>
            </c:numRef>
          </c:cat>
          <c:val>
            <c:numRef>
              <c:f>data!$F$2:$F$5</c:f>
              <c:numCache>
                <c:formatCode>General</c:formatCode>
                <c:ptCount val="4"/>
                <c:pt idx="0">
                  <c:v>108</c:v>
                </c:pt>
                <c:pt idx="1">
                  <c:v>758</c:v>
                </c:pt>
                <c:pt idx="2">
                  <c:v>6444</c:v>
                </c:pt>
                <c:pt idx="3">
                  <c:v>29872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shape val="box"/>
        <c:axId val="193635328"/>
        <c:axId val="197778752"/>
        <c:axId val="0"/>
      </c:bar3DChart>
      <c:catAx>
        <c:axId val="19363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97778752"/>
        <c:crosses val="autoZero"/>
        <c:auto val="1"/>
        <c:lblAlgn val="ctr"/>
        <c:lblOffset val="100"/>
        <c:noMultiLvlLbl val="0"/>
      </c:catAx>
      <c:valAx>
        <c:axId val="197778752"/>
        <c:scaling>
          <c:logBase val="10"/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193635328"/>
        <c:crosses val="autoZero"/>
        <c:crossBetween val="between"/>
      </c:valAx>
    </c:plotArea>
    <c:legend>
      <c:legendPos val="r"/>
      <c:legendEntry>
        <c:idx val="0"/>
        <c:txPr>
          <a:bodyPr/>
          <a:lstStyle/>
          <a:p>
            <a:pPr>
              <a:defRPr sz="1400"/>
            </a:pPr>
            <a:endParaRPr lang="fr-FR"/>
          </a:p>
        </c:txPr>
      </c:legendEntry>
      <c:legendEntry>
        <c:idx val="1"/>
        <c:txPr>
          <a:bodyPr/>
          <a:lstStyle/>
          <a:p>
            <a:pPr>
              <a:defRPr sz="1400"/>
            </a:pPr>
            <a:endParaRPr lang="fr-FR"/>
          </a:p>
        </c:txPr>
      </c:legendEntry>
      <c:overlay val="0"/>
    </c:legend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0.03699</cdr:x>
      <cdr:y>0.23647</cdr:y>
    </cdr:from>
    <cdr:to>
      <cdr:x>0.09214</cdr:x>
      <cdr:y>0.75</cdr:y>
    </cdr:to>
    <cdr:sp macro="" textlink="">
      <cdr:nvSpPr>
        <cdr:cNvPr id="2" name="ZoneTexte 1"/>
        <cdr:cNvSpPr txBox="1"/>
      </cdr:nvSpPr>
      <cdr:spPr>
        <a:xfrm xmlns:a="http://schemas.openxmlformats.org/drawingml/2006/main">
          <a:off x="266700" y="1153240"/>
          <a:ext cx="397661" cy="25043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" wrap="square" rtlCol="0" anchor="ctr" anchorCtr="0"/>
        <a:lstStyle xmlns:a="http://schemas.openxmlformats.org/drawingml/2006/main"/>
        <a:p xmlns:a="http://schemas.openxmlformats.org/drawingml/2006/main">
          <a:r>
            <a:rPr lang="fr-CH" sz="1800">
              <a:solidFill>
                <a:schemeClr val="accent1">
                  <a:lumMod val="75000"/>
                </a:schemeClr>
              </a:solidFill>
            </a:rPr>
            <a:t>Duration </a:t>
          </a:r>
          <a:r>
            <a:rPr lang="fr-CH" sz="1800" baseline="0">
              <a:solidFill>
                <a:schemeClr val="accent1">
                  <a:lumMod val="75000"/>
                </a:schemeClr>
              </a:solidFill>
            </a:rPr>
            <a:t> in milliseconds</a:t>
          </a:r>
          <a:endParaRPr lang="fr-CH" sz="1800">
            <a:solidFill>
              <a:schemeClr val="accent1">
                <a:lumMod val="75000"/>
              </a:schemeClr>
            </a:solidFill>
          </a:endParaRPr>
        </a:p>
      </cdr:txBody>
    </cdr:sp>
  </cdr:relSizeAnchor>
  <cdr:relSizeAnchor xmlns:cdr="http://schemas.openxmlformats.org/drawingml/2006/chartDrawing">
    <cdr:from>
      <cdr:x>0.21076</cdr:x>
      <cdr:y>0.84943</cdr:y>
    </cdr:from>
    <cdr:to>
      <cdr:x>0.48235</cdr:x>
      <cdr:y>1</cdr:y>
    </cdr:to>
    <cdr:sp macro="" textlink="">
      <cdr:nvSpPr>
        <cdr:cNvPr id="3" name="ZoneTexte 1"/>
        <cdr:cNvSpPr txBox="1"/>
      </cdr:nvSpPr>
      <cdr:spPr>
        <a:xfrm xmlns:a="http://schemas.openxmlformats.org/drawingml/2006/main">
          <a:off x="1519673" y="4142500"/>
          <a:ext cx="1958280" cy="7343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horz" wrap="square" rtlCol="0" anchor="ctr" anchorCtr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fr-CH" sz="1800">
              <a:solidFill>
                <a:schemeClr val="accent1">
                  <a:lumMod val="75000"/>
                </a:schemeClr>
              </a:solidFill>
            </a:rPr>
            <a:t>File Size In Bytes</a:t>
          </a:r>
        </a:p>
      </cdr:txBody>
    </cdr:sp>
  </cdr:relSizeAnchor>
  <cdr:relSizeAnchor xmlns:cdr="http://schemas.openxmlformats.org/drawingml/2006/chartDrawing">
    <cdr:from>
      <cdr:x>0.22947</cdr:x>
      <cdr:y>0.08398</cdr:y>
    </cdr:from>
    <cdr:to>
      <cdr:x>0.26941</cdr:x>
      <cdr:y>0.53516</cdr:y>
    </cdr:to>
    <cdr:sp macro="" textlink="">
      <cdr:nvSpPr>
        <cdr:cNvPr id="5" name="ZoneTexte 1"/>
        <cdr:cNvSpPr txBox="1"/>
      </cdr:nvSpPr>
      <cdr:spPr>
        <a:xfrm xmlns:a="http://schemas.openxmlformats.org/drawingml/2006/main">
          <a:off x="1654577" y="409575"/>
          <a:ext cx="287984" cy="22002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vert" wrap="square" rtlCol="0" anchor="ctr" anchorCtr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fr-CH" sz="1100">
              <a:solidFill>
                <a:schemeClr val="accent1">
                  <a:lumMod val="75000"/>
                </a:schemeClr>
              </a:solidFill>
            </a:rPr>
            <a:t>BlockByBlockWithBufferedStream</a:t>
          </a:r>
        </a:p>
      </cdr:txBody>
    </cdr:sp>
  </cdr:relSizeAnchor>
  <cdr:relSizeAnchor xmlns:cdr="http://schemas.openxmlformats.org/drawingml/2006/chartDrawing">
    <cdr:from>
      <cdr:x>0.37424</cdr:x>
      <cdr:y>0.04297</cdr:y>
    </cdr:from>
    <cdr:to>
      <cdr:x>0.41419</cdr:x>
      <cdr:y>0.48047</cdr:y>
    </cdr:to>
    <cdr:sp macro="" textlink="">
      <cdr:nvSpPr>
        <cdr:cNvPr id="6" name="ZoneTexte 1"/>
        <cdr:cNvSpPr txBox="1"/>
      </cdr:nvSpPr>
      <cdr:spPr>
        <a:xfrm xmlns:a="http://schemas.openxmlformats.org/drawingml/2006/main">
          <a:off x="2698429" y="209551"/>
          <a:ext cx="288057" cy="2133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vert" wrap="square" rtlCol="0" anchor="ctr" anchorCtr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fr-CH" sz="1100">
              <a:solidFill>
                <a:schemeClr val="accent1">
                  <a:lumMod val="75000"/>
                </a:schemeClr>
              </a:solidFill>
            </a:rPr>
            <a:t>BlockByBlockWithBufferedStream</a:t>
          </a:r>
        </a:p>
      </cdr:txBody>
    </cdr:sp>
  </cdr:relSizeAnchor>
  <cdr:relSizeAnchor xmlns:cdr="http://schemas.openxmlformats.org/drawingml/2006/chartDrawing">
    <cdr:from>
      <cdr:x>0.5171</cdr:x>
      <cdr:y>0.08594</cdr:y>
    </cdr:from>
    <cdr:to>
      <cdr:x>0.55705</cdr:x>
      <cdr:y>0.50621</cdr:y>
    </cdr:to>
    <cdr:sp macro="" textlink="">
      <cdr:nvSpPr>
        <cdr:cNvPr id="7" name="ZoneTexte 1"/>
        <cdr:cNvSpPr txBox="1"/>
      </cdr:nvSpPr>
      <cdr:spPr>
        <a:xfrm xmlns:a="http://schemas.openxmlformats.org/drawingml/2006/main">
          <a:off x="3728511" y="419100"/>
          <a:ext cx="288056" cy="20495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vert" wrap="square" rtlCol="0" anchor="ctr" anchorCtr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fr-CH" sz="1100">
              <a:solidFill>
                <a:schemeClr val="accent1">
                  <a:lumMod val="75000"/>
                </a:schemeClr>
              </a:solidFill>
            </a:rPr>
            <a:t>BlockByBlockWithBufferedStream</a:t>
          </a:r>
        </a:p>
      </cdr:txBody>
    </cdr:sp>
  </cdr:relSizeAnchor>
  <cdr:relSizeAnchor xmlns:cdr="http://schemas.openxmlformats.org/drawingml/2006/chartDrawing">
    <cdr:from>
      <cdr:x>0.66954</cdr:x>
      <cdr:y>0.06836</cdr:y>
    </cdr:from>
    <cdr:to>
      <cdr:x>0.70949</cdr:x>
      <cdr:y>0.50481</cdr:y>
    </cdr:to>
    <cdr:sp macro="" textlink="">
      <cdr:nvSpPr>
        <cdr:cNvPr id="8" name="ZoneTexte 1"/>
        <cdr:cNvSpPr txBox="1"/>
      </cdr:nvSpPr>
      <cdr:spPr>
        <a:xfrm xmlns:a="http://schemas.openxmlformats.org/drawingml/2006/main">
          <a:off x="4827668" y="333375"/>
          <a:ext cx="288056" cy="21284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vert" wrap="square" rtlCol="0" anchor="ctr" anchorCtr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fr-CH" sz="1100">
              <a:solidFill>
                <a:schemeClr val="accent1">
                  <a:lumMod val="75000"/>
                </a:schemeClr>
              </a:solidFill>
            </a:rPr>
            <a:t>BytebyByteWitouthBufferedStream</a:t>
          </a:r>
        </a:p>
      </cdr:txBody>
    </cdr:sp>
  </cdr:relSizeAnchor>
  <cdr:relSizeAnchor xmlns:cdr="http://schemas.openxmlformats.org/drawingml/2006/chartDrawing">
    <cdr:from>
      <cdr:x>0.28508</cdr:x>
      <cdr:y>0</cdr:y>
    </cdr:from>
    <cdr:to>
      <cdr:x>0.32502</cdr:x>
      <cdr:y>0.51697</cdr:y>
    </cdr:to>
    <cdr:sp macro="" textlink="">
      <cdr:nvSpPr>
        <cdr:cNvPr id="9" name="ZoneTexte 1"/>
        <cdr:cNvSpPr txBox="1"/>
      </cdr:nvSpPr>
      <cdr:spPr>
        <a:xfrm xmlns:a="http://schemas.openxmlformats.org/drawingml/2006/main">
          <a:off x="2055548" y="0"/>
          <a:ext cx="287984" cy="25211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vert" wrap="square" rtlCol="0" anchor="ctr" anchorCtr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fr-CH" sz="1100">
              <a:solidFill>
                <a:schemeClr val="accent1">
                  <a:lumMod val="75000"/>
                </a:schemeClr>
              </a:solidFill>
            </a:rPr>
            <a:t>BlockByBlockWithoutBufferedStream</a:t>
          </a:r>
        </a:p>
      </cdr:txBody>
    </cdr:sp>
  </cdr:relSizeAnchor>
  <cdr:relSizeAnchor xmlns:cdr="http://schemas.openxmlformats.org/drawingml/2006/chartDrawing">
    <cdr:from>
      <cdr:x>0.43009</cdr:x>
      <cdr:y>0.12695</cdr:y>
    </cdr:from>
    <cdr:to>
      <cdr:x>0.47003</cdr:x>
      <cdr:y>0.4082</cdr:y>
    </cdr:to>
    <cdr:sp macro="" textlink="">
      <cdr:nvSpPr>
        <cdr:cNvPr id="10" name="ZoneTexte 1"/>
        <cdr:cNvSpPr txBox="1"/>
      </cdr:nvSpPr>
      <cdr:spPr>
        <a:xfrm xmlns:a="http://schemas.openxmlformats.org/drawingml/2006/main">
          <a:off x="3101117" y="619126"/>
          <a:ext cx="287985" cy="137159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vert" wrap="square" rtlCol="0" anchor="ctr" anchorCtr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fr-CH" sz="1100">
              <a:solidFill>
                <a:schemeClr val="accent1">
                  <a:lumMod val="75000"/>
                </a:schemeClr>
              </a:solidFill>
            </a:rPr>
            <a:t>BlockByBlockWithoutBufferedStream</a:t>
          </a:r>
        </a:p>
      </cdr:txBody>
    </cdr:sp>
  </cdr:relSizeAnchor>
  <cdr:relSizeAnchor xmlns:cdr="http://schemas.openxmlformats.org/drawingml/2006/chartDrawing">
    <cdr:from>
      <cdr:x>0.57558</cdr:x>
      <cdr:y>0.03218</cdr:y>
    </cdr:from>
    <cdr:to>
      <cdr:x>0.61553</cdr:x>
      <cdr:y>0.31445</cdr:y>
    </cdr:to>
    <cdr:sp macro="" textlink="">
      <cdr:nvSpPr>
        <cdr:cNvPr id="11" name="ZoneTexte 1"/>
        <cdr:cNvSpPr txBox="1"/>
      </cdr:nvSpPr>
      <cdr:spPr>
        <a:xfrm xmlns:a="http://schemas.openxmlformats.org/drawingml/2006/main">
          <a:off x="4150176" y="156936"/>
          <a:ext cx="288057" cy="137659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vert" wrap="square" rtlCol="0" anchor="ctr" anchorCtr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fr-CH" sz="1100">
              <a:solidFill>
                <a:schemeClr val="accent1">
                  <a:lumMod val="75000"/>
                </a:schemeClr>
              </a:solidFill>
            </a:rPr>
            <a:t>BlockByBlockWithoutBufferedStream</a:t>
          </a:r>
        </a:p>
      </cdr:txBody>
    </cdr:sp>
  </cdr:relSizeAnchor>
  <cdr:relSizeAnchor xmlns:cdr="http://schemas.openxmlformats.org/drawingml/2006/chartDrawing">
    <cdr:from>
      <cdr:x>0.72228</cdr:x>
      <cdr:y>2.05052E-7</cdr:y>
    </cdr:from>
    <cdr:to>
      <cdr:x>0.76222</cdr:x>
      <cdr:y>0.25391</cdr:y>
    </cdr:to>
    <cdr:sp macro="" textlink="">
      <cdr:nvSpPr>
        <cdr:cNvPr id="12" name="ZoneTexte 1"/>
        <cdr:cNvSpPr txBox="1"/>
      </cdr:nvSpPr>
      <cdr:spPr>
        <a:xfrm xmlns:a="http://schemas.openxmlformats.org/drawingml/2006/main">
          <a:off x="5207946" y="1"/>
          <a:ext cx="287984" cy="123824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vert" wrap="square" rtlCol="0" anchor="ctr" anchorCtr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fr-CH" sz="1100">
              <a:solidFill>
                <a:schemeClr val="accent1">
                  <a:lumMod val="75000"/>
                </a:schemeClr>
              </a:solidFill>
            </a:rPr>
            <a:t>ByteByByteWithoutBufferedStream</a:t>
          </a:r>
        </a:p>
      </cdr:txBody>
    </cdr: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7340E-AAB8-42DF-A91A-74A9A350A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Dardanator</dc:creator>
  <cp:lastModifiedBy>Dardanator</cp:lastModifiedBy>
  <cp:revision>15</cp:revision>
  <dcterms:created xsi:type="dcterms:W3CDTF">2016-03-08T17:43:00Z</dcterms:created>
  <dcterms:modified xsi:type="dcterms:W3CDTF">2016-03-08T19:52:00Z</dcterms:modified>
</cp:coreProperties>
</file>