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540" w:rsidRDefault="00E41D9E">
      <w:pPr>
        <w:rPr>
          <w:b/>
          <w:sz w:val="40"/>
          <w:szCs w:val="40"/>
          <w:lang w:val="en-US"/>
        </w:rPr>
      </w:pPr>
      <w:r w:rsidRPr="00E41D9E">
        <w:rPr>
          <w:b/>
          <w:sz w:val="40"/>
          <w:szCs w:val="40"/>
          <w:lang w:val="en-US"/>
        </w:rPr>
        <w:t>Tasks:</w:t>
      </w:r>
    </w:p>
    <w:p w:rsidR="00E41D9E" w:rsidRDefault="00E41D9E">
      <w:pPr>
        <w:rPr>
          <w:b/>
          <w:sz w:val="40"/>
          <w:szCs w:val="40"/>
          <w:lang w:val="en-US"/>
        </w:rPr>
      </w:pPr>
    </w:p>
    <w:p w:rsidR="00E41D9E" w:rsidRPr="00E41D9E" w:rsidRDefault="00E41D9E" w:rsidP="00E41D9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33"/>
          <w:szCs w:val="33"/>
          <w:lang w:eastAsia="en-IN"/>
        </w:rPr>
      </w:pPr>
      <w:r w:rsidRPr="00E41D9E">
        <w:rPr>
          <w:rFonts w:ascii="Arial" w:eastAsia="Times New Roman" w:hAnsi="Arial" w:cs="Arial"/>
          <w:sz w:val="33"/>
          <w:szCs w:val="33"/>
          <w:lang w:eastAsia="en-IN"/>
        </w:rPr>
        <w:t>Define whether the analysis is global, regional, or focused on specific countries.</w:t>
      </w:r>
    </w:p>
    <w:p w:rsidR="00E41D9E" w:rsidRPr="00E41D9E" w:rsidRDefault="00E41D9E" w:rsidP="00E41D9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33"/>
          <w:szCs w:val="33"/>
          <w:lang w:eastAsia="en-IN"/>
        </w:rPr>
      </w:pPr>
      <w:r w:rsidRPr="00E41D9E">
        <w:rPr>
          <w:rFonts w:ascii="Arial" w:eastAsia="Times New Roman" w:hAnsi="Arial" w:cs="Arial"/>
          <w:sz w:val="33"/>
          <w:szCs w:val="33"/>
          <w:lang w:eastAsia="en-IN"/>
        </w:rPr>
        <w:t xml:space="preserve">Gather information from industry associations, market research firms (e.g., </w:t>
      </w:r>
      <w:proofErr w:type="spellStart"/>
      <w:r w:rsidRPr="00E41D9E">
        <w:rPr>
          <w:rFonts w:ascii="Arial" w:eastAsia="Times New Roman" w:hAnsi="Arial" w:cs="Arial"/>
          <w:sz w:val="33"/>
          <w:szCs w:val="33"/>
          <w:lang w:eastAsia="en-IN"/>
        </w:rPr>
        <w:t>BloombergNEF</w:t>
      </w:r>
      <w:proofErr w:type="spellEnd"/>
      <w:r w:rsidRPr="00E41D9E">
        <w:rPr>
          <w:rFonts w:ascii="Arial" w:eastAsia="Times New Roman" w:hAnsi="Arial" w:cs="Arial"/>
          <w:sz w:val="33"/>
          <w:szCs w:val="33"/>
          <w:lang w:eastAsia="en-IN"/>
        </w:rPr>
        <w:t>, IEA), and government publications relevant to the EV market.</w:t>
      </w:r>
    </w:p>
    <w:p w:rsidR="00E41D9E" w:rsidRPr="00E41D9E" w:rsidRDefault="00E41D9E" w:rsidP="00E41D9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33"/>
          <w:szCs w:val="33"/>
          <w:lang w:eastAsia="en-IN"/>
        </w:rPr>
      </w:pPr>
      <w:r w:rsidRPr="00E41D9E">
        <w:rPr>
          <w:rFonts w:ascii="Arial" w:eastAsia="Times New Roman" w:hAnsi="Arial" w:cs="Arial"/>
          <w:sz w:val="33"/>
          <w:szCs w:val="33"/>
          <w:lang w:eastAsia="en-IN"/>
        </w:rPr>
        <w:t>Use historical data to identify trends in EV sales, production, and market.</w:t>
      </w:r>
    </w:p>
    <w:p w:rsidR="00E41D9E" w:rsidRPr="00E41D9E" w:rsidRDefault="00E41D9E" w:rsidP="00E41D9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33"/>
          <w:szCs w:val="33"/>
          <w:lang w:eastAsia="en-IN"/>
        </w:rPr>
      </w:pPr>
      <w:proofErr w:type="spellStart"/>
      <w:r w:rsidRPr="00E41D9E">
        <w:rPr>
          <w:rFonts w:ascii="Arial" w:eastAsia="Times New Roman" w:hAnsi="Arial" w:cs="Arial"/>
          <w:sz w:val="33"/>
          <w:szCs w:val="33"/>
          <w:lang w:eastAsia="en-IN"/>
        </w:rPr>
        <w:t>Analyze</w:t>
      </w:r>
      <w:proofErr w:type="spellEnd"/>
      <w:r w:rsidRPr="00E41D9E">
        <w:rPr>
          <w:rFonts w:ascii="Arial" w:eastAsia="Times New Roman" w:hAnsi="Arial" w:cs="Arial"/>
          <w:sz w:val="33"/>
          <w:szCs w:val="33"/>
          <w:lang w:eastAsia="en-IN"/>
        </w:rPr>
        <w:t xml:space="preserve"> the market size and growth rates for different EV segments.</w:t>
      </w:r>
    </w:p>
    <w:p w:rsidR="00E41D9E" w:rsidRPr="00E41D9E" w:rsidRDefault="00E41D9E" w:rsidP="00E41D9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33"/>
          <w:szCs w:val="33"/>
          <w:lang w:eastAsia="en-IN"/>
        </w:rPr>
      </w:pPr>
      <w:r w:rsidRPr="00E41D9E">
        <w:rPr>
          <w:rFonts w:ascii="Arial" w:eastAsia="Times New Roman" w:hAnsi="Arial" w:cs="Arial"/>
          <w:sz w:val="33"/>
          <w:szCs w:val="33"/>
          <w:lang w:eastAsia="en-IN"/>
        </w:rPr>
        <w:t>Based on the market size analysis, provide strategic recommendations for businesses looking to enter or expand in the EV market.</w:t>
      </w:r>
    </w:p>
    <w:p w:rsidR="00E41D9E" w:rsidRPr="00E41D9E" w:rsidRDefault="00E41D9E">
      <w:pPr>
        <w:rPr>
          <w:b/>
          <w:sz w:val="40"/>
          <w:szCs w:val="40"/>
          <w:lang w:val="en-US"/>
        </w:rPr>
      </w:pPr>
      <w:bookmarkStart w:id="0" w:name="_GoBack"/>
      <w:bookmarkEnd w:id="0"/>
    </w:p>
    <w:sectPr w:rsidR="00E41D9E" w:rsidRPr="00E41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C5A4B"/>
    <w:multiLevelType w:val="multilevel"/>
    <w:tmpl w:val="50DA2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C1A"/>
    <w:rsid w:val="00864540"/>
    <w:rsid w:val="00AC3C1A"/>
    <w:rsid w:val="00E4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7D7EF"/>
  <w15:chartTrackingRefBased/>
  <w15:docId w15:val="{8692E750-8234-43E2-BB79-210E2A4E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gupta</dc:creator>
  <cp:keywords/>
  <dc:description/>
  <cp:lastModifiedBy>aditya gupta</cp:lastModifiedBy>
  <cp:revision>2</cp:revision>
  <dcterms:created xsi:type="dcterms:W3CDTF">2024-05-08T18:39:00Z</dcterms:created>
  <dcterms:modified xsi:type="dcterms:W3CDTF">2024-05-08T18:40:00Z</dcterms:modified>
</cp:coreProperties>
</file>