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맑은 고딕" w:cs="맑은 고딕" w:eastAsia="맑은 고딕" w:hAnsi="맑은 고딕"/>
          <w:b/>
          <w:bCs/>
          <w:color w:val="0F172A"/>
          <w:sz w:val="36"/>
          <w:szCs w:val="36"/>
        </w:rPr>
        <w:t xml:space="preserve">Genomic Deep-Thinking Ratio (gDTR)</w:t>
      </w:r>
    </w:p>
    <w:p>
      <w:pPr>
        <w:spacing w:after="100" w:before="0"/>
        <w:jc w:val="center"/>
      </w:pPr>
      <w:r>
        <w:rPr>
          <w:rFonts w:ascii="맑은 고딕" w:cs="맑은 고딕" w:eastAsia="맑은 고딕" w:hAnsi="맑은 고딕"/>
          <w:color w:val="374151"/>
          <w:sz w:val="24"/>
          <w:szCs w:val="24"/>
        </w:rPr>
        <w:t xml:space="preserve">Causal Genomic Foundation Model의 Layer-wise Prediction Convergence 분석을 통한</w:t>
      </w:r>
    </w:p>
    <w:p>
      <w:pPr>
        <w:spacing w:after="80" w:before="0"/>
        <w:jc w:val="center"/>
      </w:pPr>
      <w:r>
        <w:rPr>
          <w:rFonts w:ascii="맑은 고딕" w:cs="맑은 고딕" w:eastAsia="맑은 고딕" w:hAnsi="맑은 고딕"/>
          <w:color w:val="374151"/>
          <w:sz w:val="24"/>
          <w:szCs w:val="24"/>
        </w:rPr>
        <w:t xml:space="preserve">DNA Sequence Interpretability Framework</w:t>
      </w:r>
    </w:p>
    <w:p>
      <w:pPr>
        <w:spacing w:after="240" w:before="0"/>
        <w:jc w:val="center"/>
      </w:pPr>
      <w:r>
        <w:rPr>
          <w:rFonts w:ascii="맑은 고딕" w:cs="맑은 고딕" w:eastAsia="맑은 고딕" w:hAnsi="맑은 고딕"/>
          <w:i/>
          <w:iCs/>
          <w:color w:val="6B7280"/>
          <w:sz w:val="20"/>
          <w:szCs w:val="20"/>
        </w:rPr>
        <w:t xml:space="preserve">v2 — CLM (Evo 2 / HyenaDNA) 중심 재구성</w:t>
      </w:r>
    </w:p>
    <w:p>
      <w:pPr>
        <w:pStyle w:val="Heading3"/>
        <w:spacing w:after="100" w:before="220"/>
      </w:pPr>
      <w:r>
        <w:rPr>
          <w:rFonts w:ascii="맑은 고딕" w:cs="맑은 고딕" w:eastAsia="맑은 고딕" w:hAnsi="맑은 고딕"/>
          <w:b/>
          <w:bCs/>
          <w:color w:val="374151"/>
          <w:sz w:val="23"/>
          <w:szCs w:val="23"/>
        </w:rPr>
        <w:t xml:space="preserve">■ v1 대비 v2 주요 변경점</w:t>
      </w:r>
    </w:p>
    <w:p>
      <w:pPr>
        <w:pStyle w:val="ListParagraph"/>
        <w:numPr>
          <w:ilvl w:val="0"/>
          <w:numId w:val="2"/>
        </w:numPr>
        <w:spacing w:after="40" w:before="40" w:line="300"/>
      </w:pPr>
      <w:r>
        <w:rPr>
          <w:rFonts w:ascii="맑은 고딕" w:cs="맑은 고딕" w:eastAsia="맑은 고딕" w:hAnsi="맑은 고딕"/>
          <w:b/>
          <w:bCs/>
          <w:i w:val="false"/>
          <w:iCs w:val="false"/>
          <w:color w:val="1F2937"/>
          <w:sz w:val="22"/>
          <w:szCs w:val="22"/>
        </w:rPr>
        <w:t xml:space="preserve">Primary model 전환</w:t>
      </w:r>
      <w:r>
        <w:rPr>
          <w:rFonts w:ascii="맑은 고딕" w:cs="맑은 고딕" w:eastAsia="맑은 고딕" w:hAnsi="맑은 고딕"/>
          <w:b w:val="false"/>
          <w:bCs w:val="false"/>
          <w:i w:val="false"/>
          <w:iCs w:val="false"/>
          <w:color w:val="1F2937"/>
          <w:sz w:val="22"/>
          <w:szCs w:val="22"/>
        </w:rPr>
        <w:t xml:space="preserve">: NT-v2 (MLM) → </w:t>
      </w:r>
      <w:r>
        <w:rPr>
          <w:rFonts w:ascii="맑은 고딕" w:cs="맑은 고딕" w:eastAsia="맑은 고딕" w:hAnsi="맑은 고딕"/>
          <w:b/>
          <w:bCs/>
          <w:i w:val="false"/>
          <w:iCs w:val="false"/>
          <w:color w:val="1F2937"/>
          <w:sz w:val="22"/>
          <w:szCs w:val="22"/>
        </w:rPr>
        <w:t xml:space="preserve">Evo 2 7B (CLM, autoregressive)</w:t>
      </w:r>
      <w:r>
        <w:rPr>
          <w:rFonts w:ascii="맑은 고딕" w:cs="맑은 고딕" w:eastAsia="맑은 고딕" w:hAnsi="맑은 고딕"/>
          <w:b w:val="false"/>
          <w:bCs w:val="false"/>
          <w:i w:val="false"/>
          <w:iCs w:val="false"/>
          <w:color w:val="1F2937"/>
          <w:sz w:val="22"/>
          <w:szCs w:val="22"/>
        </w:rPr>
        <w:t xml:space="preserve">. 원본 DTR을 자연스럽게 직접 적용 가능.</w:t>
      </w:r>
    </w:p>
    <w:p>
      <w:pPr>
        <w:pStyle w:val="ListParagraph"/>
        <w:numPr>
          <w:ilvl w:val="0"/>
          <w:numId w:val="2"/>
        </w:numPr>
        <w:spacing w:after="40" w:before="40" w:line="300"/>
      </w:pPr>
      <w:r>
        <w:rPr>
          <w:rFonts w:ascii="맑은 고딕" w:cs="맑은 고딕" w:eastAsia="맑은 고딕" w:hAnsi="맑은 고딕"/>
          <w:b/>
          <w:bCs/>
          <w:i w:val="false"/>
          <w:iCs w:val="false"/>
          <w:color w:val="1F2937"/>
          <w:sz w:val="22"/>
          <w:szCs w:val="22"/>
        </w:rPr>
        <w:t xml:space="preserve">PoC 단계 도입</w:t>
      </w:r>
      <w:r>
        <w:rPr>
          <w:rFonts w:ascii="맑은 고딕" w:cs="맑은 고딕" w:eastAsia="맑은 고딕" w:hAnsi="맑은 고딕"/>
          <w:b w:val="false"/>
          <w:bCs w:val="false"/>
          <w:i w:val="false"/>
          <w:iCs w:val="false"/>
          <w:color w:val="1F2937"/>
          <w:sz w:val="22"/>
          <w:szCs w:val="22"/>
        </w:rPr>
        <w:t xml:space="preserve">: Phase 0에 </w:t>
      </w:r>
      <w:r>
        <w:rPr>
          <w:rFonts w:ascii="맑은 고딕" w:cs="맑은 고딕" w:eastAsia="맑은 고딕" w:hAnsi="맑은 고딕"/>
          <w:b/>
          <w:bCs/>
          <w:i w:val="false"/>
          <w:iCs w:val="false"/>
          <w:color w:val="1F2937"/>
          <w:sz w:val="22"/>
          <w:szCs w:val="22"/>
        </w:rPr>
        <w:t xml:space="preserve">HyenaDNA (6.6M)</w:t>
      </w:r>
      <w:r>
        <w:rPr>
          <w:rFonts w:ascii="맑은 고딕" w:cs="맑은 고딕" w:eastAsia="맑은 고딕" w:hAnsi="맑은 고딕"/>
          <w:b w:val="false"/>
          <w:bCs w:val="false"/>
          <w:i w:val="false"/>
          <w:iCs w:val="false"/>
          <w:color w:val="1F2937"/>
          <w:sz w:val="22"/>
          <w:szCs w:val="22"/>
        </w:rPr>
        <w:t xml:space="preserve"> 기반 prototype으로 방법론 검증 → 본 실험은 Evo 2.</w:t>
      </w:r>
    </w:p>
    <w:p>
      <w:pPr>
        <w:pStyle w:val="ListParagraph"/>
        <w:numPr>
          <w:ilvl w:val="0"/>
          <w:numId w:val="2"/>
        </w:numPr>
        <w:spacing w:after="40" w:before="40" w:line="300"/>
      </w:pPr>
      <w:r>
        <w:rPr>
          <w:rFonts w:ascii="맑은 고딕" w:cs="맑은 고딕" w:eastAsia="맑은 고딕" w:hAnsi="맑은 고딕"/>
          <w:b/>
          <w:bCs/>
          <w:i w:val="false"/>
          <w:iCs w:val="false"/>
          <w:color w:val="1F2937"/>
          <w:sz w:val="22"/>
          <w:szCs w:val="22"/>
        </w:rPr>
        <w:t xml:space="preserve">DTR adaptation 단순화</w:t>
      </w:r>
      <w:r>
        <w:rPr>
          <w:rFonts w:ascii="맑은 고딕" w:cs="맑은 고딕" w:eastAsia="맑은 고딕" w:hAnsi="맑은 고딕"/>
          <w:b w:val="false"/>
          <w:bCs w:val="false"/>
          <w:i w:val="false"/>
          <w:iCs w:val="false"/>
          <w:color w:val="1F2937"/>
          <w:sz w:val="22"/>
          <w:szCs w:val="22"/>
        </w:rPr>
        <w:t xml:space="preserve">: MLM용 3가지 masking 전략(SP/C/UR) → </w:t>
      </w:r>
      <w:r>
        <w:rPr>
          <w:rFonts w:ascii="맑은 고딕" w:cs="맑은 고딕" w:eastAsia="맑은 고딕" w:hAnsi="맑은 고딕"/>
          <w:b/>
          <w:bCs/>
          <w:i w:val="false"/>
          <w:iCs w:val="false"/>
          <w:color w:val="1F2937"/>
          <w:sz w:val="22"/>
          <w:szCs w:val="22"/>
        </w:rPr>
        <w:t xml:space="preserve">Original DTR 직접 적용 + UR-gDTR 보조</w:t>
      </w:r>
      <w:r>
        <w:rPr>
          <w:rFonts w:ascii="맑은 고딕" w:cs="맑은 고딕" w:eastAsia="맑은 고딕" w:hAnsi="맑은 고딕"/>
          <w:b w:val="false"/>
          <w:bCs w:val="false"/>
          <w:i w:val="false"/>
          <w:iCs w:val="false"/>
          <w:color w:val="1F2937"/>
          <w:sz w:val="22"/>
          <w:szCs w:val="22"/>
        </w:rPr>
        <w:t xml:space="preserve"> (CLM은 next-token logit이 native이므로).</w:t>
      </w:r>
    </w:p>
    <w:p>
      <w:pPr>
        <w:pStyle w:val="ListParagraph"/>
        <w:numPr>
          <w:ilvl w:val="0"/>
          <w:numId w:val="2"/>
        </w:numPr>
        <w:spacing w:after="40" w:before="40" w:line="300"/>
      </w:pPr>
      <w:r>
        <w:rPr>
          <w:rFonts w:ascii="맑은 고딕" w:cs="맑은 고딕" w:eastAsia="맑은 고딕" w:hAnsi="맑은 고딕"/>
          <w:b/>
          <w:bCs/>
          <w:i w:val="false"/>
          <w:iCs w:val="false"/>
          <w:color w:val="1F2937"/>
          <w:sz w:val="22"/>
          <w:szCs w:val="22"/>
        </w:rPr>
        <w:t xml:space="preserve">MLM 모델은 cross-architecture 검증용으로 강등</w:t>
      </w:r>
      <w:r>
        <w:rPr>
          <w:rFonts w:ascii="맑은 고딕" w:cs="맑은 고딕" w:eastAsia="맑은 고딕" w:hAnsi="맑은 고딕"/>
          <w:b w:val="false"/>
          <w:bCs w:val="false"/>
          <w:i w:val="false"/>
          <w:iCs w:val="false"/>
          <w:color w:val="1F2937"/>
          <w:sz w:val="22"/>
          <w:szCs w:val="22"/>
        </w:rPr>
        <w:t xml:space="preserve">. NT-v2와 DNABERT-2는 Phase 4(architecture-invariance) 비교군으로만 유지.</w:t>
      </w:r>
    </w:p>
    <w:p>
      <w:pPr>
        <w:pStyle w:val="ListParagraph"/>
        <w:numPr>
          <w:ilvl w:val="0"/>
          <w:numId w:val="2"/>
        </w:numPr>
        <w:spacing w:after="40" w:before="40" w:line="300"/>
      </w:pPr>
      <w:r>
        <w:rPr>
          <w:rFonts w:ascii="맑은 고딕" w:cs="맑은 고딕" w:eastAsia="맑은 고딕" w:hAnsi="맑은 고딕"/>
          <w:b/>
          <w:bCs/>
          <w:i w:val="false"/>
          <w:iCs w:val="false"/>
          <w:color w:val="1F2937"/>
          <w:sz w:val="22"/>
          <w:szCs w:val="22"/>
        </w:rPr>
        <w:t xml:space="preserve">Goodfire SAE 결과와의 연결 강화</w:t>
      </w:r>
      <w:r>
        <w:rPr>
          <w:rFonts w:ascii="맑은 고딕" w:cs="맑은 고딕" w:eastAsia="맑은 고딕" w:hAnsi="맑은 고딕"/>
          <w:b w:val="false"/>
          <w:bCs w:val="false"/>
          <w:i w:val="false"/>
          <w:iCs w:val="false"/>
          <w:color w:val="1F2937"/>
          <w:sz w:val="22"/>
          <w:szCs w:val="22"/>
        </w:rPr>
        <w:t xml:space="preserve">: Evo 2 layer 26이 이미 풍부한 biological feature 보유로 검증됨 → gDTR과 SAE feature 결합 분석 후속 가능성 명시.</w:t>
      </w:r>
    </w:p>
    <w:p>
      <w:pPr>
        <w:pStyle w:val="ListParagraph"/>
        <w:numPr>
          <w:ilvl w:val="0"/>
          <w:numId w:val="2"/>
        </w:numPr>
        <w:spacing w:after="40" w:before="40" w:line="300"/>
      </w:pPr>
      <w:r>
        <w:rPr>
          <w:rFonts w:ascii="맑은 고딕" w:cs="맑은 고딕" w:eastAsia="맑은 고딕" w:hAnsi="맑은 고딕"/>
          <w:b/>
          <w:bCs/>
          <w:i w:val="false"/>
          <w:iCs w:val="false"/>
          <w:color w:val="1F2937"/>
          <w:sz w:val="22"/>
          <w:szCs w:val="22"/>
        </w:rPr>
        <w:t xml:space="preserve">연산 비용 현실화</w:t>
      </w:r>
      <w:r>
        <w:rPr>
          <w:rFonts w:ascii="맑은 고딕" w:cs="맑은 고딕" w:eastAsia="맑은 고딕" w:hAnsi="맑은 고딕"/>
          <w:b w:val="false"/>
          <w:bCs w:val="false"/>
          <w:i w:val="false"/>
          <w:iCs w:val="false"/>
          <w:color w:val="1F2937"/>
          <w:sz w:val="22"/>
          <w:szCs w:val="22"/>
        </w:rPr>
        <w:t xml:space="preserve">: H100 클라우드 시간 단위 산정으로 예산·일정 정확화.</w:t>
      </w:r>
    </w:p>
    <w:p>
      <w:r>
        <w:br w:type="page"/>
      </w:r>
    </w:p>
    <w:p>
      <w:pPr>
        <w:pStyle w:val="Heading1"/>
        <w:spacing w:after="180" w:before="360"/>
      </w:pPr>
      <w:r>
        <w:rPr>
          <w:rFonts w:ascii="맑은 고딕" w:cs="맑은 고딕" w:eastAsia="맑은 고딕" w:hAnsi="맑은 고딕"/>
          <w:b/>
          <w:bCs/>
          <w:color w:val="1E40AF"/>
          <w:sz w:val="32"/>
          <w:szCs w:val="32"/>
        </w:rPr>
        <w:t xml:space="preserve">1. 연구 배경 및 필요성</w:t>
      </w:r>
    </w:p>
    <w:p>
      <w:pPr>
        <w:pStyle w:val="Heading2"/>
        <w:spacing w:after="140" w:before="280"/>
      </w:pPr>
      <w:r>
        <w:rPr>
          <w:rFonts w:ascii="맑은 고딕" w:cs="맑은 고딕" w:eastAsia="맑은 고딕" w:hAnsi="맑은 고딕"/>
          <w:b/>
          <w:bCs/>
          <w:color w:val="1E3A8A"/>
          <w:sz w:val="26"/>
          <w:szCs w:val="26"/>
        </w:rPr>
        <w:t xml:space="preserve">1.1 Causal Genomic Foundation Model의 부상과 해석 가능성의 한계</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Genomic foundation model 분야는 두 갈래로 발전해왔다. 한쪽은 BERT 계열의 Masked Language Model(MLM): Nucleotide Transformer (NT; Dalla-Torre et al., Nature Methods 2024), DNABERT-2 (Zhou et al., ICLR 2024) 등이다. 이들은 representation 추출과 downstream classification에 강점이 있으나, generation·zero-shot scoring 능력은 제한적이다.</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다른 한쪽은 Causal Language Model(CLM, autoregressive): Evo 1·Evo 2 (Arc Institute, 2024–2026), HyenaDNA (Nguyen et al., 2023) 등이다. CLM은 next-nucleotide 예측을 native objective로 학습하므로 (1) zero-shot likelihood scoring, (2) de novo sequence generation, (3) layer-wise 'prediction convergence' 분석이 자연스럽다. 특히 Evo 2 7B는 hybrid Transformer-StripedHyena 2 architecture(32 layers)로 single-nucleotide resolution에서 최대 1M bp context를 처리하며, OpenGenome2(9.3T tokens)로 사전학습되어 gene structure에서 protein secondary structure에 이르는 다층위 정보를 학습한 것으로 보고되었다 (Nguyen et al., Nature 2026).</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그러나 이들 CLM의 내부 연산 과정에 대한 이해는 여전히 제한적이다. 현재까지의 해석 방법론은 세 가지 패러다임으로 구분된다.</w:t>
      </w:r>
    </w:p>
    <w:p>
      <w:pPr>
        <w:spacing w:after="80" w:before="100" w:line="320"/>
        <w:jc w:val="left"/>
      </w:pPr>
      <w:r>
        <w:rPr>
          <w:rFonts w:ascii="맑은 고딕" w:cs="맑은 고딕" w:eastAsia="맑은 고딕" w:hAnsi="맑은 고딕"/>
          <w:b w:val="false"/>
          <w:bCs w:val="false"/>
          <w:i w:val="false"/>
          <w:iCs w:val="false"/>
          <w:color w:val="1F2937"/>
          <w:sz w:val="22"/>
          <w:szCs w:val="22"/>
        </w:rPr>
        <w:t xml:space="preserve">첫째, Attention map 분석. Transformer의 attention pattern이 어디를 보는지를 시각화하지만, Evo 2처럼 hybrid(attention + Hyena conv) 구조에서는 attention만으로 전체 회로를 설명할 수 없다. Attention이 모델의 실질적 의사결정을 충실히 반영하는지에 대한 일반적 비판도 있다 (Jain &amp; Wallace, 2019).</w:t>
      </w:r>
    </w:p>
    <w:p>
      <w:pPr>
        <w:spacing w:after="80" w:before="80" w:line="320"/>
        <w:jc w:val="left"/>
      </w:pPr>
      <w:r>
        <w:rPr>
          <w:rFonts w:ascii="맑은 고딕" w:cs="맑은 고딕" w:eastAsia="맑은 고딕" w:hAnsi="맑은 고딕"/>
          <w:b w:val="false"/>
          <w:bCs w:val="false"/>
          <w:i w:val="false"/>
          <w:iCs w:val="false"/>
          <w:color w:val="1F2937"/>
          <w:sz w:val="22"/>
          <w:szCs w:val="22"/>
        </w:rPr>
        <w:t xml:space="preserve">둘째, Embedding space 분석. Variant scoring을 reference vs. alternative allele의 embedding 거리로 추정하는 표준 접근. 최종 layer representation만 활용하므로, 입력에서 출력에 이르는 32개 layer의 처리 과정에 대한 insight를 제공하지 못한다.</w:t>
      </w:r>
    </w:p>
    <w:p>
      <w:pPr>
        <w:spacing w:after="80" w:before="80" w:line="320"/>
        <w:jc w:val="left"/>
      </w:pPr>
      <w:r>
        <w:rPr>
          <w:rFonts w:ascii="맑은 고딕" w:cs="맑은 고딕" w:eastAsia="맑은 고딕" w:hAnsi="맑은 고딕"/>
          <w:b w:val="false"/>
          <w:bCs w:val="false"/>
          <w:i w:val="false"/>
          <w:iCs w:val="false"/>
          <w:color w:val="1F2937"/>
          <w:sz w:val="22"/>
          <w:szCs w:val="22"/>
        </w:rPr>
        <w:t xml:space="preserve">셋째, Sparse Autoencoder(SAE) 기반 해석. Goodfire의 Evo 2 해석 연구(2026)에서는 BatchTopK SAE를 Evo 2의 layer 26에 적용하여, coding sequence, exon-intron boundary, tRNA, 심지어 protein secondary structure (α-helix, β-sheet)와 대응하는 monosemantic feature를 발견했다. 이는 genomic CLM이 뉴클레오타이드 서열만으로 단백질 구조 수준 정보를 학습할 수 있음을 보여준 인상적 결과이다. 다만 SAE 접근은 (1) 별도의 SAE 학습이 필요하고, (2) dictionary size·sparsity penalty·학습 layer 등 다수의 설계 선택에 민감하며, (3) 분석이 단일 layer에 국한되어 layer 간 정보 처리 dynamics를 포착하지 못한다.</w:t>
      </w:r>
    </w:p>
    <w:p>
      <w:pPr>
        <w:pStyle w:val="Heading2"/>
        <w:spacing w:after="140" w:before="280"/>
      </w:pPr>
      <w:r>
        <w:rPr>
          <w:rFonts w:ascii="맑은 고딕" w:cs="맑은 고딕" w:eastAsia="맑은 고딕" w:hAnsi="맑은 고딕"/>
          <w:b/>
          <w:bCs/>
          <w:color w:val="1E3A8A"/>
          <w:sz w:val="26"/>
          <w:szCs w:val="26"/>
        </w:rPr>
        <w:t xml:space="preserve">1.2 Deep-Thinking Ratio: NLP에서의 새로운 해석 패러다임</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Chen et al. (2026) 'Think Deep, Not Just Long'에서 제안된 Deep-Thinking Ratio(DTR)는, 각 generated token에 대해 중간 layer의 prediction distribution이 최종 layer와 수렴하는 깊이(settling depth)를 측정하는 training-free interpretability metric이다.</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구체적으로, 모델 layer l에서 token t의 hidden state h(t,l)을 unembedding matrix W_U로 vocabulary space에 projection한 뒤 softmax로 중간 layer 분포 p(t,l)을 얻는다. 최종 layer 분포 p(t,L)과의 Jensen-Shannon Divergence (JSD)를 layer별로 산출하고, running minimum이 threshold γ (default 0.5) 이하로 수렴하는 최초 layer를 settling depth c(t)로 정의한다. Settling depth가 model depth의 상위 (1−ρ) 구간(default ρ=0.85, 즉 상위 15%)에 있는 token을 'deep-thinking token'으로 분류하며, 서열 내 deep-thinking token의 비율이 DTR이다.</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DTR은 8개 reasoning model(GPT-OSS-20B/120B, DeepSeek-R1-70B, Qwen3-30B 등), 4개 수학·추론 벤치마크에서 task accuracy와 평균 Pearson r = 0.683의 상관을 보였으며, token count(r = −0.594), self-certainty(r = 0.605), log probability(r = 0.527) 등 기존 지표를 유의미하게 상회했다. GPT-OSS-120B에서의 DTR-accuracy 상관은 r = 0.828에 달했다.</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DTR의 핵심 의미는 NLP에서 'deep-thinking이 필요한 token'이 수학 연산·논리 추론 등 복잡한 인지 처리가 요구되는 token과 대응한다는 점이다. 반면 접속사·기능어는 shallow layer에서 즉시 수렴한다. 즉 DTR은 모델 내부의 '계산 깊이(computational depth)'를 정량화한다.</w:t>
      </w:r>
    </w:p>
    <w:p>
      <w:pPr>
        <w:pStyle w:val="Heading2"/>
        <w:spacing w:after="140" w:before="280"/>
      </w:pPr>
      <w:r>
        <w:rPr>
          <w:rFonts w:ascii="맑은 고딕" w:cs="맑은 고딕" w:eastAsia="맑은 고딕" w:hAnsi="맑은 고딕"/>
          <w:b/>
          <w:bCs/>
          <w:color w:val="1E3A8A"/>
          <w:sz w:val="26"/>
          <w:szCs w:val="26"/>
        </w:rPr>
        <w:t xml:space="preserve">1.3 본 연구의 핵심 질문 — DNA에서 'Deep Thinking'이란 무엇인가</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본 연구는 DTR 개념을 genomic CLM에 전이하여, 다음의 근본적 질문에 답하고자 한다.</w:t>
      </w:r>
    </w:p>
    <w:p>
      <w:pPr>
        <w:spacing w:after="120" w:before="120"/>
        <w:jc w:val="center"/>
      </w:pPr>
      <w:r>
        <w:rPr>
          <w:rFonts w:ascii="맑은 고딕" w:cs="맑은 고딕" w:eastAsia="맑은 고딕" w:hAnsi="맑은 고딕"/>
          <w:b/>
          <w:bCs/>
          <w:i w:val="false"/>
          <w:iCs w:val="false"/>
          <w:color w:val="1E40AF"/>
          <w:sz w:val="22"/>
          <w:szCs w:val="22"/>
        </w:rPr>
        <w:t xml:space="preserve">「Genomic CLM이 특정 DNA position에서 ‘깊이 생각해야 하는’ 이유는 무엇이며, 이 연산 깊이는 생물학적 중요성의 유효한 proxy인가?」</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이 질문은 두 방향의 가설을 내포한다:</w:t>
      </w:r>
    </w:p>
    <w:p>
      <w:pPr>
        <w:pStyle w:val="ListParagraph"/>
        <w:numPr>
          <w:ilvl w:val="0"/>
          <w:numId w:val="2"/>
        </w:numPr>
        <w:spacing w:after="40" w:before="40" w:line="300"/>
      </w:pPr>
      <w:r>
        <w:rPr>
          <w:rFonts w:ascii="맑은 고딕" w:cs="맑은 고딕" w:eastAsia="맑은 고딕" w:hAnsi="맑은 고딕"/>
          <w:b/>
          <w:bCs/>
          <w:i w:val="false"/>
          <w:iCs w:val="false"/>
          <w:color w:val="1F2937"/>
          <w:sz w:val="22"/>
          <w:szCs w:val="22"/>
        </w:rPr>
        <w:t xml:space="preserve">가설 1 (Positive): </w:t>
      </w:r>
      <w:r>
        <w:rPr>
          <w:rFonts w:ascii="맑은 고딕" w:cs="맑은 고딕" w:eastAsia="맑은 고딕" w:hAnsi="맑은 고딕"/>
          <w:b w:val="false"/>
          <w:bCs w:val="false"/>
          <w:i w:val="false"/>
          <w:iCs w:val="false"/>
          <w:color w:val="1F2937"/>
          <w:sz w:val="22"/>
          <w:szCs w:val="22"/>
        </w:rPr>
        <w:t xml:space="preserve">높은 gDTR은 long-range context 통합, regulatory grammar 해석, 복합적 기능 제약 등 생물학적으로 복잡한 서열 정보 처리의 반영이다. Pathogenic mutation은 이러한 서열 문법을 파괴하므로 variant position에서 Δ-gDTR의 유의한 변화를 유발한다.</w:t>
      </w:r>
    </w:p>
    <w:p>
      <w:pPr>
        <w:pStyle w:val="ListParagraph"/>
        <w:numPr>
          <w:ilvl w:val="0"/>
          <w:numId w:val="2"/>
        </w:numPr>
        <w:spacing w:after="40" w:before="40" w:line="300"/>
      </w:pPr>
      <w:r>
        <w:rPr>
          <w:rFonts w:ascii="맑은 고딕" w:cs="맑은 고딕" w:eastAsia="맑은 고딕" w:hAnsi="맑은 고딕"/>
          <w:b/>
          <w:bCs/>
          <w:i w:val="false"/>
          <w:iCs w:val="false"/>
          <w:color w:val="1F2937"/>
          <w:sz w:val="22"/>
          <w:szCs w:val="22"/>
        </w:rPr>
        <w:t xml:space="preserve">가설 2 (Critical/Null): </w:t>
      </w:r>
      <w:r>
        <w:rPr>
          <w:rFonts w:ascii="맑은 고딕" w:cs="맑은 고딕" w:eastAsia="맑은 고딕" w:hAnsi="맑은 고딕"/>
          <w:b w:val="false"/>
          <w:bCs w:val="false"/>
          <w:i w:val="false"/>
          <w:iCs w:val="false"/>
          <w:color w:val="1F2937"/>
          <w:sz w:val="22"/>
          <w:szCs w:val="22"/>
        </w:rPr>
        <w:t xml:space="preserve">높은 gDTR은 단순히 모델의 학습 부족, 서열 복잡도(GC content, repeat density), training data에서의 희소성을 반영할 뿐이며, 생물학적 중요성과의 관계는 spurious하다.</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본 연구는 두 가설을 체계적으로 검증하는 framework를 제시함으로써, genomic foundation model 해석 가능성에 대한 방법론적·생물학적·비판적(critical) 기여를 동시에 달성하고자 한다.</w:t>
      </w:r>
    </w:p>
    <w:p>
      <w:pPr>
        <w:pStyle w:val="Heading2"/>
        <w:spacing w:after="140" w:before="280"/>
      </w:pPr>
      <w:r>
        <w:rPr>
          <w:rFonts w:ascii="맑은 고딕" w:cs="맑은 고딕" w:eastAsia="맑은 고딕" w:hAnsi="맑은 고딕"/>
          <w:b/>
          <w:bCs/>
          <w:color w:val="1E3A8A"/>
          <w:sz w:val="26"/>
          <w:szCs w:val="26"/>
        </w:rPr>
        <w:t xml:space="preserve">1.4 기존 연구와의 차별점 — 왜 CLM에 적용해야 하는가</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DTR은 기존 GLM 해석 방법론과 근본적으로 다른 질문을 던진다. Attention map은 ‘모델이 어디를 보는가’를, SAE는 ‘모델이 어떤 개념을 인코딩하는가’를 묻는다. DTR은 ‘모델이 어디에서 어려움을 겪는가’를 묻는다. 이는 inverse interpretability라 부를 수 있는 새로운 축이다 — 모델이 학습한 것이 아닌, 모델이 아직 해결하지 못한 것을 통해 생물학적 insight에 접근한다.</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DTR을 CLM에 적용하는 것이 자연스러운 이유는 명확하다.</w:t>
      </w:r>
    </w:p>
    <w:p>
      <w:pPr>
        <w:pStyle w:val="ListParagraph"/>
        <w:numPr>
          <w:ilvl w:val="0"/>
          <w:numId w:val="3"/>
        </w:numPr>
        <w:spacing w:after="40" w:before="40" w:line="300"/>
      </w:pPr>
      <w:r>
        <w:rPr>
          <w:rFonts w:ascii="맑은 고딕" w:cs="맑은 고딕" w:eastAsia="맑은 고딕" w:hAnsi="맑은 고딕"/>
          <w:b/>
          <w:bCs/>
          <w:i w:val="false"/>
          <w:iCs w:val="false"/>
          <w:color w:val="1F2937"/>
          <w:sz w:val="22"/>
          <w:szCs w:val="22"/>
        </w:rPr>
        <w:t xml:space="preserve">Native objective alignment. </w:t>
      </w:r>
      <w:r>
        <w:rPr>
          <w:rFonts w:ascii="맑은 고딕" w:cs="맑은 고딕" w:eastAsia="맑은 고딕" w:hAnsi="맑은 고딕"/>
          <w:b w:val="false"/>
          <w:bCs w:val="false"/>
          <w:i w:val="false"/>
          <w:iCs w:val="false"/>
          <w:color w:val="1F2937"/>
          <w:sz w:val="22"/>
          <w:szCs w:val="22"/>
        </w:rPr>
        <w:t xml:space="preserve">CLM은 next-nucleotide prediction을 학습 목표로 하므로 'logit lens 기반 layer-wise 예측 수렴' 분석이 모델의 원래 계산과 정확히 정렬된다. MLM은 mask reconstruction이 목표여서 logit lens가 항상 깔끔하지 않다 (Voita 2019의 U자형 representation 흐름).</w:t>
      </w:r>
    </w:p>
    <w:p>
      <w:pPr>
        <w:pStyle w:val="ListParagraph"/>
        <w:numPr>
          <w:ilvl w:val="0"/>
          <w:numId w:val="3"/>
        </w:numPr>
        <w:spacing w:after="40" w:before="40" w:line="300"/>
      </w:pPr>
      <w:r>
        <w:rPr>
          <w:rFonts w:ascii="맑은 고딕" w:cs="맑은 고딕" w:eastAsia="맑은 고딕" w:hAnsi="맑은 고딕"/>
          <w:b/>
          <w:bCs/>
          <w:i w:val="false"/>
          <w:iCs w:val="false"/>
          <w:color w:val="1F2937"/>
          <w:sz w:val="22"/>
          <w:szCs w:val="22"/>
        </w:rPr>
        <w:t xml:space="preserve">Per-position deterministic measurement. </w:t>
      </w:r>
      <w:r>
        <w:rPr>
          <w:rFonts w:ascii="맑은 고딕" w:cs="맑은 고딕" w:eastAsia="맑은 고딕" w:hAnsi="맑은 고딕"/>
          <w:b w:val="false"/>
          <w:bCs w:val="false"/>
          <w:i w:val="false"/>
          <w:iCs w:val="false"/>
          <w:color w:val="1F2937"/>
          <w:sz w:val="22"/>
          <w:szCs w:val="22"/>
        </w:rPr>
        <w:t xml:space="preserve">CLM에서는 한 forward pass로 모든 position의 layer-wise prediction을 자연스럽게 얻는다. MLM은 position당 별도 masking이 필요하거나 별도 변형(UR-gDTR)이 필요하다.</w:t>
      </w:r>
    </w:p>
    <w:p>
      <w:pPr>
        <w:pStyle w:val="ListParagraph"/>
        <w:numPr>
          <w:ilvl w:val="0"/>
          <w:numId w:val="3"/>
        </w:numPr>
        <w:spacing w:after="40" w:before="40" w:line="300"/>
      </w:pPr>
      <w:r>
        <w:rPr>
          <w:rFonts w:ascii="맑은 고딕" w:cs="맑은 고딕" w:eastAsia="맑은 고딕" w:hAnsi="맑은 고딕"/>
          <w:b/>
          <w:bCs/>
          <w:i w:val="false"/>
          <w:iCs w:val="false"/>
          <w:color w:val="1F2937"/>
          <w:sz w:val="22"/>
          <w:szCs w:val="22"/>
        </w:rPr>
        <w:t xml:space="preserve">Variant scoring과의 직접적 호환성. </w:t>
      </w:r>
      <w:r>
        <w:rPr>
          <w:rFonts w:ascii="맑은 고딕" w:cs="맑은 고딕" w:eastAsia="맑은 고딕" w:hAnsi="맑은 고딕"/>
          <w:b w:val="false"/>
          <w:bCs w:val="false"/>
          <w:i w:val="false"/>
          <w:iCs w:val="false"/>
          <w:color w:val="1F2937"/>
          <w:sz w:val="22"/>
          <w:szCs w:val="22"/>
        </w:rPr>
        <w:t xml:space="preserve">Evo 2의 zero-shot variant scoring 자체가 likelihood 기반이므로, gDTR과 likelihood 분석이 같은 forward 안에서 결합 가능하다.</w:t>
      </w:r>
    </w:p>
    <w:p>
      <w:pPr>
        <w:pStyle w:val="ListParagraph"/>
        <w:numPr>
          <w:ilvl w:val="0"/>
          <w:numId w:val="3"/>
        </w:numPr>
        <w:spacing w:after="40" w:before="40" w:line="300"/>
      </w:pPr>
      <w:r>
        <w:rPr>
          <w:rFonts w:ascii="맑은 고딕" w:cs="맑은 고딕" w:eastAsia="맑은 고딕" w:hAnsi="맑은 고딕"/>
          <w:b/>
          <w:bCs/>
          <w:i w:val="false"/>
          <w:iCs w:val="false"/>
          <w:color w:val="1F2937"/>
          <w:sz w:val="22"/>
          <w:szCs w:val="22"/>
        </w:rPr>
        <w:t xml:space="preserve">선행 검증된 layer 활용. </w:t>
      </w:r>
      <w:r>
        <w:rPr>
          <w:rFonts w:ascii="맑은 고딕" w:cs="맑은 고딕" w:eastAsia="맑은 고딕" w:hAnsi="맑은 고딕"/>
          <w:b w:val="false"/>
          <w:bCs w:val="false"/>
          <w:i w:val="false"/>
          <w:iCs w:val="false"/>
          <w:color w:val="1F2937"/>
          <w:sz w:val="22"/>
          <w:szCs w:val="22"/>
        </w:rPr>
        <w:t xml:space="preserve">Goodfire의 SAE 작업이 Evo 2 layer 26을 풍부한 representation으로 이미 보고했으므로, 'gDTR이 layer 26 근방에서 어떻게 변하는가'와 SAE feature와의 결합 분석이 가능하다.</w:t>
      </w:r>
    </w:p>
    <w:p>
      <w:r>
        <w:br w:type="page"/>
      </w:r>
    </w:p>
    <w:p>
      <w:pPr>
        <w:pStyle w:val="Heading1"/>
        <w:spacing w:after="180" w:before="360"/>
      </w:pPr>
      <w:r>
        <w:rPr>
          <w:rFonts w:ascii="맑은 고딕" w:cs="맑은 고딕" w:eastAsia="맑은 고딕" w:hAnsi="맑은 고딕"/>
          <w:b/>
          <w:bCs/>
          <w:color w:val="1E40AF"/>
          <w:sz w:val="32"/>
          <w:szCs w:val="32"/>
        </w:rPr>
        <w:t xml:space="preserve">2. 연구 목표</w:t>
      </w:r>
    </w:p>
    <w:p>
      <w:pPr>
        <w:pStyle w:val="Heading2"/>
        <w:spacing w:after="140" w:before="280"/>
      </w:pPr>
      <w:r>
        <w:rPr>
          <w:rFonts w:ascii="맑은 고딕" w:cs="맑은 고딕" w:eastAsia="맑은 고딕" w:hAnsi="맑은 고딕"/>
          <w:b/>
          <w:bCs/>
          <w:color w:val="1E3A8A"/>
          <w:sz w:val="26"/>
          <w:szCs w:val="26"/>
        </w:rPr>
        <w:t xml:space="preserve">2.1 최종 목표</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Causal genomic foundation model의 layer-wise prediction convergence를 체계적으로 분석하는 training-free interpretability framework인 </w:t>
      </w:r>
      <w:r>
        <w:rPr>
          <w:rFonts w:ascii="맑은 고딕" w:cs="맑은 고딕" w:eastAsia="맑은 고딕" w:hAnsi="맑은 고딕"/>
          <w:b/>
          <w:bCs/>
          <w:i w:val="false"/>
          <w:iCs w:val="false"/>
          <w:color w:val="1F2937"/>
          <w:sz w:val="22"/>
          <w:szCs w:val="22"/>
        </w:rPr>
        <w:t xml:space="preserve">Genomic Deep-Thinking Ratio (gDTR)</w:t>
      </w:r>
      <w:r>
        <w:rPr>
          <w:rFonts w:ascii="맑은 고딕" w:cs="맑은 고딕" w:eastAsia="맑은 고딕" w:hAnsi="맑은 고딕"/>
          <w:b w:val="false"/>
          <w:bCs w:val="false"/>
          <w:i w:val="false"/>
          <w:iCs w:val="false"/>
          <w:color w:val="1F2937"/>
          <w:sz w:val="22"/>
          <w:szCs w:val="22"/>
        </w:rPr>
        <w:t xml:space="preserve">를 확립하고, cancer variant interpretation을 통해 그 생물학적 유용성과 한계를 규명한다.</w:t>
      </w:r>
    </w:p>
    <w:p>
      <w:pPr>
        <w:pStyle w:val="Heading2"/>
        <w:spacing w:after="140" w:before="280"/>
      </w:pPr>
      <w:r>
        <w:rPr>
          <w:rFonts w:ascii="맑은 고딕" w:cs="맑은 고딕" w:eastAsia="맑은 고딕" w:hAnsi="맑은 고딕"/>
          <w:b/>
          <w:bCs/>
          <w:color w:val="1E3A8A"/>
          <w:sz w:val="26"/>
          <w:szCs w:val="26"/>
        </w:rPr>
        <w:t xml:space="preserve">2.2 세부 목표</w:t>
      </w:r>
    </w:p>
    <w:p>
      <w:pPr>
        <w:spacing w:after="60" w:before="60" w:line="320"/>
        <w:jc w:val="left"/>
      </w:pPr>
      <w:r>
        <w:rPr>
          <w:rFonts w:ascii="맑은 고딕" w:cs="맑은 고딕" w:eastAsia="맑은 고딕" w:hAnsi="맑은 고딕"/>
          <w:b/>
          <w:bCs/>
          <w:i w:val="false"/>
          <w:iCs w:val="false"/>
          <w:color w:val="1E40AF"/>
          <w:sz w:val="22"/>
          <w:szCs w:val="22"/>
        </w:rPr>
        <w:t xml:space="preserve">목표 1. PoC 검증 (HyenaDNA Prototype). </w:t>
      </w:r>
      <w:r>
        <w:rPr>
          <w:rFonts w:ascii="맑은 고딕" w:cs="맑은 고딕" w:eastAsia="맑은 고딕" w:hAnsi="맑은 고딕"/>
          <w:b w:val="false"/>
          <w:bCs w:val="false"/>
          <w:i w:val="false"/>
          <w:iCs w:val="false"/>
          <w:color w:val="1F2937"/>
          <w:sz w:val="22"/>
          <w:szCs w:val="22"/>
        </w:rPr>
        <w:t xml:space="preserve">HyenaDNA(6.6M)에서 gDTR 측정 파이프라인을 구축하고, gene structure가 non-random gDTR 패턴을 보이는지를 확인하여 방법론의 기본 타당성(go/no-go gate)을 검증한다.</w:t>
      </w:r>
    </w:p>
    <w:p>
      <w:pPr>
        <w:spacing w:after="60" w:before="60" w:line="320"/>
        <w:jc w:val="left"/>
      </w:pPr>
      <w:r>
        <w:rPr>
          <w:rFonts w:ascii="맑은 고딕" w:cs="맑은 고딕" w:eastAsia="맑은 고딕" w:hAnsi="맑은 고딕"/>
          <w:b/>
          <w:bCs/>
          <w:i w:val="false"/>
          <w:iCs w:val="false"/>
          <w:color w:val="1E40AF"/>
          <w:sz w:val="22"/>
          <w:szCs w:val="22"/>
        </w:rPr>
        <w:t xml:space="preserve">목표 2. Evo 2 기반 gDTR 방법론 확립. </w:t>
      </w:r>
      <w:r>
        <w:rPr>
          <w:rFonts w:ascii="맑은 고딕" w:cs="맑은 고딕" w:eastAsia="맑은 고딕" w:hAnsi="맑은 고딕"/>
          <w:b w:val="false"/>
          <w:bCs w:val="false"/>
          <w:i w:val="false"/>
          <w:iCs w:val="false"/>
          <w:color w:val="1F2937"/>
          <w:sz w:val="22"/>
          <w:szCs w:val="22"/>
        </w:rPr>
        <w:t xml:space="preserve">Evo 2 7B에서 원본 DTR을 직접 적용하고(default), UR-gDTR(cosine 기반)을 보조로 산출하여 두 신호의 일관성을 검증한다. Hyperparameter (γ, ρ)를 genomic context에 맞게 calibration한다.</w:t>
      </w:r>
    </w:p>
    <w:p>
      <w:pPr>
        <w:spacing w:after="60" w:before="60" w:line="320"/>
        <w:jc w:val="left"/>
      </w:pPr>
      <w:r>
        <w:rPr>
          <w:rFonts w:ascii="맑은 고딕" w:cs="맑은 고딕" w:eastAsia="맑은 고딕" w:hAnsi="맑은 고딕"/>
          <w:b/>
          <w:bCs/>
          <w:i w:val="false"/>
          <w:iCs w:val="false"/>
          <w:color w:val="1E40AF"/>
          <w:sz w:val="22"/>
          <w:szCs w:val="22"/>
        </w:rPr>
        <w:t xml:space="preserve">목표 3. Genomic Context별 gDTR 특성 규명. </w:t>
      </w:r>
      <w:r>
        <w:rPr>
          <w:rFonts w:ascii="맑은 고딕" w:cs="맑은 고딕" w:eastAsia="맑은 고딕" w:hAnsi="맑은 고딕"/>
          <w:b w:val="false"/>
          <w:bCs w:val="false"/>
          <w:i w:val="false"/>
          <w:iCs w:val="false"/>
          <w:color w:val="1F2937"/>
          <w:sz w:val="22"/>
          <w:szCs w:val="22"/>
        </w:rPr>
        <w:t xml:space="preserve">Coding exon, UTR, intron, promoter, enhancer, repeat element 등 다양한 genomic context에서 gDTR의 분포 특성과 layer-wise convergence dynamics를 분석한다. 특히 Evo 2의 Transformer block과 Hyena conv block의 차별적 기여를 본다.</w:t>
      </w:r>
    </w:p>
    <w:p>
      <w:pPr>
        <w:spacing w:after="60" w:before="60" w:line="320"/>
        <w:jc w:val="left"/>
      </w:pPr>
      <w:r>
        <w:rPr>
          <w:rFonts w:ascii="맑은 고딕" w:cs="맑은 고딕" w:eastAsia="맑은 고딕" w:hAnsi="맑은 고딕"/>
          <w:b/>
          <w:bCs/>
          <w:i w:val="false"/>
          <w:iCs w:val="false"/>
          <w:color w:val="1E40AF"/>
          <w:sz w:val="22"/>
          <w:szCs w:val="22"/>
        </w:rPr>
        <w:t xml:space="preserve">목표 4. Cancer Variant Interpretation. </w:t>
      </w:r>
      <w:r>
        <w:rPr>
          <w:rFonts w:ascii="맑은 고딕" w:cs="맑은 고딕" w:eastAsia="맑은 고딕" w:hAnsi="맑은 고딕"/>
          <w:b w:val="false"/>
          <w:bCs w:val="false"/>
          <w:i w:val="false"/>
          <w:iCs w:val="false"/>
          <w:color w:val="1F2937"/>
          <w:sz w:val="22"/>
          <w:szCs w:val="22"/>
        </w:rPr>
        <w:t xml:space="preserve">ClinVar 주요 cancer gene에서 pathogenic vs. benign variant의 Δ-settling-depth를 비교하여, gDTR이 variant pathogenicity 해석에 제공하는 정보량을 평가한다. CADD, AlphaMissense, Evo 2 likelihood와의 비교 및 ensemble을 시도한다.</w:t>
      </w:r>
    </w:p>
    <w:p>
      <w:pPr>
        <w:spacing w:after="60" w:before="60" w:line="320"/>
        <w:jc w:val="left"/>
      </w:pPr>
      <w:r>
        <w:rPr>
          <w:rFonts w:ascii="맑은 고딕" w:cs="맑은 고딕" w:eastAsia="맑은 고딕" w:hAnsi="맑은 고딕"/>
          <w:b/>
          <w:bCs/>
          <w:i w:val="false"/>
          <w:iCs w:val="false"/>
          <w:color w:val="1E40AF"/>
          <w:sz w:val="22"/>
          <w:szCs w:val="22"/>
        </w:rPr>
        <w:t xml:space="preserve">목표 5. Cross-Architecture Validation. </w:t>
      </w:r>
      <w:r>
        <w:rPr>
          <w:rFonts w:ascii="맑은 고딕" w:cs="맑은 고딕" w:eastAsia="맑은 고딕" w:hAnsi="맑은 고딕"/>
          <w:b w:val="false"/>
          <w:bCs w:val="false"/>
          <w:i w:val="false"/>
          <w:iCs w:val="false"/>
          <w:color w:val="1F2937"/>
          <w:sz w:val="22"/>
          <w:szCs w:val="22"/>
        </w:rPr>
        <w:t xml:space="preserve">동일 region에 대해 Evo 2(CLM-hybrid), HyenaDNA(CLM-Hyena), NT-v2(MLM-Transformer)의 gDTR을 비교하여, position-level computational difficulty가 architecture artifact인지 생물학적 signal인지를 검증한다.</w:t>
      </w:r>
    </w:p>
    <w:p>
      <w:pPr>
        <w:spacing w:after="60" w:before="60" w:line="320"/>
        <w:jc w:val="left"/>
      </w:pPr>
      <w:r>
        <w:rPr>
          <w:rFonts w:ascii="맑은 고딕" w:cs="맑은 고딕" w:eastAsia="맑은 고딕" w:hAnsi="맑은 고딕"/>
          <w:b/>
          <w:bCs/>
          <w:i w:val="false"/>
          <w:iCs w:val="false"/>
          <w:color w:val="1E40AF"/>
          <w:sz w:val="22"/>
          <w:szCs w:val="22"/>
        </w:rPr>
        <w:t xml:space="preserve">목표 6. gDTR-Conservation Discordance Discovery. </w:t>
      </w:r>
      <w:r>
        <w:rPr>
          <w:rFonts w:ascii="맑은 고딕" w:cs="맑은 고딕" w:eastAsia="맑은 고딕" w:hAnsi="맑은 고딕"/>
          <w:b w:val="false"/>
          <w:bCs w:val="false"/>
          <w:i w:val="false"/>
          <w:iCs w:val="false"/>
          <w:color w:val="1F2937"/>
          <w:sz w:val="22"/>
          <w:szCs w:val="22"/>
        </w:rPr>
        <w:t xml:space="preserve">gDTR과 진화적 보존도(PhyloP, GERP)의 불일치 영역(High gDTR / Low conservation, Q2)을 체계적으로 분석하여, 진화적 보존으로는 설명되지 않는 새로운 기능적 genomic element 후보를 발굴한다.</w:t>
      </w:r>
    </w:p>
    <w:p>
      <w:r>
        <w:br w:type="page"/>
      </w:r>
    </w:p>
    <w:p>
      <w:pPr>
        <w:pStyle w:val="Heading1"/>
        <w:spacing w:after="180" w:before="360"/>
      </w:pPr>
      <w:r>
        <w:rPr>
          <w:rFonts w:ascii="맑은 고딕" w:cs="맑은 고딕" w:eastAsia="맑은 고딕" w:hAnsi="맑은 고딕"/>
          <w:b/>
          <w:bCs/>
          <w:color w:val="1E40AF"/>
          <w:sz w:val="32"/>
          <w:szCs w:val="32"/>
        </w:rPr>
        <w:t xml:space="preserve">3. 연구 내용 및 연구 방법</w:t>
      </w:r>
    </w:p>
    <w:p>
      <w:pPr>
        <w:pStyle w:val="Heading2"/>
        <w:spacing w:after="140" w:before="280"/>
      </w:pPr>
      <w:r>
        <w:rPr>
          <w:rFonts w:ascii="맑은 고딕" w:cs="맑은 고딕" w:eastAsia="맑은 고딕" w:hAnsi="맑은 고딕"/>
          <w:b/>
          <w:bCs/>
          <w:color w:val="1E3A8A"/>
          <w:sz w:val="26"/>
          <w:szCs w:val="26"/>
        </w:rPr>
        <w:t xml:space="preserve">3.1 대상 모델 — CLM 중심 재배치</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v1과 가장 크게 달라진 부분은 모델 portfolio의 재배치이다. v2는 CLM(autoregressive) 모델을 primary로 하고, MLM 모델은 cross-architecture 검증용으로만 유지한다.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900"/>
        <w:gridCol w:w="900"/>
        <w:gridCol w:w="700"/>
        <w:gridCol w:w="900"/>
        <w:gridCol w:w="1760"/>
      </w:tblGrid>
      <w:tr>
        <w:tc>
          <w:tcPr>
            <w:tcW w:type="dxa" w:w="170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모델</w:t>
            </w:r>
          </w:p>
        </w:tc>
        <w:tc>
          <w:tcPr>
            <w:tcW w:type="dxa" w:w="150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역할</w:t>
            </w:r>
          </w:p>
        </w:tc>
        <w:tc>
          <w:tcPr>
            <w:tcW w:type="dxa" w:w="190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Architecture</w:t>
            </w:r>
          </w:p>
        </w:tc>
        <w:tc>
          <w:tcPr>
            <w:tcW w:type="dxa" w:w="90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Params</w:t>
            </w:r>
          </w:p>
        </w:tc>
        <w:tc>
          <w:tcPr>
            <w:tcW w:type="dxa" w:w="70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Layers</w:t>
            </w:r>
          </w:p>
        </w:tc>
        <w:tc>
          <w:tcPr>
            <w:tcW w:type="dxa" w:w="90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Context</w:t>
            </w:r>
          </w:p>
        </w:tc>
        <w:tc>
          <w:tcPr>
            <w:tcW w:type="dxa" w:w="176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학습 목표</w:t>
            </w:r>
          </w:p>
        </w:tc>
      </w:tr>
      <w:tr>
        <w:tc>
          <w:tcPr>
            <w:tcW w:type="dxa" w:w="1700"/>
            <w:tcBorders>
              <w:top w:val="single" w:color="9CA3AF" w:sz="4"/>
              <w:left w:val="single" w:color="9CA3AF" w:sz="4"/>
              <w:bottom w:val="single" w:color="9CA3AF" w:sz="4"/>
              <w:right w:val="single" w:color="9CA3AF" w:sz="4"/>
            </w:tcBorders>
            <w:shd w:fill="DBEAFE" w:val="clear"/>
            <w:tcMar>
              <w:top w:type="dxa" w:w="80"/>
              <w:left w:type="dxa" w:w="120"/>
              <w:bottom w:type="dxa" w:w="80"/>
              <w:right w:type="dxa" w:w="120"/>
            </w:tcMar>
          </w:tcPr>
          <w:p>
            <w:pPr>
              <w:spacing w:after="40" w:before="40" w:line="280"/>
              <w:jc w:val="left"/>
            </w:pPr>
            <w:r>
              <w:rPr>
                <w:rFonts w:ascii="맑은 고딕" w:cs="맑은 고딕" w:eastAsia="맑은 고딕" w:hAnsi="맑은 고딕"/>
                <w:b/>
                <w:bCs/>
                <w:color w:val="1F2937"/>
                <w:sz w:val="18"/>
                <w:szCs w:val="18"/>
              </w:rPr>
              <w:t xml:space="preserve">HyenaDNA</w:t>
            </w:r>
          </w:p>
        </w:tc>
        <w:tc>
          <w:tcPr>
            <w:tcW w:type="dxa" w:w="1500"/>
            <w:tcBorders>
              <w:top w:val="single" w:color="9CA3AF" w:sz="4"/>
              <w:left w:val="single" w:color="9CA3AF" w:sz="4"/>
              <w:bottom w:val="single" w:color="9CA3AF" w:sz="4"/>
              <w:right w:val="single" w:color="9CA3AF" w:sz="4"/>
            </w:tcBorders>
            <w:shd w:fill="DBEAFE" w:val="clear"/>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PoC / prototype</w:t>
            </w:r>
          </w:p>
        </w:tc>
        <w:tc>
          <w:tcPr>
            <w:tcW w:type="dxa" w:w="1900"/>
            <w:tcBorders>
              <w:top w:val="single" w:color="9CA3AF" w:sz="4"/>
              <w:left w:val="single" w:color="9CA3AF" w:sz="4"/>
              <w:bottom w:val="single" w:color="9CA3AF" w:sz="4"/>
              <w:right w:val="single" w:color="9CA3AF" w:sz="4"/>
            </w:tcBorders>
            <w:shd w:fill="DBEAFE" w:val="clear"/>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Hyena (SSM)</w:t>
            </w:r>
          </w:p>
        </w:tc>
        <w:tc>
          <w:tcPr>
            <w:tcW w:type="dxa" w:w="900"/>
            <w:tcBorders>
              <w:top w:val="single" w:color="9CA3AF" w:sz="4"/>
              <w:left w:val="single" w:color="9CA3AF" w:sz="4"/>
              <w:bottom w:val="single" w:color="9CA3AF" w:sz="4"/>
              <w:right w:val="single" w:color="9CA3AF" w:sz="4"/>
            </w:tcBorders>
            <w:shd w:fill="DBEAFE" w:val="clear"/>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6.6M</w:t>
            </w:r>
          </w:p>
        </w:tc>
        <w:tc>
          <w:tcPr>
            <w:tcW w:type="dxa" w:w="700"/>
            <w:tcBorders>
              <w:top w:val="single" w:color="9CA3AF" w:sz="4"/>
              <w:left w:val="single" w:color="9CA3AF" w:sz="4"/>
              <w:bottom w:val="single" w:color="9CA3AF" w:sz="4"/>
              <w:right w:val="single" w:color="9CA3AF" w:sz="4"/>
            </w:tcBorders>
            <w:shd w:fill="DBEAFE"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8</w:t>
            </w:r>
          </w:p>
        </w:tc>
        <w:tc>
          <w:tcPr>
            <w:tcW w:type="dxa" w:w="900"/>
            <w:tcBorders>
              <w:top w:val="single" w:color="9CA3AF" w:sz="4"/>
              <w:left w:val="single" w:color="9CA3AF" w:sz="4"/>
              <w:bottom w:val="single" w:color="9CA3AF" w:sz="4"/>
              <w:right w:val="single" w:color="9CA3AF" w:sz="4"/>
            </w:tcBorders>
            <w:shd w:fill="DBEAFE" w:val="clear"/>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1M</w:t>
            </w:r>
          </w:p>
        </w:tc>
        <w:tc>
          <w:tcPr>
            <w:tcW w:type="dxa" w:w="1760"/>
            <w:tcBorders>
              <w:top w:val="single" w:color="9CA3AF" w:sz="4"/>
              <w:left w:val="single" w:color="9CA3AF" w:sz="4"/>
              <w:bottom w:val="single" w:color="9CA3AF" w:sz="4"/>
              <w:right w:val="single" w:color="9CA3AF" w:sz="4"/>
            </w:tcBorders>
            <w:shd w:fill="DBEAFE" w:val="clear"/>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CLM (next-nt)</w:t>
            </w:r>
          </w:p>
        </w:tc>
      </w:tr>
      <w:tr>
        <w:tc>
          <w:tcPr>
            <w:tcW w:type="dxa" w:w="1700"/>
            <w:tcBorders>
              <w:top w:val="single" w:color="9CA3AF" w:sz="4"/>
              <w:left w:val="single" w:color="9CA3AF" w:sz="4"/>
              <w:bottom w:val="single" w:color="9CA3AF" w:sz="4"/>
              <w:right w:val="single" w:color="9CA3AF" w:sz="4"/>
            </w:tcBorders>
            <w:shd w:fill="FEF3C7" w:val="clear"/>
            <w:tcMar>
              <w:top w:type="dxa" w:w="80"/>
              <w:left w:type="dxa" w:w="120"/>
              <w:bottom w:type="dxa" w:w="80"/>
              <w:right w:type="dxa" w:w="120"/>
            </w:tcMar>
          </w:tcPr>
          <w:p>
            <w:pPr>
              <w:spacing w:after="40" w:before="40" w:line="280"/>
              <w:jc w:val="left"/>
            </w:pPr>
            <w:r>
              <w:rPr>
                <w:rFonts w:ascii="맑은 고딕" w:cs="맑은 고딕" w:eastAsia="맑은 고딕" w:hAnsi="맑은 고딕"/>
                <w:b/>
                <w:bCs/>
                <w:color w:val="1F2937"/>
                <w:sz w:val="18"/>
                <w:szCs w:val="18"/>
              </w:rPr>
              <w:t xml:space="preserve">Evo 2 7B</w:t>
            </w:r>
          </w:p>
        </w:tc>
        <w:tc>
          <w:tcPr>
            <w:tcW w:type="dxa" w:w="1500"/>
            <w:tcBorders>
              <w:top w:val="single" w:color="9CA3AF" w:sz="4"/>
              <w:left w:val="single" w:color="9CA3AF" w:sz="4"/>
              <w:bottom w:val="single" w:color="9CA3AF" w:sz="4"/>
              <w:right w:val="single" w:color="9CA3AF" w:sz="4"/>
            </w:tcBorders>
            <w:shd w:fill="FEF3C7" w:val="clear"/>
            <w:tcMar>
              <w:top w:type="dxa" w:w="80"/>
              <w:left w:type="dxa" w:w="120"/>
              <w:bottom w:type="dxa" w:w="80"/>
              <w:right w:type="dxa" w:w="120"/>
            </w:tcMar>
          </w:tcPr>
          <w:p>
            <w:pPr>
              <w:spacing w:after="40" w:before="40" w:line="280"/>
              <w:jc w:val="left"/>
            </w:pPr>
            <w:r>
              <w:rPr>
                <w:rFonts w:ascii="맑은 고딕" w:cs="맑은 고딕" w:eastAsia="맑은 고딕" w:hAnsi="맑은 고딕"/>
                <w:b/>
                <w:bCs/>
                <w:color w:val="1F2937"/>
                <w:sz w:val="18"/>
                <w:szCs w:val="18"/>
              </w:rPr>
              <w:t xml:space="preserve">Primary 분석 모델</w:t>
            </w:r>
          </w:p>
        </w:tc>
        <w:tc>
          <w:tcPr>
            <w:tcW w:type="dxa" w:w="1900"/>
            <w:tcBorders>
              <w:top w:val="single" w:color="9CA3AF" w:sz="4"/>
              <w:left w:val="single" w:color="9CA3AF" w:sz="4"/>
              <w:bottom w:val="single" w:color="9CA3AF" w:sz="4"/>
              <w:right w:val="single" w:color="9CA3AF" w:sz="4"/>
            </w:tcBorders>
            <w:shd w:fill="FEF3C7" w:val="clear"/>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Transformer + StripedHyena 2</w:t>
            </w:r>
          </w:p>
        </w:tc>
        <w:tc>
          <w:tcPr>
            <w:tcW w:type="dxa" w:w="900"/>
            <w:tcBorders>
              <w:top w:val="single" w:color="9CA3AF" w:sz="4"/>
              <w:left w:val="single" w:color="9CA3AF" w:sz="4"/>
              <w:bottom w:val="single" w:color="9CA3AF" w:sz="4"/>
              <w:right w:val="single" w:color="9CA3AF" w:sz="4"/>
            </w:tcBorders>
            <w:shd w:fill="FEF3C7" w:val="clear"/>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7B</w:t>
            </w:r>
          </w:p>
        </w:tc>
        <w:tc>
          <w:tcPr>
            <w:tcW w:type="dxa" w:w="700"/>
            <w:tcBorders>
              <w:top w:val="single" w:color="9CA3AF" w:sz="4"/>
              <w:left w:val="single" w:color="9CA3AF" w:sz="4"/>
              <w:bottom w:val="single" w:color="9CA3AF" w:sz="4"/>
              <w:right w:val="single" w:color="9CA3AF" w:sz="4"/>
            </w:tcBorders>
            <w:shd w:fill="FEF3C7"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32</w:t>
            </w:r>
          </w:p>
        </w:tc>
        <w:tc>
          <w:tcPr>
            <w:tcW w:type="dxa" w:w="900"/>
            <w:tcBorders>
              <w:top w:val="single" w:color="9CA3AF" w:sz="4"/>
              <w:left w:val="single" w:color="9CA3AF" w:sz="4"/>
              <w:bottom w:val="single" w:color="9CA3AF" w:sz="4"/>
              <w:right w:val="single" w:color="9CA3AF" w:sz="4"/>
            </w:tcBorders>
            <w:shd w:fill="FEF3C7" w:val="clear"/>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1M</w:t>
            </w:r>
          </w:p>
        </w:tc>
        <w:tc>
          <w:tcPr>
            <w:tcW w:type="dxa" w:w="1760"/>
            <w:tcBorders>
              <w:top w:val="single" w:color="9CA3AF" w:sz="4"/>
              <w:left w:val="single" w:color="9CA3AF" w:sz="4"/>
              <w:bottom w:val="single" w:color="9CA3AF" w:sz="4"/>
              <w:right w:val="single" w:color="9CA3AF" w:sz="4"/>
            </w:tcBorders>
            <w:shd w:fill="FEF3C7" w:val="clear"/>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CLM (next-nt)</w:t>
            </w:r>
          </w:p>
        </w:tc>
      </w:tr>
      <w:tr>
        <w:tc>
          <w:tcPr>
            <w:tcW w:type="dxa" w:w="1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Evo 1 7B</w:t>
            </w:r>
          </w:p>
        </w:tc>
        <w:tc>
          <w:tcPr>
            <w:tcW w:type="dxa" w:w="15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백업 / 비교</w:t>
            </w:r>
          </w:p>
        </w:tc>
        <w:tc>
          <w:tcPr>
            <w:tcW w:type="dxa" w:w="1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StripedHyena 1</w:t>
            </w:r>
          </w:p>
        </w:tc>
        <w:tc>
          <w:tcPr>
            <w:tcW w:type="dxa" w:w="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7B</w:t>
            </w:r>
          </w:p>
        </w:tc>
        <w:tc>
          <w:tcPr>
            <w:tcW w:type="dxa" w:w="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32</w:t>
            </w:r>
          </w:p>
        </w:tc>
        <w:tc>
          <w:tcPr>
            <w:tcW w:type="dxa" w:w="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131K</w:t>
            </w:r>
          </w:p>
        </w:tc>
        <w:tc>
          <w:tcPr>
            <w:tcW w:type="dxa" w:w="17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CLM (next-nt)</w:t>
            </w:r>
          </w:p>
        </w:tc>
      </w:tr>
      <w:tr>
        <w:tc>
          <w:tcPr>
            <w:tcW w:type="dxa" w:w="1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NT-v2 500M</w:t>
            </w:r>
          </w:p>
        </w:tc>
        <w:tc>
          <w:tcPr>
            <w:tcW w:type="dxa" w:w="15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Cross-arch 비교군</w:t>
            </w:r>
          </w:p>
        </w:tc>
        <w:tc>
          <w:tcPr>
            <w:tcW w:type="dxa" w:w="1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Transformer</w:t>
            </w:r>
          </w:p>
        </w:tc>
        <w:tc>
          <w:tcPr>
            <w:tcW w:type="dxa" w:w="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500M</w:t>
            </w:r>
          </w:p>
        </w:tc>
        <w:tc>
          <w:tcPr>
            <w:tcW w:type="dxa" w:w="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24</w:t>
            </w:r>
          </w:p>
        </w:tc>
        <w:tc>
          <w:tcPr>
            <w:tcW w:type="dxa" w:w="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12 kb</w:t>
            </w:r>
          </w:p>
        </w:tc>
        <w:tc>
          <w:tcPr>
            <w:tcW w:type="dxa" w:w="17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MLM (6-mer)</w:t>
            </w:r>
          </w:p>
        </w:tc>
      </w:tr>
      <w:tr>
        <w:tc>
          <w:tcPr>
            <w:tcW w:type="dxa" w:w="1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DNABERT-2</w:t>
            </w:r>
          </w:p>
        </w:tc>
        <w:tc>
          <w:tcPr>
            <w:tcW w:type="dxa" w:w="15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Cross-arch 비교군</w:t>
            </w:r>
          </w:p>
        </w:tc>
        <w:tc>
          <w:tcPr>
            <w:tcW w:type="dxa" w:w="1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Transformer</w:t>
            </w:r>
          </w:p>
        </w:tc>
        <w:tc>
          <w:tcPr>
            <w:tcW w:type="dxa" w:w="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117M</w:t>
            </w:r>
          </w:p>
        </w:tc>
        <w:tc>
          <w:tcPr>
            <w:tcW w:type="dxa" w:w="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12</w:t>
            </w:r>
          </w:p>
        </w:tc>
        <w:tc>
          <w:tcPr>
            <w:tcW w:type="dxa" w:w="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4 kb</w:t>
            </w:r>
          </w:p>
        </w:tc>
        <w:tc>
          <w:tcPr>
            <w:tcW w:type="dxa" w:w="17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MLM (BPE)</w:t>
            </w:r>
          </w:p>
        </w:tc>
      </w:tr>
    </w:tbl>
    <w:p>
      <w:pPr>
        <w:spacing w:after="60" w:before="60"/>
      </w:pPr>
      <w:r>
        <w:t xml:space="preserve"/>
      </w:r>
    </w:p>
    <w:p>
      <w:pPr>
        <w:spacing w:after="60" w:before="100"/>
        <w:jc w:val="left"/>
      </w:pPr>
      <w:r>
        <w:rPr>
          <w:rFonts w:ascii="맑은 고딕" w:cs="맑은 고딕" w:eastAsia="맑은 고딕" w:hAnsi="맑은 고딕"/>
          <w:b/>
          <w:bCs/>
          <w:i w:val="false"/>
          <w:iCs w:val="false"/>
          <w:color w:val="1F2937"/>
          <w:sz w:val="22"/>
          <w:szCs w:val="22"/>
        </w:rPr>
        <w:t xml:space="preserve">선정 근거:</w:t>
      </w:r>
    </w:p>
    <w:p>
      <w:pPr>
        <w:pStyle w:val="ListParagraph"/>
        <w:numPr>
          <w:ilvl w:val="0"/>
          <w:numId w:val="2"/>
        </w:numPr>
        <w:spacing w:after="40" w:before="40" w:line="300"/>
      </w:pPr>
      <w:r>
        <w:rPr>
          <w:rFonts w:ascii="맑은 고딕" w:cs="맑은 고딕" w:eastAsia="맑은 고딕" w:hAnsi="맑은 고딕"/>
          <w:b/>
          <w:bCs/>
          <w:i w:val="false"/>
          <w:iCs w:val="false"/>
          <w:color w:val="1F2937"/>
          <w:sz w:val="22"/>
          <w:szCs w:val="22"/>
        </w:rPr>
        <w:t xml:space="preserve">Evo 2 7B (Primary): </w:t>
      </w:r>
      <w:r>
        <w:rPr>
          <w:rFonts w:ascii="맑은 고딕" w:cs="맑은 고딕" w:eastAsia="맑은 고딕" w:hAnsi="맑은 고딕"/>
          <w:b w:val="false"/>
          <w:bCs w:val="false"/>
          <w:i w:val="false"/>
          <w:iCs w:val="false"/>
          <w:color w:val="1F2937"/>
          <w:sz w:val="22"/>
          <w:szCs w:val="22"/>
        </w:rPr>
        <w:t xml:space="preserve">단일 H100 80GB에서 inference 가능한 가장 큰 SOTA CLM. layer 26이 Goodfire SAE에서 풍부 representation으로 검증됨. 1M context로 long-range regulatory grammar 분석 가능. Apache 2.0 공개.</w:t>
      </w:r>
    </w:p>
    <w:p>
      <w:pPr>
        <w:pStyle w:val="ListParagraph"/>
        <w:numPr>
          <w:ilvl w:val="0"/>
          <w:numId w:val="2"/>
        </w:numPr>
        <w:spacing w:after="40" w:before="40" w:line="300"/>
      </w:pPr>
      <w:r>
        <w:rPr>
          <w:rFonts w:ascii="맑은 고딕" w:cs="맑은 고딕" w:eastAsia="맑은 고딕" w:hAnsi="맑은 고딕"/>
          <w:b/>
          <w:bCs/>
          <w:i w:val="false"/>
          <w:iCs w:val="false"/>
          <w:color w:val="1F2937"/>
          <w:sz w:val="22"/>
          <w:szCs w:val="22"/>
        </w:rPr>
        <w:t xml:space="preserve">HyenaDNA (PoC): </w:t>
      </w:r>
      <w:r>
        <w:rPr>
          <w:rFonts w:ascii="맑은 고딕" w:cs="맑은 고딕" w:eastAsia="맑은 고딕" w:hAnsi="맑은 고딕"/>
          <w:b w:val="false"/>
          <w:bCs w:val="false"/>
          <w:i w:val="false"/>
          <w:iCs w:val="false"/>
          <w:color w:val="1F2937"/>
          <w:sz w:val="22"/>
          <w:szCs w:val="22"/>
        </w:rPr>
        <w:t xml:space="preserve">Evo와 같은 Hyena 계열의 6.6M parameter 소형 모델. 단일 RTX 3090 또는 무료 Colab GPU에서 충분. 방법론 prototype과 PoC 단계의 빠른 iteration에 최적.</w:t>
      </w:r>
    </w:p>
    <w:p>
      <w:pPr>
        <w:pStyle w:val="ListParagraph"/>
        <w:numPr>
          <w:ilvl w:val="0"/>
          <w:numId w:val="2"/>
        </w:numPr>
        <w:spacing w:after="40" w:before="40" w:line="300"/>
      </w:pPr>
      <w:r>
        <w:rPr>
          <w:rFonts w:ascii="맑은 고딕" w:cs="맑은 고딕" w:eastAsia="맑은 고딕" w:hAnsi="맑은 고딕"/>
          <w:b/>
          <w:bCs/>
          <w:i w:val="false"/>
          <w:iCs w:val="false"/>
          <w:color w:val="1F2937"/>
          <w:sz w:val="22"/>
          <w:szCs w:val="22"/>
        </w:rPr>
        <w:t xml:space="preserve">Evo 1 7B (백업): </w:t>
      </w:r>
      <w:r>
        <w:rPr>
          <w:rFonts w:ascii="맑은 고딕" w:cs="맑은 고딕" w:eastAsia="맑은 고딕" w:hAnsi="맑은 고딕"/>
          <w:b w:val="false"/>
          <w:bCs w:val="false"/>
          <w:i w:val="false"/>
          <w:iCs w:val="false"/>
          <w:color w:val="1F2937"/>
          <w:sz w:val="22"/>
          <w:szCs w:val="22"/>
        </w:rPr>
        <w:t xml:space="preserve">Evo 2가 H100 cluster 가용성 문제로 막힐 경우의 백업. 같은 학습 paradigm + 더 안정된 코드베이스.</w:t>
      </w:r>
    </w:p>
    <w:p>
      <w:pPr>
        <w:pStyle w:val="ListParagraph"/>
        <w:numPr>
          <w:ilvl w:val="0"/>
          <w:numId w:val="2"/>
        </w:numPr>
        <w:spacing w:after="40" w:before="40" w:line="300"/>
      </w:pPr>
      <w:r>
        <w:rPr>
          <w:rFonts w:ascii="맑은 고딕" w:cs="맑은 고딕" w:eastAsia="맑은 고딕" w:hAnsi="맑은 고딕"/>
          <w:b/>
          <w:bCs/>
          <w:i w:val="false"/>
          <w:iCs w:val="false"/>
          <w:color w:val="1F2937"/>
          <w:sz w:val="22"/>
          <w:szCs w:val="22"/>
        </w:rPr>
        <w:t xml:space="preserve">NT-v2, DNABERT-2 (cross-arch 비교군만): </w:t>
      </w:r>
      <w:r>
        <w:rPr>
          <w:rFonts w:ascii="맑은 고딕" w:cs="맑은 고딕" w:eastAsia="맑은 고딕" w:hAnsi="맑은 고딕"/>
          <w:b w:val="false"/>
          <w:bCs w:val="false"/>
          <w:i w:val="false"/>
          <w:iCs w:val="false"/>
          <w:color w:val="1F2937"/>
          <w:sz w:val="22"/>
          <w:szCs w:val="22"/>
        </w:rPr>
        <w:t xml:space="preserve">Architecture-invariance 검증을 위해 유지하지만, gDTR 측정은 보조 분석으로 한정. v1의 MLM-적응 3가지 전략(SP/C/UR)은 폐기하고, MLM에는 UR-gDTR(cosine 기반)만 적용.</w:t>
      </w:r>
    </w:p>
    <w:p>
      <w:pPr>
        <w:pStyle w:val="Heading2"/>
        <w:spacing w:after="140" w:before="280"/>
      </w:pPr>
      <w:r>
        <w:rPr>
          <w:rFonts w:ascii="맑은 고딕" w:cs="맑은 고딕" w:eastAsia="맑은 고딕" w:hAnsi="맑은 고딕"/>
          <w:b/>
          <w:bCs/>
          <w:color w:val="1E3A8A"/>
          <w:sz w:val="26"/>
          <w:szCs w:val="26"/>
        </w:rPr>
        <w:t xml:space="preserve">3.2 gDTR 방법론 — CLM 직접 적용</w:t>
      </w:r>
    </w:p>
    <w:p>
      <w:pPr>
        <w:pStyle w:val="Heading3"/>
        <w:spacing w:after="100" w:before="220"/>
      </w:pPr>
      <w:r>
        <w:rPr>
          <w:rFonts w:ascii="맑은 고딕" w:cs="맑은 고딕" w:eastAsia="맑은 고딕" w:hAnsi="맑은 고딕"/>
          <w:b/>
          <w:bCs/>
          <w:color w:val="374151"/>
          <w:sz w:val="23"/>
          <w:szCs w:val="23"/>
        </w:rPr>
        <w:t xml:space="preserve">3.2.1 Original DTR을 Evo 2에 적용 (Primary 방법)</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Evo 2는 autoregressive CLM이므로 Chen et al. (2026)의 원본 DTR 공식을 변형 없이 직접 적용한다.</w:t>
      </w:r>
    </w:p>
    <w:p>
      <w:pPr>
        <w:pStyle w:val="ListParagraph"/>
        <w:numPr>
          <w:ilvl w:val="0"/>
          <w:numId w:val="3"/>
        </w:numPr>
        <w:spacing w:after="40" w:before="40" w:line="300"/>
      </w:pPr>
      <w:r>
        <w:rPr>
          <w:rFonts w:ascii="맑은 고딕" w:cs="맑은 고딕" w:eastAsia="맑은 고딕" w:hAnsi="맑은 고딕"/>
          <w:b/>
          <w:bCs/>
          <w:i w:val="false"/>
          <w:iCs w:val="false"/>
          <w:color w:val="1F2937"/>
          <w:sz w:val="22"/>
          <w:szCs w:val="22"/>
        </w:rPr>
        <w:t xml:space="preserve">Forward 단계. </w:t>
      </w:r>
      <w:r>
        <w:rPr>
          <w:rFonts w:ascii="맑은 고딕" w:cs="맑은 고딕" w:eastAsia="맑은 고딕" w:hAnsi="맑은 고딕"/>
          <w:b w:val="false"/>
          <w:bCs w:val="false"/>
          <w:i w:val="false"/>
          <w:iCs w:val="false"/>
          <w:color w:val="1F2937"/>
          <w:sz w:val="22"/>
          <w:szCs w:val="22"/>
        </w:rPr>
        <w:t xml:space="preserve">관심 region의 6 kb context를 Evo 2에 입력. PyTorch hook(또는 output_hidden_states=True)으로 모든 32 layer의 residual stream을 획득.</w:t>
      </w:r>
    </w:p>
    <w:p>
      <w:pPr>
        <w:pStyle w:val="ListParagraph"/>
        <w:numPr>
          <w:ilvl w:val="0"/>
          <w:numId w:val="3"/>
        </w:numPr>
        <w:spacing w:after="40" w:before="40" w:line="300"/>
      </w:pPr>
      <w:r>
        <w:rPr>
          <w:rFonts w:ascii="맑은 고딕" w:cs="맑은 고딕" w:eastAsia="맑은 고딕" w:hAnsi="맑은 고딕"/>
          <w:b/>
          <w:bCs/>
          <w:i w:val="false"/>
          <w:iCs w:val="false"/>
          <w:color w:val="1F2937"/>
          <w:sz w:val="22"/>
          <w:szCs w:val="22"/>
        </w:rPr>
        <w:t xml:space="preserve">Logit lens 적용. </w:t>
      </w:r>
      <w:r>
        <w:rPr>
          <w:rFonts w:ascii="맑은 고딕" w:cs="맑은 고딕" w:eastAsia="맑은 고딕" w:hAnsi="맑은 고딕"/>
          <w:b w:val="false"/>
          <w:bCs w:val="false"/>
          <w:i w:val="false"/>
          <w:iCs w:val="false"/>
          <w:color w:val="1F2937"/>
          <w:sz w:val="22"/>
          <w:szCs w:val="22"/>
        </w:rPr>
        <w:t xml:space="preserve">각 layer l에서 hidden state h(i,l)을 final layer norm → unembedding(model.lm_head)에 통과시켜 layer별 prediction p(i,l)을 산출. tied weight를 사용한다.</w:t>
      </w:r>
    </w:p>
    <w:p>
      <w:pPr>
        <w:pStyle w:val="ListParagraph"/>
        <w:numPr>
          <w:ilvl w:val="0"/>
          <w:numId w:val="3"/>
        </w:numPr>
        <w:spacing w:after="40" w:before="40" w:line="300"/>
      </w:pPr>
      <w:r>
        <w:rPr>
          <w:rFonts w:ascii="맑은 고딕" w:cs="맑은 고딕" w:eastAsia="맑은 고딕" w:hAnsi="맑은 고딕"/>
          <w:b/>
          <w:bCs/>
          <w:i w:val="false"/>
          <w:iCs w:val="false"/>
          <w:color w:val="1F2937"/>
          <w:sz w:val="22"/>
          <w:szCs w:val="22"/>
        </w:rPr>
        <w:t xml:space="preserve">JSD trajectory. </w:t>
      </w:r>
      <w:r>
        <w:rPr>
          <w:rFonts w:ascii="맑은 고딕" w:cs="맑은 고딕" w:eastAsia="맑은 고딕" w:hAnsi="맑은 고딕"/>
          <w:b w:val="false"/>
          <w:bCs w:val="false"/>
          <w:i w:val="false"/>
          <w:iCs w:val="false"/>
          <w:color w:val="1F2937"/>
          <w:sz w:val="22"/>
          <w:szCs w:val="22"/>
        </w:rPr>
        <w:t xml:space="preserve">p(i,L)과의 JSD = D(i,l)을 layer별로 산출. Running minimum이 threshold γ 이하로 수렴하는 최초 layer를 settling depth c(i).</w:t>
      </w:r>
    </w:p>
    <w:p>
      <w:pPr>
        <w:pStyle w:val="ListParagraph"/>
        <w:numPr>
          <w:ilvl w:val="0"/>
          <w:numId w:val="3"/>
        </w:numPr>
        <w:spacing w:after="40" w:before="40" w:line="300"/>
      </w:pPr>
      <w:r>
        <w:rPr>
          <w:rFonts w:ascii="맑은 고딕" w:cs="맑은 고딕" w:eastAsia="맑은 고딕" w:hAnsi="맑은 고딕"/>
          <w:b/>
          <w:bCs/>
          <w:i w:val="false"/>
          <w:iCs w:val="false"/>
          <w:color w:val="1F2937"/>
          <w:sz w:val="22"/>
          <w:szCs w:val="22"/>
        </w:rPr>
        <w:t xml:space="preserve">Deep-thinking 분류. </w:t>
      </w:r>
      <w:r>
        <w:rPr>
          <w:rFonts w:ascii="맑은 고딕" w:cs="맑은 고딕" w:eastAsia="맑은 고딕" w:hAnsi="맑은 고딕"/>
          <w:b w:val="false"/>
          <w:bCs w:val="false"/>
          <w:i w:val="false"/>
          <w:iCs w:val="false"/>
          <w:color w:val="1F2937"/>
          <w:sz w:val="22"/>
          <w:szCs w:val="22"/>
        </w:rPr>
        <w:t xml:space="preserve">c(i) &gt; ρ·L 이면 deep-thinking position. 서열 내 비율이 gDTR.</w:t>
      </w:r>
    </w:p>
    <w:p>
      <w:pPr>
        <w:spacing w:after="80" w:before="80" w:line="320"/>
        <w:jc w:val="left"/>
      </w:pPr>
      <w:r>
        <w:rPr>
          <w:rFonts w:ascii="맑은 고딕" w:cs="맑은 고딕" w:eastAsia="맑은 고딕" w:hAnsi="맑은 고딕"/>
          <w:b w:val="false"/>
          <w:bCs w:val="false"/>
          <w:i w:val="false"/>
          <w:iCs w:val="false"/>
          <w:color w:val="1F2937"/>
          <w:sz w:val="22"/>
          <w:szCs w:val="22"/>
        </w:rPr>
        <w:t xml:space="preserve">Vocabulary가 작아(A/T/C/G + special) softmax 분포의 해상도가 NLP 모델보다 낮은 점을 보완하기 위해, JSD 값을 log|V|로 정규화하여 cross-model 비교 가능성을 확보한다.</w:t>
      </w:r>
    </w:p>
    <w:p>
      <w:pPr>
        <w:pStyle w:val="Heading3"/>
        <w:spacing w:after="100" w:before="220"/>
      </w:pPr>
      <w:r>
        <w:rPr>
          <w:rFonts w:ascii="맑은 고딕" w:cs="맑은 고딕" w:eastAsia="맑은 고딕" w:hAnsi="맑은 고딕"/>
          <w:b/>
          <w:bCs/>
          <w:color w:val="374151"/>
          <w:sz w:val="23"/>
          <w:szCs w:val="23"/>
        </w:rPr>
        <w:t xml:space="preserve">3.2.2 UR-gDTR (보조 신호 + MLM 비교군용)</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Vocabulary projection을 우회하는 보조 신호로, layer별 hidden state를 cosine distance로 비교한다.</w:t>
      </w:r>
    </w:p>
    <w:p>
      <w:pPr>
        <w:spacing w:after="60" w:before="60" w:line="320"/>
        <w:jc w:val="center"/>
      </w:pPr>
      <w:r>
        <w:rPr>
          <w:rFonts w:ascii="Consolas" w:cs="Consolas" w:eastAsia="Consolas" w:hAnsi="Consolas"/>
          <w:b w:val="false"/>
          <w:bCs w:val="false"/>
          <w:i w:val="false"/>
          <w:iCs w:val="false"/>
          <w:color w:val="1F2937"/>
          <w:sz w:val="22"/>
          <w:szCs w:val="22"/>
        </w:rPr>
        <w:t xml:space="preserve">        D(i,l) = 1 − cos(h(i,l), h(i,L))</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용도는 두 가지: (a) Evo 2에서 JSD-DTR과 일관성 cross-check (서로 다른 신호가 같은 position을 deep으로 지목하는지), (b) NT-v2/DNABERT-2(MLM 비교군)에서 vocabulary projection의 MLM-specific 해석 부담을 우회한 일관 비교 신호.</w:t>
      </w:r>
    </w:p>
    <w:p>
      <w:pPr>
        <w:pStyle w:val="Heading3"/>
        <w:spacing w:after="100" w:before="220"/>
      </w:pPr>
      <w:r>
        <w:rPr>
          <w:rFonts w:ascii="맑은 고딕" w:cs="맑은 고딕" w:eastAsia="맑은 고딕" w:hAnsi="맑은 고딕"/>
          <w:b/>
          <w:bCs/>
          <w:color w:val="374151"/>
          <w:sz w:val="23"/>
          <w:szCs w:val="23"/>
        </w:rPr>
        <w:t xml:space="preserve">3.2.3 Hyena/StripedHyena layer에 대한 logit lens 보정 검토</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StripedHyena 2의 일부 layer는 attention이 아닌 Hyena conv block이다. logit lens가 attention block의 residual에서는 깔끔하게 동작하지만, conv block 직후의 residual에서도 동일하게 의미 있는지는 사전 검증이 필요하다. 다음의 sanity check를 Phase 0에서 수행한다.</w:t>
      </w:r>
    </w:p>
    <w:p>
      <w:pPr>
        <w:pStyle w:val="ListParagraph"/>
        <w:numPr>
          <w:ilvl w:val="0"/>
          <w:numId w:val="2"/>
        </w:numPr>
        <w:spacing w:after="40" w:before="40" w:line="300"/>
      </w:pPr>
      <w:r>
        <w:rPr>
          <w:rFonts w:ascii="맑은 고딕" w:cs="맑은 고딕" w:eastAsia="맑은 고딕" w:hAnsi="맑은 고딕"/>
          <w:b w:val="false"/>
          <w:bCs w:val="false"/>
          <w:i w:val="false"/>
          <w:iCs w:val="false"/>
          <w:color w:val="1F2937"/>
          <w:sz w:val="22"/>
          <w:szCs w:val="22"/>
        </w:rPr>
        <w:t xml:space="preserve">각 layer 직후 residual의 logit lens top-1 예측이 'monotonic하게 final 예측에 수렴하는가' 시각화</w:t>
      </w:r>
    </w:p>
    <w:p>
      <w:pPr>
        <w:pStyle w:val="ListParagraph"/>
        <w:numPr>
          <w:ilvl w:val="0"/>
          <w:numId w:val="2"/>
        </w:numPr>
        <w:spacing w:after="40" w:before="40" w:line="300"/>
      </w:pPr>
      <w:r>
        <w:rPr>
          <w:rFonts w:ascii="맑은 고딕" w:cs="맑은 고딕" w:eastAsia="맑은 고딕" w:hAnsi="맑은 고딕"/>
          <w:b w:val="false"/>
          <w:bCs w:val="false"/>
          <w:i w:val="false"/>
          <w:iCs w:val="false"/>
          <w:color w:val="1F2937"/>
          <w:sz w:val="22"/>
          <w:szCs w:val="22"/>
        </w:rPr>
        <w:t xml:space="preserve">Attention block 직후와 Hyena block 직후에서 JSD 변화량의 분포 비교 — 특정 block이 신호를 일관되게 왜곡하면 tuned lens (Belrose 2023) 적용 검토</w:t>
      </w:r>
    </w:p>
    <w:p>
      <w:pPr>
        <w:pStyle w:val="Heading3"/>
        <w:spacing w:after="100" w:before="220"/>
      </w:pPr>
      <w:r>
        <w:rPr>
          <w:rFonts w:ascii="맑은 고딕" w:cs="맑은 고딕" w:eastAsia="맑은 고딕" w:hAnsi="맑은 고딕"/>
          <w:b/>
          <w:bCs/>
          <w:color w:val="374151"/>
          <w:sz w:val="23"/>
          <w:szCs w:val="23"/>
        </w:rPr>
        <w:t xml:space="preserve">3.2.4 Hyperparameter 최적화</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원본 DTR의 default(γ=0.5, ρ=0.85)가 genomic context에 적절한지 검증.</w:t>
      </w:r>
    </w:p>
    <w:p>
      <w:pPr>
        <w:pStyle w:val="ListParagraph"/>
        <w:numPr>
          <w:ilvl w:val="0"/>
          <w:numId w:val="2"/>
        </w:numPr>
        <w:spacing w:after="40" w:before="40" w:line="300"/>
      </w:pPr>
      <w:r>
        <w:rPr>
          <w:rFonts w:ascii="맑은 고딕" w:cs="맑은 고딕" w:eastAsia="맑은 고딕" w:hAnsi="맑은 고딕"/>
          <w:b/>
          <w:bCs/>
          <w:i w:val="false"/>
          <w:iCs w:val="false"/>
          <w:color w:val="1F2937"/>
          <w:sz w:val="22"/>
          <w:szCs w:val="22"/>
        </w:rPr>
        <w:t xml:space="preserve">Threshold γ ∈ {0.1, 0.25, 0.5, 0.75}</w:t>
      </w:r>
      <w:r>
        <w:rPr>
          <w:rFonts w:ascii="맑은 고딕" w:cs="맑은 고딕" w:eastAsia="맑은 고딕" w:hAnsi="맑은 고딕"/>
          <w:b w:val="false"/>
          <w:bCs w:val="false"/>
          <w:i w:val="false"/>
          <w:iCs w:val="false"/>
          <w:color w:val="1F2937"/>
          <w:sz w:val="22"/>
          <w:szCs w:val="22"/>
        </w:rPr>
        <w:t xml:space="preserve"> : Vocabulary가 작은 genomic 모델에서 JSD 분포 범위가 NLP와 다를 수 있음</w:t>
      </w:r>
    </w:p>
    <w:p>
      <w:pPr>
        <w:pStyle w:val="ListParagraph"/>
        <w:numPr>
          <w:ilvl w:val="0"/>
          <w:numId w:val="2"/>
        </w:numPr>
        <w:spacing w:after="40" w:before="40" w:line="300"/>
      </w:pPr>
      <w:r>
        <w:rPr>
          <w:rFonts w:ascii="맑은 고딕" w:cs="맑은 고딕" w:eastAsia="맑은 고딕" w:hAnsi="맑은 고딕"/>
          <w:b/>
          <w:bCs/>
          <w:i w:val="false"/>
          <w:iCs w:val="false"/>
          <w:color w:val="1F2937"/>
          <w:sz w:val="22"/>
          <w:szCs w:val="22"/>
        </w:rPr>
        <w:t xml:space="preserve">Depth fraction ρ ∈ {0.7, 0.8, 0.85, 0.9}</w:t>
      </w:r>
      <w:r>
        <w:rPr>
          <w:rFonts w:ascii="맑은 고딕" w:cs="맑은 고딕" w:eastAsia="맑은 고딕" w:hAnsi="맑은 고딕"/>
          <w:b w:val="false"/>
          <w:bCs w:val="false"/>
          <w:i w:val="false"/>
          <w:iCs w:val="false"/>
          <w:color w:val="1F2937"/>
          <w:sz w:val="22"/>
          <w:szCs w:val="22"/>
        </w:rPr>
        <w:t xml:space="preserve"> : Evo 2 32 layer에서 'deep' regime의 정의 확인</w:t>
      </w:r>
    </w:p>
    <w:p>
      <w:pPr>
        <w:pStyle w:val="ListParagraph"/>
        <w:numPr>
          <w:ilvl w:val="0"/>
          <w:numId w:val="2"/>
        </w:numPr>
        <w:spacing w:after="40" w:before="40" w:line="300"/>
      </w:pPr>
      <w:r>
        <w:rPr>
          <w:rFonts w:ascii="맑은 고딕" w:cs="맑은 고딕" w:eastAsia="맑은 고딕" w:hAnsi="맑은 고딕"/>
          <w:b/>
          <w:bCs/>
          <w:i w:val="false"/>
          <w:iCs w:val="false"/>
          <w:color w:val="1F2937"/>
          <w:sz w:val="22"/>
          <w:szCs w:val="22"/>
        </w:rPr>
        <w:t xml:space="preserve">Validation 기준</w:t>
      </w:r>
      <w:r>
        <w:rPr>
          <w:rFonts w:ascii="맑은 고딕" w:cs="맑은 고딕" w:eastAsia="맑은 고딕" w:hAnsi="맑은 고딕"/>
          <w:b w:val="false"/>
          <w:bCs w:val="false"/>
          <w:i w:val="false"/>
          <w:iCs w:val="false"/>
          <w:color w:val="1F2937"/>
          <w:sz w:val="22"/>
          <w:szCs w:val="22"/>
        </w:rPr>
        <w:t xml:space="preserve"> : Known functional elements(splice site, promoter, CTCF binding site)에서의 gDTR이 intergenic region 대비 유의하게 높은지</w:t>
      </w:r>
    </w:p>
    <w:p>
      <w:r>
        <w:br w:type="page"/>
      </w:r>
    </w:p>
    <w:p>
      <w:pPr>
        <w:pStyle w:val="Heading2"/>
        <w:spacing w:after="140" w:before="280"/>
      </w:pPr>
      <w:r>
        <w:rPr>
          <w:rFonts w:ascii="맑은 고딕" w:cs="맑은 고딕" w:eastAsia="맑은 고딕" w:hAnsi="맑은 고딕"/>
          <w:b/>
          <w:bCs/>
          <w:color w:val="1E3A8A"/>
          <w:sz w:val="26"/>
          <w:szCs w:val="26"/>
        </w:rPr>
        <w:t xml:space="preserve">3.3 Phase 구성 (재정렬)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4400"/>
        <w:gridCol w:w="2560"/>
      </w:tblGrid>
      <w:tr>
        <w:tc>
          <w:tcPr>
            <w:tcW w:type="dxa" w:w="110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Phase</w:t>
            </w:r>
          </w:p>
        </w:tc>
        <w:tc>
          <w:tcPr>
            <w:tcW w:type="dxa" w:w="130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기간</w:t>
            </w:r>
          </w:p>
        </w:tc>
        <w:tc>
          <w:tcPr>
            <w:tcW w:type="dxa" w:w="440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주요 활동</w:t>
            </w:r>
          </w:p>
        </w:tc>
        <w:tc>
          <w:tcPr>
            <w:tcW w:type="dxa" w:w="256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산출물</w:t>
            </w:r>
          </w:p>
        </w:tc>
      </w:tr>
      <w:tr>
        <w:tc>
          <w:tcPr>
            <w:tcW w:type="dxa" w:w="1100"/>
            <w:tcBorders>
              <w:top w:val="single" w:color="9CA3AF" w:sz="4"/>
              <w:left w:val="single" w:color="9CA3AF" w:sz="4"/>
              <w:bottom w:val="single" w:color="9CA3AF" w:sz="4"/>
              <w:right w:val="single" w:color="9CA3AF" w:sz="4"/>
            </w:tcBorders>
            <w:shd w:fill="FEF3C7"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1F2937"/>
                <w:sz w:val="18"/>
                <w:szCs w:val="18"/>
              </w:rPr>
              <w:t xml:space="preserve">Phase 0
PoC</w:t>
            </w:r>
          </w:p>
        </w:tc>
        <w:tc>
          <w:tcPr>
            <w:tcW w:type="dxa" w:w="1300"/>
            <w:tcBorders>
              <w:top w:val="single" w:color="9CA3AF" w:sz="4"/>
              <w:left w:val="single" w:color="9CA3AF" w:sz="4"/>
              <w:bottom w:val="single" w:color="9CA3AF" w:sz="4"/>
              <w:right w:val="single" w:color="9CA3AF" w:sz="4"/>
            </w:tcBorders>
            <w:shd w:fill="FEF3C7"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Week 1–3</w:t>
            </w:r>
          </w:p>
        </w:tc>
        <w:tc>
          <w:tcPr>
            <w:tcW w:type="dxa" w:w="4400"/>
            <w:tcBorders>
              <w:top w:val="single" w:color="9CA3AF" w:sz="4"/>
              <w:left w:val="single" w:color="9CA3AF" w:sz="4"/>
              <w:bottom w:val="single" w:color="9CA3AF" w:sz="4"/>
              <w:right w:val="single" w:color="9CA3AF" w:sz="4"/>
            </w:tcBorders>
            <w:shd w:fill="FEF3C7" w:val="clear"/>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HyenaDNA(6.6M)에 gDTR 파이프라인 구축. TP53·BRCA1 region에서 gene structure(exon/intron) 패턴 확인. Logit lens sanity check.</w:t>
            </w:r>
          </w:p>
        </w:tc>
        <w:tc>
          <w:tcPr>
            <w:tcW w:type="dxa" w:w="2560"/>
            <w:tcBorders>
              <w:top w:val="single" w:color="9CA3AF" w:sz="4"/>
              <w:left w:val="single" w:color="9CA3AF" w:sz="4"/>
              <w:bottom w:val="single" w:color="9CA3AF" w:sz="4"/>
              <w:right w:val="single" w:color="9CA3AF" w:sz="4"/>
            </w:tcBorders>
            <w:shd w:fill="FEF3C7" w:val="clear"/>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Go/no-go gate. Prototype 코드.</w:t>
            </w:r>
          </w:p>
        </w:tc>
      </w:tr>
      <w:tr>
        <w:tc>
          <w:tcPr>
            <w:tcW w:type="dxa" w:w="11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1F2937"/>
                <w:sz w:val="18"/>
                <w:szCs w:val="18"/>
              </w:rPr>
              <w:t xml:space="preserve">Phase 1
방법론</w:t>
            </w:r>
          </w:p>
        </w:tc>
        <w:tc>
          <w:tcPr>
            <w:tcW w:type="dxa" w:w="1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Month 1–2</w:t>
            </w:r>
          </w:p>
        </w:tc>
        <w:tc>
          <w:tcPr>
            <w:tcW w:type="dxa" w:w="4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Evo 2 7B에서 DTR 직접 적용 + UR-gDTR 산출. Hyper-parameter calibration. StripedHyena layer logit lens 검증.</w:t>
            </w:r>
          </w:p>
        </w:tc>
        <w:tc>
          <w:tcPr>
            <w:tcW w:type="dxa" w:w="25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최적 gDTR 산출 method 확정.</w:t>
            </w:r>
          </w:p>
        </w:tc>
      </w:tr>
      <w:tr>
        <w:tc>
          <w:tcPr>
            <w:tcW w:type="dxa" w:w="11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1F2937"/>
                <w:sz w:val="18"/>
                <w:szCs w:val="18"/>
              </w:rPr>
              <w:t xml:space="preserve">Phase 2
Profiling</w:t>
            </w:r>
          </w:p>
        </w:tc>
        <w:tc>
          <w:tcPr>
            <w:tcW w:type="dxa" w:w="1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Month 2–3</w:t>
            </w:r>
          </w:p>
        </w:tc>
        <w:tc>
          <w:tcPr>
            <w:tcW w:type="dxa" w:w="4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Chr22 genome-wide gDTR profiling. Genomic context별 분포 비교. GC/entropy/shuffled-control 기반 confounder 통제.</w:t>
            </w:r>
          </w:p>
        </w:tc>
        <w:tc>
          <w:tcPr>
            <w:tcW w:type="dxa" w:w="25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gDTR–context 관계 map.</w:t>
            </w:r>
          </w:p>
        </w:tc>
      </w:tr>
      <w:tr>
        <w:tc>
          <w:tcPr>
            <w:tcW w:type="dxa" w:w="11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1F2937"/>
                <w:sz w:val="18"/>
                <w:szCs w:val="18"/>
              </w:rPr>
              <w:t xml:space="preserve">Phase 3
Variant</w:t>
            </w:r>
          </w:p>
        </w:tc>
        <w:tc>
          <w:tcPr>
            <w:tcW w:type="dxa" w:w="1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Month 3–4</w:t>
            </w:r>
          </w:p>
        </w:tc>
        <w:tc>
          <w:tcPr>
            <w:tcW w:type="dxa" w:w="4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ClinVar 15 cancer gene의 P/LP vs B/LB Δ-settling-depth 비교. CADD/AlphaMissense/Evo 2 likelihood 와 비교·ensemble.</w:t>
            </w:r>
          </w:p>
        </w:tc>
        <w:tc>
          <w:tcPr>
            <w:tcW w:type="dxa" w:w="25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Pathogenicity 정보량 평가.</w:t>
            </w:r>
          </w:p>
        </w:tc>
      </w:tr>
      <w:tr>
        <w:tc>
          <w:tcPr>
            <w:tcW w:type="dxa" w:w="11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1F2937"/>
                <w:sz w:val="18"/>
                <w:szCs w:val="18"/>
              </w:rPr>
              <w:t xml:space="preserve">Phase 4
Cross-arch</w:t>
            </w:r>
          </w:p>
        </w:tc>
        <w:tc>
          <w:tcPr>
            <w:tcW w:type="dxa" w:w="1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Month 4–5</w:t>
            </w:r>
          </w:p>
        </w:tc>
        <w:tc>
          <w:tcPr>
            <w:tcW w:type="dxa" w:w="4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Evo 2 vs HyenaDNA vs NT-v2 vs DNABERT-2 동일 region gDTR concordance. Architecture-specific vs invariant signal 분리.</w:t>
            </w:r>
          </w:p>
        </w:tc>
        <w:tc>
          <w:tcPr>
            <w:tcW w:type="dxa" w:w="25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Cross-architecture concordance report.</w:t>
            </w:r>
          </w:p>
        </w:tc>
      </w:tr>
      <w:tr>
        <w:tc>
          <w:tcPr>
            <w:tcW w:type="dxa" w:w="11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1F2937"/>
                <w:sz w:val="18"/>
                <w:szCs w:val="18"/>
              </w:rPr>
              <w:t xml:space="preserve">Phase 5
Discordance</w:t>
            </w:r>
          </w:p>
        </w:tc>
        <w:tc>
          <w:tcPr>
            <w:tcW w:type="dxa" w:w="1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Month 5</w:t>
            </w:r>
          </w:p>
        </w:tc>
        <w:tc>
          <w:tcPr>
            <w:tcW w:type="dxa" w:w="4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gDTR–PhyloP 사분면 분석. Q2(High gDTR / Low conservation) 영역의 ENCODE/GTEx enrichment.</w:t>
            </w:r>
          </w:p>
        </w:tc>
        <w:tc>
          <w:tcPr>
            <w:tcW w:type="dxa" w:w="25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Novel functional element 후보 목록.</w:t>
            </w:r>
          </w:p>
        </w:tc>
      </w:tr>
      <w:tr>
        <w:tc>
          <w:tcPr>
            <w:tcW w:type="dxa" w:w="1100"/>
            <w:tcBorders>
              <w:top w:val="single" w:color="9CA3AF" w:sz="4"/>
              <w:left w:val="single" w:color="9CA3AF" w:sz="4"/>
              <w:bottom w:val="single" w:color="9CA3AF" w:sz="4"/>
              <w:right w:val="single" w:color="9CA3AF" w:sz="4"/>
            </w:tcBorders>
            <w:shd w:fill="DBEAFE"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1F2937"/>
                <w:sz w:val="18"/>
                <w:szCs w:val="18"/>
              </w:rPr>
              <w:t xml:space="preserve">Phase 6
+SAE 결합 (옵션)</w:t>
            </w:r>
          </w:p>
        </w:tc>
        <w:tc>
          <w:tcPr>
            <w:tcW w:type="dxa" w:w="1300"/>
            <w:tcBorders>
              <w:top w:val="single" w:color="9CA3AF" w:sz="4"/>
              <w:left w:val="single" w:color="9CA3AF" w:sz="4"/>
              <w:bottom w:val="single" w:color="9CA3AF" w:sz="4"/>
              <w:right w:val="single" w:color="9CA3AF" w:sz="4"/>
            </w:tcBorders>
            <w:shd w:fill="DBEAFE"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Month 5–6</w:t>
            </w:r>
          </w:p>
        </w:tc>
        <w:tc>
          <w:tcPr>
            <w:tcW w:type="dxa" w:w="4400"/>
            <w:tcBorders>
              <w:top w:val="single" w:color="9CA3AF" w:sz="4"/>
              <w:left w:val="single" w:color="9CA3AF" w:sz="4"/>
              <w:bottom w:val="single" w:color="9CA3AF" w:sz="4"/>
              <w:right w:val="single" w:color="9CA3AF" w:sz="4"/>
            </w:tcBorders>
            <w:shd w:fill="DBEAFE" w:val="clear"/>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Goodfire 공개 SAE feature와 high-gDTR position의 동시 활성 분석. 'Deep-thinking position에서 어떤 feature가 발화하는가'.</w:t>
            </w:r>
          </w:p>
        </w:tc>
        <w:tc>
          <w:tcPr>
            <w:tcW w:type="dxa" w:w="2560"/>
            <w:tcBorders>
              <w:top w:val="single" w:color="9CA3AF" w:sz="4"/>
              <w:left w:val="single" w:color="9CA3AF" w:sz="4"/>
              <w:bottom w:val="single" w:color="9CA3AF" w:sz="4"/>
              <w:right w:val="single" w:color="9CA3AF" w:sz="4"/>
            </w:tcBorders>
            <w:shd w:fill="DBEAFE" w:val="clear"/>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gDTR×SAE 결합 분석 (확장).</w:t>
            </w:r>
          </w:p>
        </w:tc>
      </w:tr>
      <w:tr>
        <w:tc>
          <w:tcPr>
            <w:tcW w:type="dxa" w:w="11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1F2937"/>
                <w:sz w:val="18"/>
                <w:szCs w:val="18"/>
              </w:rPr>
              <w:t xml:space="preserve">논문 작성</w:t>
            </w:r>
          </w:p>
        </w:tc>
        <w:tc>
          <w:tcPr>
            <w:tcW w:type="dxa" w:w="1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Month 5–6</w:t>
            </w:r>
          </w:p>
        </w:tc>
        <w:tc>
          <w:tcPr>
            <w:tcW w:type="dxa" w:w="4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Manuscript drafting, figure 제작, 공동저자 리뷰</w:t>
            </w:r>
          </w:p>
        </w:tc>
        <w:tc>
          <w:tcPr>
            <w:tcW w:type="dxa" w:w="25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Submission-ready manuscript.</w:t>
            </w:r>
          </w:p>
        </w:tc>
      </w:tr>
    </w:tbl>
    <w:p>
      <w:pPr>
        <w:spacing w:after="60" w:before="60"/>
      </w:pPr>
      <w:r>
        <w:t xml:space="preserve"/>
      </w:r>
    </w:p>
    <w:p>
      <w:pPr>
        <w:pStyle w:val="Heading3"/>
        <w:spacing w:after="100" w:before="220"/>
      </w:pPr>
      <w:r>
        <w:rPr>
          <w:rFonts w:ascii="맑은 고딕" w:cs="맑은 고딕" w:eastAsia="맑은 고딕" w:hAnsi="맑은 고딕"/>
          <w:b/>
          <w:bCs/>
          <w:color w:val="374151"/>
          <w:sz w:val="23"/>
          <w:szCs w:val="23"/>
        </w:rPr>
        <w:t xml:space="preserve">Phase별 Milestone Gate</w:t>
      </w:r>
    </w:p>
    <w:p>
      <w:pPr>
        <w:pStyle w:val="ListParagraph"/>
        <w:numPr>
          <w:ilvl w:val="0"/>
          <w:numId w:val="2"/>
        </w:numPr>
        <w:spacing w:after="40" w:before="40" w:line="300"/>
      </w:pPr>
      <w:r>
        <w:rPr>
          <w:rFonts w:ascii="맑은 고딕" w:cs="맑은 고딕" w:eastAsia="맑은 고딕" w:hAnsi="맑은 고딕"/>
          <w:b/>
          <w:bCs/>
          <w:i w:val="false"/>
          <w:iCs w:val="false"/>
          <w:color w:val="1F2937"/>
          <w:sz w:val="22"/>
          <w:szCs w:val="22"/>
        </w:rPr>
        <w:t xml:space="preserve">Phase 0 → 1: </w:t>
      </w:r>
      <w:r>
        <w:rPr>
          <w:rFonts w:ascii="맑은 고딕" w:cs="맑은 고딕" w:eastAsia="맑은 고딕" w:hAnsi="맑은 고딕"/>
          <w:b w:val="false"/>
          <w:bCs w:val="false"/>
          <w:i w:val="false"/>
          <w:iCs w:val="false"/>
          <w:color w:val="1F2937"/>
          <w:sz w:val="22"/>
          <w:szCs w:val="22"/>
        </w:rPr>
        <w:t xml:space="preserve">HyenaDNA gDTR이 exon/intron boundary에서 visible한 transition을 보이는가? (No이면 logit lens 적용 layer 위치 재검토 또는 UR-gDTR로 우회)</w:t>
      </w:r>
    </w:p>
    <w:p>
      <w:pPr>
        <w:pStyle w:val="ListParagraph"/>
        <w:numPr>
          <w:ilvl w:val="0"/>
          <w:numId w:val="2"/>
        </w:numPr>
        <w:spacing w:after="40" w:before="40" w:line="300"/>
      </w:pPr>
      <w:r>
        <w:rPr>
          <w:rFonts w:ascii="맑은 고딕" w:cs="맑은 고딕" w:eastAsia="맑은 고딕" w:hAnsi="맑은 고딕"/>
          <w:b/>
          <w:bCs/>
          <w:i w:val="false"/>
          <w:iCs w:val="false"/>
          <w:color w:val="1F2937"/>
          <w:sz w:val="22"/>
          <w:szCs w:val="22"/>
        </w:rPr>
        <w:t xml:space="preserve">Phase 1 → 2: </w:t>
      </w:r>
      <w:r>
        <w:rPr>
          <w:rFonts w:ascii="맑은 고딕" w:cs="맑은 고딕" w:eastAsia="맑은 고딕" w:hAnsi="맑은 고딕"/>
          <w:b w:val="false"/>
          <w:bCs w:val="false"/>
          <w:i w:val="false"/>
          <w:iCs w:val="false"/>
          <w:color w:val="1F2937"/>
          <w:sz w:val="22"/>
          <w:szCs w:val="22"/>
        </w:rPr>
        <w:t xml:space="preserve">Evo 2 gDTR이 known splice site/promoter에서 intergenic region 대비 유의하게 다른가? (Bonferroni-corrected p &lt; 0.001)</w:t>
      </w:r>
    </w:p>
    <w:p>
      <w:pPr>
        <w:pStyle w:val="ListParagraph"/>
        <w:numPr>
          <w:ilvl w:val="0"/>
          <w:numId w:val="2"/>
        </w:numPr>
        <w:spacing w:after="40" w:before="40" w:line="300"/>
      </w:pPr>
      <w:r>
        <w:rPr>
          <w:rFonts w:ascii="맑은 고딕" w:cs="맑은 고딕" w:eastAsia="맑은 고딕" w:hAnsi="맑은 고딕"/>
          <w:b/>
          <w:bCs/>
          <w:i w:val="false"/>
          <w:iCs w:val="false"/>
          <w:color w:val="1F2937"/>
          <w:sz w:val="22"/>
          <w:szCs w:val="22"/>
        </w:rPr>
        <w:t xml:space="preserve">Phase 3 결과 분기: </w:t>
      </w:r>
      <w:r>
        <w:rPr>
          <w:rFonts w:ascii="맑은 고딕" w:cs="맑은 고딕" w:eastAsia="맑은 고딕" w:hAnsi="맑은 고딕"/>
          <w:b w:val="false"/>
          <w:bCs w:val="false"/>
          <w:i w:val="false"/>
          <w:iCs w:val="false"/>
          <w:color w:val="1F2937"/>
          <w:sz w:val="22"/>
          <w:szCs w:val="22"/>
        </w:rPr>
        <w:t xml:space="preserve">Δ-gDTR pathogenicity AUROC ≥ 0.65이면 positive result로 보고, 0.55–0.65는 mixed signal로 ensemble 효과 강조, &lt; 0.55는 informative negative로 reframing.</w:t>
      </w:r>
    </w:p>
    <w:p>
      <w:r>
        <w:br w:type="page"/>
      </w:r>
    </w:p>
    <w:p>
      <w:pPr>
        <w:pStyle w:val="Heading2"/>
        <w:spacing w:after="140" w:before="280"/>
      </w:pPr>
      <w:r>
        <w:rPr>
          <w:rFonts w:ascii="맑은 고딕" w:cs="맑은 고딕" w:eastAsia="맑은 고딕" w:hAnsi="맑은 고딕"/>
          <w:b/>
          <w:bCs/>
          <w:color w:val="1E3A8A"/>
          <w:sz w:val="26"/>
          <w:szCs w:val="26"/>
        </w:rPr>
        <w:t xml:space="preserve">3.4 Phase 0 — HyenaDNA PoC (신규 추가)</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v1에는 없던 단계로, 본 실험 진입 전에 방법론의 기본 타당성을 저비용으로 검증하기 위해 추가했다. Evo 2가 막대한 클라우드 비용을 요구하므로, 같은 Hyena 계열의 작은 모델로 먼저 코드·신호·해석 패턴을 확립한다.</w:t>
      </w:r>
    </w:p>
    <w:p>
      <w:pPr>
        <w:pStyle w:val="Heading3"/>
        <w:spacing w:after="100" w:before="220"/>
      </w:pPr>
      <w:r>
        <w:rPr>
          <w:rFonts w:ascii="맑은 고딕" w:cs="맑은 고딕" w:eastAsia="맑은 고딕" w:hAnsi="맑은 고딕"/>
          <w:b/>
          <w:bCs/>
          <w:color w:val="374151"/>
          <w:sz w:val="23"/>
          <w:szCs w:val="23"/>
        </w:rPr>
        <w:t xml:space="preserve">3.4.1 PoC 구체 작업</w:t>
      </w:r>
    </w:p>
    <w:p>
      <w:pPr>
        <w:pStyle w:val="ListParagraph"/>
        <w:numPr>
          <w:ilvl w:val="0"/>
          <w:numId w:val="3"/>
        </w:numPr>
        <w:spacing w:after="40" w:before="40" w:line="300"/>
      </w:pPr>
      <w:r>
        <w:rPr>
          <w:rFonts w:ascii="맑은 고딕" w:cs="맑은 고딕" w:eastAsia="맑은 고딕" w:hAnsi="맑은 고딕"/>
          <w:b/>
          <w:bCs/>
          <w:i w:val="false"/>
          <w:iCs w:val="false"/>
          <w:color w:val="1F2937"/>
          <w:sz w:val="22"/>
          <w:szCs w:val="22"/>
        </w:rPr>
        <w:t xml:space="preserve">환경 구축. </w:t>
      </w:r>
      <w:r>
        <w:rPr>
          <w:rFonts w:ascii="맑은 고딕" w:cs="맑은 고딕" w:eastAsia="맑은 고딕" w:hAnsi="맑은 고딕"/>
          <w:b w:val="false"/>
          <w:bCs w:val="false"/>
          <w:i w:val="false"/>
          <w:iCs w:val="false"/>
          <w:color w:val="1F2937"/>
          <w:sz w:val="22"/>
          <w:szCs w:val="22"/>
        </w:rPr>
        <w:t xml:space="preserve">RTX 3090 또는 Colab GPU 한 장. HyenaDNA-medium-160k(6.6M) 또는 HyenaDNA-large(28M) 로드. PyTorch hook으로 모든 layer hidden state 획득.</w:t>
      </w:r>
    </w:p>
    <w:p>
      <w:pPr>
        <w:pStyle w:val="ListParagraph"/>
        <w:numPr>
          <w:ilvl w:val="0"/>
          <w:numId w:val="3"/>
        </w:numPr>
        <w:spacing w:after="40" w:before="40" w:line="300"/>
      </w:pPr>
      <w:r>
        <w:rPr>
          <w:rFonts w:ascii="맑은 고딕" w:cs="맑은 고딕" w:eastAsia="맑은 고딕" w:hAnsi="맑은 고딕"/>
          <w:b/>
          <w:bCs/>
          <w:i w:val="false"/>
          <w:iCs w:val="false"/>
          <w:color w:val="1F2937"/>
          <w:sz w:val="22"/>
          <w:szCs w:val="22"/>
        </w:rPr>
        <w:t xml:space="preserve">Logit lens sanity check. </w:t>
      </w:r>
      <w:r>
        <w:rPr>
          <w:rFonts w:ascii="맑은 고딕" w:cs="맑은 고딕" w:eastAsia="맑은 고딕" w:hAnsi="맑은 고딕"/>
          <w:b w:val="false"/>
          <w:bCs w:val="false"/>
          <w:i w:val="false"/>
          <w:iCs w:val="false"/>
          <w:color w:val="1F2937"/>
          <w:sz w:val="22"/>
          <w:szCs w:val="22"/>
        </w:rPr>
        <w:t xml:space="preserve">임의의 6 kb random sequence 100개에 대해 layer별 top-1 예측의 최종 layer 일치율을 layer 순으로 plot. monotonic 수렴이면 OK.</w:t>
      </w:r>
    </w:p>
    <w:p>
      <w:pPr>
        <w:pStyle w:val="ListParagraph"/>
        <w:numPr>
          <w:ilvl w:val="0"/>
          <w:numId w:val="3"/>
        </w:numPr>
        <w:spacing w:after="40" w:before="40" w:line="300"/>
      </w:pPr>
      <w:r>
        <w:rPr>
          <w:rFonts w:ascii="맑은 고딕" w:cs="맑은 고딕" w:eastAsia="맑은 고딕" w:hAnsi="맑은 고딕"/>
          <w:b/>
          <w:bCs/>
          <w:i w:val="false"/>
          <w:iCs w:val="false"/>
          <w:color w:val="1F2937"/>
          <w:sz w:val="22"/>
          <w:szCs w:val="22"/>
        </w:rPr>
        <w:t xml:space="preserve">Gene structure pattern check. </w:t>
      </w:r>
      <w:r>
        <w:rPr>
          <w:rFonts w:ascii="맑은 고딕" w:cs="맑은 고딕" w:eastAsia="맑은 고딕" w:hAnsi="맑은 고딕"/>
          <w:b w:val="false"/>
          <w:bCs w:val="false"/>
          <w:i w:val="false"/>
          <w:iCs w:val="false"/>
          <w:color w:val="1F2937"/>
          <w:sz w:val="22"/>
          <w:szCs w:val="22"/>
        </w:rPr>
        <w:t xml:space="preserve">TP53(약 19 kb), BRCA1(약 81 kb)에서 exon-intron boundary가 gDTR profile에서 visible한 transition을 만드는지 시각화.</w:t>
      </w:r>
    </w:p>
    <w:p>
      <w:pPr>
        <w:pStyle w:val="ListParagraph"/>
        <w:numPr>
          <w:ilvl w:val="0"/>
          <w:numId w:val="3"/>
        </w:numPr>
        <w:spacing w:after="40" w:before="40" w:line="300"/>
      </w:pPr>
      <w:r>
        <w:rPr>
          <w:rFonts w:ascii="맑은 고딕" w:cs="맑은 고딕" w:eastAsia="맑은 고딕" w:hAnsi="맑은 고딕"/>
          <w:b/>
          <w:bCs/>
          <w:i w:val="false"/>
          <w:iCs w:val="false"/>
          <w:color w:val="1F2937"/>
          <w:sz w:val="22"/>
          <w:szCs w:val="22"/>
        </w:rPr>
        <w:t xml:space="preserve">Variant pilot. </w:t>
      </w:r>
      <w:r>
        <w:rPr>
          <w:rFonts w:ascii="맑은 고딕" w:cs="맑은 고딕" w:eastAsia="맑은 고딕" w:hAnsi="맑은 고딕"/>
          <w:b w:val="false"/>
          <w:bCs w:val="false"/>
          <w:i w:val="false"/>
          <w:iCs w:val="false"/>
          <w:color w:val="1F2937"/>
          <w:sz w:val="22"/>
          <w:szCs w:val="22"/>
        </w:rPr>
        <w:t xml:space="preserve">TP53의 hotspot variant(R175H, R248Q, R273H) 3–5개에 대해 Δ-settling-depth 산출. Pathogenic이 |Δc| &gt; 0을 보이는가.</w:t>
      </w:r>
    </w:p>
    <w:p>
      <w:pPr>
        <w:pStyle w:val="Heading3"/>
        <w:spacing w:after="100" w:before="220"/>
      </w:pPr>
      <w:r>
        <w:rPr>
          <w:rFonts w:ascii="맑은 고딕" w:cs="맑은 고딕" w:eastAsia="맑은 고딕" w:hAnsi="맑은 고딕"/>
          <w:b/>
          <w:bCs/>
          <w:color w:val="374151"/>
          <w:sz w:val="23"/>
          <w:szCs w:val="23"/>
        </w:rPr>
        <w:t xml:space="preserve">3.4.2 PoC 산출물 및 결정 기준</w:t>
      </w:r>
    </w:p>
    <w:p>
      <w:pPr>
        <w:pStyle w:val="ListParagraph"/>
        <w:numPr>
          <w:ilvl w:val="0"/>
          <w:numId w:val="2"/>
        </w:numPr>
        <w:spacing w:after="40" w:before="40" w:line="300"/>
      </w:pPr>
      <w:r>
        <w:rPr>
          <w:rFonts w:ascii="맑은 고딕" w:cs="맑은 고딕" w:eastAsia="맑은 고딕" w:hAnsi="맑은 고딕"/>
          <w:b w:val="false"/>
          <w:bCs w:val="false"/>
          <w:i w:val="false"/>
          <w:iCs w:val="false"/>
          <w:color w:val="1F2937"/>
          <w:sz w:val="22"/>
          <w:szCs w:val="22"/>
        </w:rPr>
        <w:t xml:space="preserve">PoC 코드 (HuggingFace Transformers + PyTorch hook 표준 패턴): GitHub WIP repository로 공개</w:t>
      </w:r>
    </w:p>
    <w:p>
      <w:pPr>
        <w:pStyle w:val="ListParagraph"/>
        <w:numPr>
          <w:ilvl w:val="0"/>
          <w:numId w:val="2"/>
        </w:numPr>
        <w:spacing w:after="40" w:before="40" w:line="300"/>
      </w:pPr>
      <w:r>
        <w:rPr>
          <w:rFonts w:ascii="맑은 고딕" w:cs="맑은 고딕" w:eastAsia="맑은 고딕" w:hAnsi="맑은 고딕"/>
          <w:b w:val="false"/>
          <w:bCs w:val="false"/>
          <w:i w:val="false"/>
          <w:iCs w:val="false"/>
          <w:color w:val="1F2937"/>
          <w:sz w:val="22"/>
          <w:szCs w:val="22"/>
        </w:rPr>
        <w:t xml:space="preserve">Decision: gene structure에서 non-random pattern 확인 시 Phase 1 진입. Flat noise이면 logit lens 적용 layer를 attention block 직후로 한정하거나 tuned lens 도입 검토.</w:t>
      </w:r>
    </w:p>
    <w:p>
      <w:pPr>
        <w:pStyle w:val="Heading2"/>
        <w:spacing w:after="140" w:before="280"/>
      </w:pPr>
      <w:r>
        <w:rPr>
          <w:rFonts w:ascii="맑은 고딕" w:cs="맑은 고딕" w:eastAsia="맑은 고딕" w:hAnsi="맑은 고딕"/>
          <w:b/>
          <w:bCs/>
          <w:color w:val="1E3A8A"/>
          <w:sz w:val="26"/>
          <w:szCs w:val="26"/>
        </w:rPr>
        <w:t xml:space="preserve">3.5 Phase 1 — Evo 2 본 실험 셋업</w:t>
      </w:r>
    </w:p>
    <w:p>
      <w:pPr>
        <w:pStyle w:val="Heading3"/>
        <w:spacing w:after="100" w:before="220"/>
      </w:pPr>
      <w:r>
        <w:rPr>
          <w:rFonts w:ascii="맑은 고딕" w:cs="맑은 고딕" w:eastAsia="맑은 고딕" w:hAnsi="맑은 고딕"/>
          <w:b/>
          <w:bCs/>
          <w:color w:val="374151"/>
          <w:sz w:val="23"/>
          <w:szCs w:val="23"/>
        </w:rPr>
        <w:t xml:space="preserve">3.5.1 인프라 및 비용</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v1에서는 H100 가용 시간을 200 GPU-hour로만 명시했으나, v2에서는 클라우드 임대 기준의 구체적 비용을 산정한다.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1200"/>
        <w:gridCol w:w="1960"/>
      </w:tblGrid>
      <w:tr>
        <w:tc>
          <w:tcPr>
            <w:tcW w:type="dxa" w:w="400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작업</w:t>
            </w:r>
          </w:p>
        </w:tc>
        <w:tc>
          <w:tcPr>
            <w:tcW w:type="dxa" w:w="220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플랫폼/GPU</w:t>
            </w:r>
          </w:p>
        </w:tc>
        <w:tc>
          <w:tcPr>
            <w:tcW w:type="dxa" w:w="120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시간</w:t>
            </w:r>
          </w:p>
        </w:tc>
        <w:tc>
          <w:tcPr>
            <w:tcW w:type="dxa" w:w="196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예상 비용</w:t>
            </w:r>
          </w:p>
        </w:tc>
      </w:tr>
      <w:tr>
        <w:tc>
          <w:tcPr>
            <w:tcW w:type="dxa" w:w="40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HyenaDNA PoC 전체</w:t>
            </w:r>
          </w:p>
        </w:tc>
        <w:tc>
          <w:tcPr>
            <w:tcW w:type="dxa" w:w="2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RTX 3090 (로컬) / Colab</w:t>
            </w:r>
          </w:p>
        </w:tc>
        <w:tc>
          <w:tcPr>
            <w:tcW w:type="dxa" w:w="1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~30 hr</w:t>
            </w:r>
          </w:p>
        </w:tc>
        <w:tc>
          <w:tcPr>
            <w:tcW w:type="dxa" w:w="19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$0 (로컬)</w:t>
            </w:r>
          </w:p>
        </w:tc>
      </w:tr>
      <w:tr>
        <w:tc>
          <w:tcPr>
            <w:tcW w:type="dxa" w:w="40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Evo 2: hyperparameter sweep + sanity check</w:t>
            </w:r>
          </w:p>
        </w:tc>
        <w:tc>
          <w:tcPr>
            <w:tcW w:type="dxa" w:w="2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Lambda H100 80GB</w:t>
            </w:r>
          </w:p>
        </w:tc>
        <w:tc>
          <w:tcPr>
            <w:tcW w:type="dxa" w:w="1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~10 hr</w:t>
            </w:r>
          </w:p>
        </w:tc>
        <w:tc>
          <w:tcPr>
            <w:tcW w:type="dxa" w:w="19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~$25</w:t>
            </w:r>
          </w:p>
        </w:tc>
      </w:tr>
      <w:tr>
        <w:tc>
          <w:tcPr>
            <w:tcW w:type="dxa" w:w="40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Evo 2: Chr22 genome-wide gDTR profiling</w:t>
            </w:r>
          </w:p>
        </w:tc>
        <w:tc>
          <w:tcPr>
            <w:tcW w:type="dxa" w:w="2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Lambda H100 80GB</w:t>
            </w:r>
          </w:p>
        </w:tc>
        <w:tc>
          <w:tcPr>
            <w:tcW w:type="dxa" w:w="1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~30 hr</w:t>
            </w:r>
          </w:p>
        </w:tc>
        <w:tc>
          <w:tcPr>
            <w:tcW w:type="dxa" w:w="19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~$75</w:t>
            </w:r>
          </w:p>
        </w:tc>
      </w:tr>
      <w:tr>
        <w:tc>
          <w:tcPr>
            <w:tcW w:type="dxa" w:w="40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Evo 2: ClinVar variant Δ-gDTR (10K variants)</w:t>
            </w:r>
          </w:p>
        </w:tc>
        <w:tc>
          <w:tcPr>
            <w:tcW w:type="dxa" w:w="2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Lambda H100 80GB</w:t>
            </w:r>
          </w:p>
        </w:tc>
        <w:tc>
          <w:tcPr>
            <w:tcW w:type="dxa" w:w="1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~20 hr</w:t>
            </w:r>
          </w:p>
        </w:tc>
        <w:tc>
          <w:tcPr>
            <w:tcW w:type="dxa" w:w="19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~$50</w:t>
            </w:r>
          </w:p>
        </w:tc>
      </w:tr>
      <w:tr>
        <w:tc>
          <w:tcPr>
            <w:tcW w:type="dxa" w:w="40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Cross-arch: NT-v2, DNABERT-2 보조 측정</w:t>
            </w:r>
          </w:p>
        </w:tc>
        <w:tc>
          <w:tcPr>
            <w:tcW w:type="dxa" w:w="2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A100 40GB (GCP/AWS spot)</w:t>
            </w:r>
          </w:p>
        </w:tc>
        <w:tc>
          <w:tcPr>
            <w:tcW w:type="dxa" w:w="1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~30 hr</w:t>
            </w:r>
          </w:p>
        </w:tc>
        <w:tc>
          <w:tcPr>
            <w:tcW w:type="dxa" w:w="19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~$30</w:t>
            </w:r>
          </w:p>
        </w:tc>
      </w:tr>
      <w:tr>
        <w:tc>
          <w:tcPr>
            <w:tcW w:type="dxa" w:w="40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재실행/디버깅 buffer (50%)</w:t>
            </w:r>
          </w:p>
        </w:tc>
        <w:tc>
          <w:tcPr>
            <w:tcW w:type="dxa" w:w="2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동일</w:t>
            </w:r>
          </w:p>
        </w:tc>
        <w:tc>
          <w:tcPr>
            <w:tcW w:type="dxa" w:w="1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w:t>
            </w:r>
          </w:p>
        </w:tc>
        <w:tc>
          <w:tcPr>
            <w:tcW w:type="dxa" w:w="19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~$90</w:t>
            </w:r>
          </w:p>
        </w:tc>
      </w:tr>
      <w:tr>
        <w:tc>
          <w:tcPr>
            <w:tcW w:type="dxa" w:w="4000"/>
            <w:tcBorders>
              <w:top w:val="single" w:color="9CA3AF" w:sz="4"/>
              <w:left w:val="single" w:color="9CA3AF" w:sz="4"/>
              <w:bottom w:val="single" w:color="9CA3AF" w:sz="4"/>
              <w:right w:val="single" w:color="9CA3AF" w:sz="4"/>
            </w:tcBorders>
            <w:shd w:fill="DBEAFE" w:val="clear"/>
            <w:tcMar>
              <w:top w:type="dxa" w:w="80"/>
              <w:left w:type="dxa" w:w="120"/>
              <w:bottom w:type="dxa" w:w="80"/>
              <w:right w:type="dxa" w:w="120"/>
            </w:tcMar>
          </w:tcPr>
          <w:p>
            <w:pPr>
              <w:spacing w:after="40" w:before="40" w:line="280"/>
              <w:jc w:val="left"/>
            </w:pPr>
            <w:r>
              <w:rPr>
                <w:rFonts w:ascii="맑은 고딕" w:cs="맑은 고딕" w:eastAsia="맑은 고딕" w:hAnsi="맑은 고딕"/>
                <w:b/>
                <w:bCs/>
                <w:color w:val="1F2937"/>
                <w:sz w:val="18"/>
                <w:szCs w:val="18"/>
              </w:rPr>
              <w:t xml:space="preserve">합계</w:t>
            </w:r>
          </w:p>
        </w:tc>
        <w:tc>
          <w:tcPr>
            <w:tcW w:type="dxa" w:w="2200"/>
            <w:tcBorders>
              <w:top w:val="single" w:color="9CA3AF" w:sz="4"/>
              <w:left w:val="single" w:color="9CA3AF" w:sz="4"/>
              <w:bottom w:val="single" w:color="9CA3AF" w:sz="4"/>
              <w:right w:val="single" w:color="9CA3AF" w:sz="4"/>
            </w:tcBorders>
            <w:shd w:fill="DBEAFE" w:val="clear"/>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
            </w:r>
          </w:p>
        </w:tc>
        <w:tc>
          <w:tcPr>
            <w:tcW w:type="dxa" w:w="1200"/>
            <w:tcBorders>
              <w:top w:val="single" w:color="9CA3AF" w:sz="4"/>
              <w:left w:val="single" w:color="9CA3AF" w:sz="4"/>
              <w:bottom w:val="single" w:color="9CA3AF" w:sz="4"/>
              <w:right w:val="single" w:color="9CA3AF" w:sz="4"/>
            </w:tcBorders>
            <w:shd w:fill="DBEAFE"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1F2937"/>
                <w:sz w:val="18"/>
                <w:szCs w:val="18"/>
              </w:rPr>
              <w:t xml:space="preserve">~120 hr</w:t>
            </w:r>
          </w:p>
        </w:tc>
        <w:tc>
          <w:tcPr>
            <w:tcW w:type="dxa" w:w="1960"/>
            <w:tcBorders>
              <w:top w:val="single" w:color="9CA3AF" w:sz="4"/>
              <w:left w:val="single" w:color="9CA3AF" w:sz="4"/>
              <w:bottom w:val="single" w:color="9CA3AF" w:sz="4"/>
              <w:right w:val="single" w:color="9CA3AF" w:sz="4"/>
            </w:tcBorders>
            <w:shd w:fill="DBEAFE"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1F2937"/>
                <w:sz w:val="18"/>
                <w:szCs w:val="18"/>
              </w:rPr>
              <w:t xml:space="preserve">~$270</w:t>
            </w:r>
          </w:p>
        </w:tc>
      </w:tr>
    </w:tbl>
    <w:p>
      <w:pPr>
        <w:spacing w:after="60" w:before="60"/>
      </w:pPr>
      <w:r>
        <w:t xml:space="preserve"/>
      </w:r>
    </w:p>
    <w:p>
      <w:pPr>
        <w:spacing w:after="60" w:before="60" w:line="320"/>
        <w:jc w:val="left"/>
      </w:pPr>
      <w:r>
        <w:rPr>
          <w:rFonts w:ascii="맑은 고딕" w:cs="맑은 고딕" w:eastAsia="맑은 고딕" w:hAnsi="맑은 고딕"/>
          <w:b w:val="false"/>
          <w:bCs w:val="false"/>
          <w:i/>
          <w:iCs/>
          <w:color w:val="374151"/>
          <w:sz w:val="22"/>
          <w:szCs w:val="22"/>
        </w:rPr>
        <w:t xml:space="preserve">v1의 200 GPU-hour 추정 대비, CLM 중심 재구성으로 (a) MLM 3가지 strategy 중복 제거, (b) NT 본 실험을 비교군으로만 축소, (c) HyenaDNA PoC를 로컬 GPU로 처리하여 약 40% 시간 절감 + 비용 측면에서 학생 연구자도 접근 가능한 ~$270 수준으로 정리.</w:t>
      </w:r>
    </w:p>
    <w:p>
      <w:pPr>
        <w:pStyle w:val="Heading3"/>
        <w:spacing w:after="100" w:before="220"/>
      </w:pPr>
      <w:r>
        <w:rPr>
          <w:rFonts w:ascii="맑은 고딕" w:cs="맑은 고딕" w:eastAsia="맑은 고딕" w:hAnsi="맑은 고딕"/>
          <w:b/>
          <w:bCs/>
          <w:color w:val="374151"/>
          <w:sz w:val="23"/>
          <w:szCs w:val="23"/>
        </w:rPr>
        <w:t xml:space="preserve">3.5.2 Evo 2 Forward Pass 셋업 (구현 메모)</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실험 셋업 핵심 코드 패턴:</w:t>
      </w:r>
    </w:p>
    <w:p>
      <w:pPr>
        <w:spacing w:after="80" w:before="80" w:line="280"/>
        <w:jc w:val="left"/>
      </w:pPr>
      <w:r>
        <w:rPr>
          <w:rFonts w:ascii="Consolas" w:cs="Consolas" w:eastAsia="Consolas" w:hAnsi="Consolas"/>
          <w:b w:val="false"/>
          <w:bCs w:val="false"/>
          <w:i w:val="false"/>
          <w:iCs w:val="false"/>
          <w:color w:val="374151"/>
          <w:sz w:val="18"/>
          <w:szCs w:val="18"/>
        </w:rPr>
        <w:t xml:space="preserve">from transformers import AutoModelForCausalLM
</w:t>
      </w:r>
      <w:r>
        <w:rPr>
          <w:rFonts w:ascii="Consolas" w:cs="Consolas" w:eastAsia="Consolas" w:hAnsi="Consolas"/>
          <w:b w:val="false"/>
          <w:bCs w:val="false"/>
          <w:i w:val="false"/>
          <w:iCs w:val="false"/>
          <w:color w:val="374151"/>
          <w:sz w:val="18"/>
          <w:szCs w:val="18"/>
        </w:rPr>
        <w:t xml:space="preserve">model = AutoModelForCausalLM.from_pretrained(
</w:t>
      </w:r>
      <w:r>
        <w:rPr>
          <w:rFonts w:ascii="Consolas" w:cs="Consolas" w:eastAsia="Consolas" w:hAnsi="Consolas"/>
          <w:b w:val="false"/>
          <w:bCs w:val="false"/>
          <w:i w:val="false"/>
          <w:iCs w:val="false"/>
          <w:color w:val="374151"/>
          <w:sz w:val="18"/>
          <w:szCs w:val="18"/>
        </w:rPr>
        <w:t xml:space="preserve">    "arcinstitute/evo2_7b",
</w:t>
      </w:r>
      <w:r>
        <w:rPr>
          <w:rFonts w:ascii="Consolas" w:cs="Consolas" w:eastAsia="Consolas" w:hAnsi="Consolas"/>
          <w:b w:val="false"/>
          <w:bCs w:val="false"/>
          <w:i w:val="false"/>
          <w:iCs w:val="false"/>
          <w:color w:val="374151"/>
          <w:sz w:val="18"/>
          <w:szCs w:val="18"/>
        </w:rPr>
        <w:t xml:space="preserve">    torch_dtype=torch.bfloat16,
</w:t>
      </w:r>
      <w:r>
        <w:rPr>
          <w:rFonts w:ascii="Consolas" w:cs="Consolas" w:eastAsia="Consolas" w:hAnsi="Consolas"/>
          <w:b w:val="false"/>
          <w:bCs w:val="false"/>
          <w:i w:val="false"/>
          <w:iCs w:val="false"/>
          <w:color w:val="374151"/>
          <w:sz w:val="18"/>
          <w:szCs w:val="18"/>
        </w:rPr>
        <w:t xml:space="preserve">    attn_implementation="flash_attention_2",
</w:t>
      </w:r>
      <w:r>
        <w:rPr>
          <w:rFonts w:ascii="Consolas" w:cs="Consolas" w:eastAsia="Consolas" w:hAnsi="Consolas"/>
          <w:b w:val="false"/>
          <w:bCs w:val="false"/>
          <w:i w:val="false"/>
          <w:iCs w:val="false"/>
          <w:color w:val="374151"/>
          <w:sz w:val="18"/>
          <w:szCs w:val="18"/>
        </w:rPr>
        <w:t xml:space="preserve">    trust_remote_code=True)
</w:t>
      </w:r>
      <w:r>
        <w:rPr>
          <w:rFonts w:ascii="Consolas" w:cs="Consolas" w:eastAsia="Consolas" w:hAnsi="Consolas"/>
          <w:b w:val="false"/>
          <w:bCs w:val="false"/>
          <w:i w:val="false"/>
          <w:iCs w:val="false"/>
          <w:color w:val="059669"/>
          <w:sz w:val="18"/>
          <w:szCs w:val="18"/>
        </w:rPr>
        <w:t xml:space="preserve"># 모든 block 출력 hook
</w:t>
      </w:r>
      <w:r>
        <w:rPr>
          <w:rFonts w:ascii="Consolas" w:cs="Consolas" w:eastAsia="Consolas" w:hAnsi="Consolas"/>
          <w:b w:val="false"/>
          <w:bCs w:val="false"/>
          <w:i w:val="false"/>
          <w:iCs w:val="false"/>
          <w:color w:val="374151"/>
          <w:sz w:val="18"/>
          <w:szCs w:val="18"/>
        </w:rPr>
        <w:t xml:space="preserve">captured = []
</w:t>
      </w:r>
      <w:r>
        <w:rPr>
          <w:rFonts w:ascii="Consolas" w:cs="Consolas" w:eastAsia="Consolas" w:hAnsi="Consolas"/>
          <w:b w:val="false"/>
          <w:bCs w:val="false"/>
          <w:i w:val="false"/>
          <w:iCs w:val="false"/>
          <w:color w:val="374151"/>
          <w:sz w:val="18"/>
          <w:szCs w:val="18"/>
        </w:rPr>
        <w:t xml:space="preserve">for blk in model.backbone.blocks:
</w:t>
      </w:r>
      <w:r>
        <w:rPr>
          <w:rFonts w:ascii="Consolas" w:cs="Consolas" w:eastAsia="Consolas" w:hAnsi="Consolas"/>
          <w:b w:val="false"/>
          <w:bCs w:val="false"/>
          <w:i w:val="false"/>
          <w:iCs w:val="false"/>
          <w:color w:val="374151"/>
          <w:sz w:val="18"/>
          <w:szCs w:val="18"/>
        </w:rPr>
        <w:t xml:space="preserve">    blk.register_forward_hook(
</w:t>
      </w:r>
      <w:r>
        <w:rPr>
          <w:rFonts w:ascii="Consolas" w:cs="Consolas" w:eastAsia="Consolas" w:hAnsi="Consolas"/>
          <w:b w:val="false"/>
          <w:bCs w:val="false"/>
          <w:i w:val="false"/>
          <w:iCs w:val="false"/>
          <w:color w:val="374151"/>
          <w:sz w:val="18"/>
          <w:szCs w:val="18"/>
        </w:rPr>
        <w:t xml:space="preserve">        lambda m,i,o: captured.append(o[0] if isinstance(o,tuple) else o))
</w:t>
      </w:r>
      <w:r>
        <w:rPr>
          <w:rFonts w:ascii="Consolas" w:cs="Consolas" w:eastAsia="Consolas" w:hAnsi="Consolas"/>
          <w:b w:val="false"/>
          <w:bCs w:val="false"/>
          <w:i w:val="false"/>
          <w:iCs w:val="false"/>
          <w:color w:val="374151"/>
          <w:sz w:val="18"/>
          <w:szCs w:val="18"/>
        </w:rPr>
        <w:t xml:space="preserve">with torch.no_grad():
</w:t>
      </w:r>
      <w:r>
        <w:rPr>
          <w:rFonts w:ascii="Consolas" w:cs="Consolas" w:eastAsia="Consolas" w:hAnsi="Consolas"/>
          <w:b w:val="false"/>
          <w:bCs w:val="false"/>
          <w:i w:val="false"/>
          <w:iCs w:val="false"/>
          <w:color w:val="374151"/>
          <w:sz w:val="18"/>
          <w:szCs w:val="18"/>
        </w:rPr>
        <w:t xml:space="preserve">    model(input_ids)        # captured: [layer × batch × seq × hidden]
</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주의: Evo 2는 trust_remote_code=True 필수. BF16 권장 (FP16은 일부 layer overflow 위험).</w:t>
      </w:r>
    </w:p>
    <w:p>
      <w:r>
        <w:br w:type="page"/>
      </w:r>
    </w:p>
    <w:p>
      <w:pPr>
        <w:pStyle w:val="Heading2"/>
        <w:spacing w:after="140" w:before="280"/>
      </w:pPr>
      <w:r>
        <w:rPr>
          <w:rFonts w:ascii="맑은 고딕" w:cs="맑은 고딕" w:eastAsia="맑은 고딕" w:hAnsi="맑은 고딕"/>
          <w:b/>
          <w:bCs/>
          <w:color w:val="1E3A8A"/>
          <w:sz w:val="26"/>
          <w:szCs w:val="26"/>
        </w:rPr>
        <w:t xml:space="preserve">3.6 Phase 2 — Genomic Context별 gDTR 특성 (변경 없음)</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v1과 동일한 framework 유지. Chromosome 22 약 50 Mb를 6 kb sliding window(3 kb step)로 처리.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300"/>
        <w:gridCol w:w="2960"/>
      </w:tblGrid>
      <w:tr>
        <w:tc>
          <w:tcPr>
            <w:tcW w:type="dxa" w:w="220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Genomic Context</w:t>
            </w:r>
          </w:p>
        </w:tc>
        <w:tc>
          <w:tcPr>
            <w:tcW w:type="dxa" w:w="190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Annotation</w:t>
            </w:r>
          </w:p>
        </w:tc>
        <w:tc>
          <w:tcPr>
            <w:tcW w:type="dxa" w:w="230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가설적 gDTR 패턴</w:t>
            </w:r>
          </w:p>
        </w:tc>
        <w:tc>
          <w:tcPr>
            <w:tcW w:type="dxa" w:w="296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근거</w:t>
            </w:r>
          </w:p>
        </w:tc>
      </w:tr>
      <w:tr>
        <w:tc>
          <w:tcPr>
            <w:tcW w:type="dxa" w:w="2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Coding exon</w:t>
            </w:r>
          </w:p>
        </w:tc>
        <w:tc>
          <w:tcPr>
            <w:tcW w:type="dxa" w:w="1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GENCODE v44</w:t>
            </w:r>
          </w:p>
        </w:tc>
        <w:tc>
          <w:tcPr>
            <w:tcW w:type="dxa" w:w="2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중간–높음</w:t>
            </w:r>
          </w:p>
        </w:tc>
        <w:tc>
          <w:tcPr>
            <w:tcW w:type="dxa" w:w="29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Codon structure, reading frame</w:t>
            </w:r>
          </w:p>
        </w:tc>
      </w:tr>
      <w:tr>
        <w:tc>
          <w:tcPr>
            <w:tcW w:type="dxa" w:w="2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5'/3' UTR</w:t>
            </w:r>
          </w:p>
        </w:tc>
        <w:tc>
          <w:tcPr>
            <w:tcW w:type="dxa" w:w="1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GENCODE v44</w:t>
            </w:r>
          </w:p>
        </w:tc>
        <w:tc>
          <w:tcPr>
            <w:tcW w:type="dxa" w:w="2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높음</w:t>
            </w:r>
          </w:p>
        </w:tc>
        <w:tc>
          <w:tcPr>
            <w:tcW w:type="dxa" w:w="29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Regulatory motif 밀집, RNA structure</w:t>
            </w:r>
          </w:p>
        </w:tc>
      </w:tr>
      <w:tr>
        <w:tc>
          <w:tcPr>
            <w:tcW w:type="dxa" w:w="2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Splice site</w:t>
            </w:r>
          </w:p>
        </w:tc>
        <w:tc>
          <w:tcPr>
            <w:tcW w:type="dxa" w:w="1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GENCODE v44</w:t>
            </w:r>
          </w:p>
        </w:tc>
        <w:tc>
          <w:tcPr>
            <w:tcW w:type="dxa" w:w="2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검증 대상</w:t>
            </w:r>
          </w:p>
        </w:tc>
        <w:tc>
          <w:tcPr>
            <w:tcW w:type="dxa" w:w="29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GT-AG motif는 단순하나 context-dependent</w:t>
            </w:r>
          </w:p>
        </w:tc>
      </w:tr>
      <w:tr>
        <w:tc>
          <w:tcPr>
            <w:tcW w:type="dxa" w:w="2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Intron</w:t>
            </w:r>
          </w:p>
        </w:tc>
        <w:tc>
          <w:tcPr>
            <w:tcW w:type="dxa" w:w="1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GENCODE v44</w:t>
            </w:r>
          </w:p>
        </w:tc>
        <w:tc>
          <w:tcPr>
            <w:tcW w:type="dxa" w:w="2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낮음</w:t>
            </w:r>
          </w:p>
        </w:tc>
        <w:tc>
          <w:tcPr>
            <w:tcW w:type="dxa" w:w="29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상대적 낮은 information density</w:t>
            </w:r>
          </w:p>
        </w:tc>
      </w:tr>
      <w:tr>
        <w:tc>
          <w:tcPr>
            <w:tcW w:type="dxa" w:w="2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Intergenic</w:t>
            </w:r>
          </w:p>
        </w:tc>
        <w:tc>
          <w:tcPr>
            <w:tcW w:type="dxa" w:w="1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GENCODE v44</w:t>
            </w:r>
          </w:p>
        </w:tc>
        <w:tc>
          <w:tcPr>
            <w:tcW w:type="dxa" w:w="2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낮음 (baseline)</w:t>
            </w:r>
          </w:p>
        </w:tc>
        <w:tc>
          <w:tcPr>
            <w:tcW w:type="dxa" w:w="29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기능적 제약 최소</w:t>
            </w:r>
          </w:p>
        </w:tc>
      </w:tr>
      <w:tr>
        <w:tc>
          <w:tcPr>
            <w:tcW w:type="dxa" w:w="2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Promoter (TSS ±1kb)</w:t>
            </w:r>
          </w:p>
        </w:tc>
        <w:tc>
          <w:tcPr>
            <w:tcW w:type="dxa" w:w="1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ENCODE cCRE</w:t>
            </w:r>
          </w:p>
        </w:tc>
        <w:tc>
          <w:tcPr>
            <w:tcW w:type="dxa" w:w="2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높음</w:t>
            </w:r>
          </w:p>
        </w:tc>
        <w:tc>
          <w:tcPr>
            <w:tcW w:type="dxa" w:w="29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Regulatory grammar 복합</w:t>
            </w:r>
          </w:p>
        </w:tc>
      </w:tr>
      <w:tr>
        <w:tc>
          <w:tcPr>
            <w:tcW w:type="dxa" w:w="2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Enhancer</w:t>
            </w:r>
          </w:p>
        </w:tc>
        <w:tc>
          <w:tcPr>
            <w:tcW w:type="dxa" w:w="1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ENCODE cCRE</w:t>
            </w:r>
          </w:p>
        </w:tc>
        <w:tc>
          <w:tcPr>
            <w:tcW w:type="dxa" w:w="2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높음</w:t>
            </w:r>
          </w:p>
        </w:tc>
        <w:tc>
          <w:tcPr>
            <w:tcW w:type="dxa" w:w="29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Distal regulatory, tissue-specific</w:t>
            </w:r>
          </w:p>
        </w:tc>
      </w:tr>
      <w:tr>
        <w:tc>
          <w:tcPr>
            <w:tcW w:type="dxa" w:w="2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CTCF binding</w:t>
            </w:r>
          </w:p>
        </w:tc>
        <w:tc>
          <w:tcPr>
            <w:tcW w:type="dxa" w:w="1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ENCODE ChIP-seq</w:t>
            </w:r>
          </w:p>
        </w:tc>
        <w:tc>
          <w:tcPr>
            <w:tcW w:type="dxa" w:w="2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중간</w:t>
            </w:r>
          </w:p>
        </w:tc>
        <w:tc>
          <w:tcPr>
            <w:tcW w:type="dxa" w:w="29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Conserved motif + 3D organization</w:t>
            </w:r>
          </w:p>
        </w:tc>
      </w:tr>
      <w:tr>
        <w:tc>
          <w:tcPr>
            <w:tcW w:type="dxa" w:w="2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Repeat element</w:t>
            </w:r>
          </w:p>
        </w:tc>
        <w:tc>
          <w:tcPr>
            <w:tcW w:type="dxa" w:w="1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RepeatMasker</w:t>
            </w:r>
          </w:p>
        </w:tc>
        <w:tc>
          <w:tcPr>
            <w:tcW w:type="dxa" w:w="2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낮음</w:t>
            </w:r>
          </w:p>
        </w:tc>
        <w:tc>
          <w:tcPr>
            <w:tcW w:type="dxa" w:w="29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Repetitive, highly predictable</w:t>
            </w:r>
          </w:p>
        </w:tc>
      </w:tr>
    </w:tbl>
    <w:p>
      <w:pPr>
        <w:spacing w:after="60" w:before="60"/>
      </w:pPr>
      <w:r>
        <w:t xml:space="preserve"/>
      </w:r>
    </w:p>
    <w:p>
      <w:pPr>
        <w:pStyle w:val="Heading3"/>
        <w:spacing w:after="100" w:before="220"/>
      </w:pPr>
      <w:r>
        <w:rPr>
          <w:rFonts w:ascii="맑은 고딕" w:cs="맑은 고딕" w:eastAsia="맑은 고딕" w:hAnsi="맑은 고딕"/>
          <w:b/>
          <w:bCs/>
          <w:color w:val="374151"/>
          <w:sz w:val="23"/>
          <w:szCs w:val="23"/>
        </w:rPr>
        <w:t xml:space="preserve">3.6.1 Layer-wise Convergence Dynamics (Evo 2 32-layer 기준)</w:t>
      </w:r>
    </w:p>
    <w:p>
      <w:pPr>
        <w:pStyle w:val="ListParagraph"/>
        <w:numPr>
          <w:ilvl w:val="0"/>
          <w:numId w:val="2"/>
        </w:numPr>
        <w:spacing w:after="40" w:before="40" w:line="300"/>
      </w:pPr>
      <w:r>
        <w:rPr>
          <w:rFonts w:ascii="맑은 고딕" w:cs="맑은 고딕" w:eastAsia="맑은 고딕" w:hAnsi="맑은 고딕"/>
          <w:b/>
          <w:bCs/>
          <w:i w:val="false"/>
          <w:iCs w:val="false"/>
          <w:color w:val="1F2937"/>
          <w:sz w:val="22"/>
          <w:szCs w:val="22"/>
        </w:rPr>
        <w:t xml:space="preserve">Early convergence (layer 1–11): </w:t>
      </w:r>
      <w:r>
        <w:rPr>
          <w:rFonts w:ascii="맑은 고딕" w:cs="맑은 고딕" w:eastAsia="맑은 고딕" w:hAnsi="맑은 고딕"/>
          <w:b w:val="false"/>
          <w:bCs w:val="false"/>
          <w:i w:val="false"/>
          <w:iCs w:val="false"/>
          <w:color w:val="1F2937"/>
          <w:sz w:val="22"/>
          <w:szCs w:val="22"/>
        </w:rPr>
        <w:t xml:space="preserve">어떤 element가 shallow에서 결정되는가? 가설 — repeat element, simple motif.</w:t>
      </w:r>
    </w:p>
    <w:p>
      <w:pPr>
        <w:pStyle w:val="ListParagraph"/>
        <w:numPr>
          <w:ilvl w:val="0"/>
          <w:numId w:val="2"/>
        </w:numPr>
        <w:spacing w:after="40" w:before="40" w:line="300"/>
      </w:pPr>
      <w:r>
        <w:rPr>
          <w:rFonts w:ascii="맑은 고딕" w:cs="맑은 고딕" w:eastAsia="맑은 고딕" w:hAnsi="맑은 고딕"/>
          <w:b/>
          <w:bCs/>
          <w:i w:val="false"/>
          <w:iCs w:val="false"/>
          <w:color w:val="1F2937"/>
          <w:sz w:val="22"/>
          <w:szCs w:val="22"/>
        </w:rPr>
        <w:t xml:space="preserve">Mid-layer transition (layer 12–22): </w:t>
      </w:r>
      <w:r>
        <w:rPr>
          <w:rFonts w:ascii="맑은 고딕" w:cs="맑은 고딕" w:eastAsia="맑은 고딕" w:hAnsi="맑은 고딕"/>
          <w:b w:val="false"/>
          <w:bCs w:val="false"/>
          <w:i w:val="false"/>
          <w:iCs w:val="false"/>
          <w:color w:val="1F2937"/>
          <w:sz w:val="22"/>
          <w:szCs w:val="22"/>
        </w:rPr>
        <w:t xml:space="preserve">정보 통합 구간. 가설 — coding/non-coding 구분, local regulatory motif 인식.</w:t>
      </w:r>
    </w:p>
    <w:p>
      <w:pPr>
        <w:pStyle w:val="ListParagraph"/>
        <w:numPr>
          <w:ilvl w:val="0"/>
          <w:numId w:val="2"/>
        </w:numPr>
        <w:spacing w:after="40" w:before="40" w:line="300"/>
      </w:pPr>
      <w:r>
        <w:rPr>
          <w:rFonts w:ascii="맑은 고딕" w:cs="맑은 고딕" w:eastAsia="맑은 고딕" w:hAnsi="맑은 고딕"/>
          <w:b/>
          <w:bCs/>
          <w:i w:val="false"/>
          <w:iCs w:val="false"/>
          <w:color w:val="1F2937"/>
          <w:sz w:val="22"/>
          <w:szCs w:val="22"/>
        </w:rPr>
        <w:t xml:space="preserve">Late convergence (layer 23–32): </w:t>
      </w:r>
      <w:r>
        <w:rPr>
          <w:rFonts w:ascii="맑은 고딕" w:cs="맑은 고딕" w:eastAsia="맑은 고딕" w:hAnsi="맑은 고딕"/>
          <w:b w:val="false"/>
          <w:bCs w:val="false"/>
          <w:i w:val="false"/>
          <w:iCs w:val="false"/>
          <w:color w:val="1F2937"/>
          <w:sz w:val="22"/>
          <w:szCs w:val="22"/>
        </w:rPr>
        <w:t xml:space="preserve">Deep-thinking 영역. 가설 — long-range regulatory interaction, complex splice regulation. </w:t>
      </w:r>
      <w:r>
        <w:rPr>
          <w:rFonts w:ascii="맑은 고딕" w:cs="맑은 고딕" w:eastAsia="맑은 고딕" w:hAnsi="맑은 고딕"/>
          <w:b/>
          <w:bCs/>
          <w:i w:val="false"/>
          <w:iCs w:val="false"/>
          <w:color w:val="B45309"/>
          <w:sz w:val="22"/>
          <w:szCs w:val="22"/>
        </w:rPr>
        <w:t xml:space="preserve">Layer 26은 Goodfire SAE에서 풍부 representation으로 검증된 위치이므로 별도 강조 분석.</w:t>
      </w:r>
    </w:p>
    <w:p>
      <w:pPr>
        <w:pStyle w:val="ListParagraph"/>
        <w:numPr>
          <w:ilvl w:val="0"/>
          <w:numId w:val="2"/>
        </w:numPr>
        <w:spacing w:after="40" w:before="40" w:line="300"/>
      </w:pPr>
      <w:r>
        <w:rPr>
          <w:rFonts w:ascii="맑은 고딕" w:cs="맑은 고딕" w:eastAsia="맑은 고딕" w:hAnsi="맑은 고딕"/>
          <w:b/>
          <w:bCs/>
          <w:i w:val="false"/>
          <w:iCs w:val="false"/>
          <w:color w:val="1F2937"/>
          <w:sz w:val="22"/>
          <w:szCs w:val="22"/>
        </w:rPr>
        <w:t xml:space="preserve">Block-type별 분리 분석 (v2 신규): </w:t>
      </w:r>
      <w:r>
        <w:rPr>
          <w:rFonts w:ascii="맑은 고딕" w:cs="맑은 고딕" w:eastAsia="맑은 고딕" w:hAnsi="맑은 고딕"/>
          <w:b w:val="false"/>
          <w:bCs w:val="false"/>
          <w:i w:val="false"/>
          <w:iCs w:val="false"/>
          <w:color w:val="1F2937"/>
          <w:sz w:val="22"/>
          <w:szCs w:val="22"/>
        </w:rPr>
        <w:t xml:space="preserve">Transformer block 직후 vs Hyena conv block 직후의 gDTR contribution을 분리하여 어떤 block이 어떤 element 처리에 더 기여하는지 분석.</w:t>
      </w:r>
    </w:p>
    <w:p>
      <w:pPr>
        <w:pStyle w:val="Heading3"/>
        <w:spacing w:after="100" w:before="220"/>
      </w:pPr>
      <w:r>
        <w:rPr>
          <w:rFonts w:ascii="맑은 고딕" w:cs="맑은 고딕" w:eastAsia="맑은 고딕" w:hAnsi="맑은 고딕"/>
          <w:b/>
          <w:bCs/>
          <w:color w:val="374151"/>
          <w:sz w:val="23"/>
          <w:szCs w:val="23"/>
        </w:rPr>
        <w:t xml:space="preserve">3.6.2 Confounding Factor 통제</w:t>
      </w:r>
    </w:p>
    <w:p>
      <w:pPr>
        <w:pStyle w:val="ListParagraph"/>
        <w:numPr>
          <w:ilvl w:val="0"/>
          <w:numId w:val="3"/>
        </w:numPr>
        <w:spacing w:after="40" w:before="40" w:line="300"/>
      </w:pPr>
      <w:r>
        <w:rPr>
          <w:rFonts w:ascii="맑은 고딕" w:cs="맑은 고딕" w:eastAsia="맑은 고딕" w:hAnsi="맑은 고딕"/>
          <w:b w:val="false"/>
          <w:bCs w:val="false"/>
          <w:i w:val="false"/>
          <w:iCs w:val="false"/>
          <w:color w:val="1F2937"/>
          <w:sz w:val="22"/>
          <w:szCs w:val="22"/>
        </w:rPr>
        <w:t xml:space="preserve">GC content matched controls — 동일 GC%에서 functional vs intergenic 비교</w:t>
      </w:r>
    </w:p>
    <w:p>
      <w:pPr>
        <w:pStyle w:val="ListParagraph"/>
        <w:numPr>
          <w:ilvl w:val="0"/>
          <w:numId w:val="3"/>
        </w:numPr>
        <w:spacing w:after="40" w:before="40" w:line="300"/>
      </w:pPr>
      <w:r>
        <w:rPr>
          <w:rFonts w:ascii="맑은 고딕" w:cs="맑은 고딕" w:eastAsia="맑은 고딕" w:hAnsi="맑은 고딕"/>
          <w:b w:val="false"/>
          <w:bCs w:val="false"/>
          <w:i w:val="false"/>
          <w:iCs w:val="false"/>
          <w:color w:val="1F2937"/>
          <w:sz w:val="22"/>
          <w:szCs w:val="22"/>
        </w:rPr>
        <w:t xml:space="preserve">Shannon entropy 보정 — local k-mer entropy(window 100 bp)를 covariate로 partial correlation</w:t>
      </w:r>
    </w:p>
    <w:p>
      <w:pPr>
        <w:pStyle w:val="ListParagraph"/>
        <w:numPr>
          <w:ilvl w:val="0"/>
          <w:numId w:val="3"/>
        </w:numPr>
        <w:spacing w:after="40" w:before="40" w:line="300"/>
      </w:pPr>
      <w:r>
        <w:rPr>
          <w:rFonts w:ascii="맑은 고딕" w:cs="맑은 고딕" w:eastAsia="맑은 고딕" w:hAnsi="맑은 고딕"/>
          <w:b w:val="false"/>
          <w:bCs w:val="false"/>
          <w:i w:val="false"/>
          <w:iCs w:val="false"/>
          <w:color w:val="1F2937"/>
          <w:sz w:val="22"/>
          <w:szCs w:val="22"/>
        </w:rPr>
        <w:t xml:space="preserve">Shuffled sequence controls — dinucleotide-preserving randomized 서열에서의 gDTR 산출</w:t>
      </w:r>
    </w:p>
    <w:p>
      <w:r>
        <w:br w:type="page"/>
      </w:r>
    </w:p>
    <w:p>
      <w:pPr>
        <w:pStyle w:val="Heading2"/>
        <w:spacing w:after="140" w:before="280"/>
      </w:pPr>
      <w:r>
        <w:rPr>
          <w:rFonts w:ascii="맑은 고딕" w:cs="맑은 고딕" w:eastAsia="맑은 고딕" w:hAnsi="맑은 고딕"/>
          <w:b/>
          <w:bCs/>
          <w:color w:val="1E3A8A"/>
          <w:sz w:val="26"/>
          <w:szCs w:val="26"/>
        </w:rPr>
        <w:t xml:space="preserve">3.7 Phase 3 — Cancer Variant Interpretation</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v1과 동일하나, scoring 도구가 모두 CLM 위에서 통일된다는 점이 다르다.</w:t>
      </w:r>
    </w:p>
    <w:p>
      <w:pPr>
        <w:pStyle w:val="Heading3"/>
        <w:spacing w:after="100" w:before="220"/>
      </w:pPr>
      <w:r>
        <w:rPr>
          <w:rFonts w:ascii="맑은 고딕" w:cs="맑은 고딕" w:eastAsia="맑은 고딕" w:hAnsi="맑은 고딕"/>
          <w:b/>
          <w:bCs/>
          <w:color w:val="374151"/>
          <w:sz w:val="23"/>
          <w:szCs w:val="23"/>
        </w:rPr>
        <w:t xml:space="preserve">3.7.1 데이터</w:t>
      </w:r>
    </w:p>
    <w:p>
      <w:pPr>
        <w:pStyle w:val="ListParagraph"/>
        <w:numPr>
          <w:ilvl w:val="0"/>
          <w:numId w:val="2"/>
        </w:numPr>
        <w:spacing w:after="40" w:before="40" w:line="300"/>
      </w:pPr>
      <w:r>
        <w:rPr>
          <w:rFonts w:ascii="맑은 고딕" w:cs="맑은 고딕" w:eastAsia="맑은 고딕" w:hAnsi="맑은 고딕"/>
          <w:b w:val="false"/>
          <w:bCs w:val="false"/>
          <w:i w:val="false"/>
          <w:iCs w:val="false"/>
          <w:color w:val="1F2937"/>
          <w:sz w:val="22"/>
          <w:szCs w:val="22"/>
        </w:rPr>
        <w:t xml:space="preserve">ClinVar 2026-03 release. 15 cancer gene: BRCA1, BRCA2, TP53, EGFR, KRAS, BRAF, PIK3CA, APC, MLH1, MSH2, PTEN, RB1, VHL, ATM, PALB2.</w:t>
      </w:r>
    </w:p>
    <w:p>
      <w:pPr>
        <w:pStyle w:val="ListParagraph"/>
        <w:numPr>
          <w:ilvl w:val="0"/>
          <w:numId w:val="2"/>
        </w:numPr>
        <w:spacing w:after="40" w:before="40" w:line="300"/>
      </w:pPr>
      <w:r>
        <w:rPr>
          <w:rFonts w:ascii="맑은 고딕" w:cs="맑은 고딕" w:eastAsia="맑은 고딕" w:hAnsi="맑은 고딕"/>
          <w:b w:val="false"/>
          <w:bCs w:val="false"/>
          <w:i w:val="false"/>
          <w:iCs w:val="false"/>
          <w:color w:val="1F2937"/>
          <w:sz w:val="22"/>
          <w:szCs w:val="22"/>
        </w:rPr>
        <w:t xml:space="preserve">P/LP ≥ 2 stars (~2,000), B/LB ≥ 2 stars (~3,000), VUS ≥ 1 star (~5,000, 별도 분석).</w:t>
      </w:r>
    </w:p>
    <w:p>
      <w:pPr>
        <w:pStyle w:val="ListParagraph"/>
        <w:numPr>
          <w:ilvl w:val="0"/>
          <w:numId w:val="2"/>
        </w:numPr>
        <w:spacing w:after="40" w:before="40" w:line="300"/>
      </w:pPr>
      <w:r>
        <w:rPr>
          <w:rFonts w:ascii="맑은 고딕" w:cs="맑은 고딕" w:eastAsia="맑은 고딕" w:hAnsi="맑은 고딕"/>
          <w:b w:val="false"/>
          <w:bCs w:val="false"/>
          <w:i w:val="false"/>
          <w:iCs w:val="false"/>
          <w:color w:val="1F2937"/>
          <w:sz w:val="22"/>
          <w:szCs w:val="22"/>
        </w:rPr>
        <w:t xml:space="preserve">추가 annotation: gnomAD v4 (frequency), CADD, AlphaMissense, ClinGen expert classification.</w:t>
      </w:r>
    </w:p>
    <w:p>
      <w:pPr>
        <w:pStyle w:val="Heading3"/>
        <w:spacing w:after="100" w:before="220"/>
      </w:pPr>
      <w:r>
        <w:rPr>
          <w:rFonts w:ascii="맑은 고딕" w:cs="맑은 고딕" w:eastAsia="맑은 고딕" w:hAnsi="맑은 고딕"/>
          <w:b/>
          <w:bCs/>
          <w:color w:val="374151"/>
          <w:sz w:val="23"/>
          <w:szCs w:val="23"/>
        </w:rPr>
        <w:t xml:space="preserve">3.7.2 Δ-Settling-Depth 산출 (Evo 2)</w:t>
      </w:r>
    </w:p>
    <w:p>
      <w:pPr>
        <w:pStyle w:val="ListParagraph"/>
        <w:numPr>
          <w:ilvl w:val="0"/>
          <w:numId w:val="3"/>
        </w:numPr>
        <w:spacing w:after="40" w:before="40" w:line="300"/>
      </w:pPr>
      <w:r>
        <w:rPr>
          <w:rFonts w:ascii="맑은 고딕" w:cs="맑은 고딕" w:eastAsia="맑은 고딕" w:hAnsi="맑은 고딕"/>
          <w:b w:val="false"/>
          <w:bCs w:val="false"/>
          <w:i w:val="false"/>
          <w:iCs w:val="false"/>
          <w:color w:val="1F2937"/>
          <w:sz w:val="22"/>
          <w:szCs w:val="22"/>
        </w:rPr>
        <w:t xml:space="preserve">Reference allele 6 kb context를 Evo 2에 입력 → variant position의 settling depth c_ref</w:t>
      </w:r>
    </w:p>
    <w:p>
      <w:pPr>
        <w:pStyle w:val="ListParagraph"/>
        <w:numPr>
          <w:ilvl w:val="0"/>
          <w:numId w:val="3"/>
        </w:numPr>
        <w:spacing w:after="40" w:before="40" w:line="300"/>
      </w:pPr>
      <w:r>
        <w:rPr>
          <w:rFonts w:ascii="맑은 고딕" w:cs="맑은 고딕" w:eastAsia="맑은 고딕" w:hAnsi="맑은 고딕"/>
          <w:b w:val="false"/>
          <w:bCs w:val="false"/>
          <w:i w:val="false"/>
          <w:iCs w:val="false"/>
          <w:color w:val="1F2937"/>
          <w:sz w:val="22"/>
          <w:szCs w:val="22"/>
        </w:rPr>
        <w:t xml:space="preserve">Alternative allele 동일 context → c_alt</w:t>
      </w:r>
    </w:p>
    <w:p>
      <w:pPr>
        <w:pStyle w:val="ListParagraph"/>
        <w:numPr>
          <w:ilvl w:val="0"/>
          <w:numId w:val="3"/>
        </w:numPr>
        <w:spacing w:after="40" w:before="40" w:line="300"/>
      </w:pPr>
      <w:r>
        <w:rPr>
          <w:rFonts w:ascii="맑은 고딕" w:cs="맑은 고딕" w:eastAsia="맑은 고딕" w:hAnsi="맑은 고딕"/>
          <w:b w:val="false"/>
          <w:bCs w:val="false"/>
          <w:i w:val="false"/>
          <w:iCs w:val="false"/>
          <w:color w:val="1F2937"/>
          <w:sz w:val="22"/>
          <w:szCs w:val="22"/>
        </w:rPr>
        <w:t xml:space="preserve">Continuous Δc = c_alt − c_ref (primary metric, 연속값)</w:t>
      </w:r>
    </w:p>
    <w:p>
      <w:pPr>
        <w:pStyle w:val="ListParagraph"/>
        <w:numPr>
          <w:ilvl w:val="0"/>
          <w:numId w:val="3"/>
        </w:numPr>
        <w:spacing w:after="40" w:before="40" w:line="300"/>
      </w:pPr>
      <w:r>
        <w:rPr>
          <w:rFonts w:ascii="맑은 고딕" w:cs="맑은 고딕" w:eastAsia="맑은 고딕" w:hAnsi="맑은 고딕"/>
          <w:b w:val="false"/>
          <w:bCs w:val="false"/>
          <w:i w:val="false"/>
          <w:iCs w:val="false"/>
          <w:color w:val="1F2937"/>
          <w:sz w:val="22"/>
          <w:szCs w:val="22"/>
        </w:rPr>
        <w:t xml:space="preserve">Layer-wise Δ-JSD profile: ΔD(l) = D_alt(l) − D_ref(l), layer별 disruption pattern 시각화</w:t>
      </w:r>
    </w:p>
    <w:p>
      <w:pPr>
        <w:pStyle w:val="ListParagraph"/>
        <w:numPr>
          <w:ilvl w:val="0"/>
          <w:numId w:val="3"/>
        </w:numPr>
        <w:spacing w:after="40" w:before="40" w:line="300"/>
      </w:pPr>
      <w:r>
        <w:rPr>
          <w:rFonts w:ascii="맑은 고딕" w:cs="맑은 고딕" w:eastAsia="맑은 고딕" w:hAnsi="맑은 고딕"/>
          <w:b w:val="false"/>
          <w:bCs w:val="false"/>
          <w:i w:val="false"/>
          <w:iCs w:val="false"/>
          <w:color w:val="1F2937"/>
          <w:sz w:val="22"/>
          <w:szCs w:val="22"/>
        </w:rPr>
        <w:t xml:space="preserve">Surrounding region effect: variant ±50 bp의 gDTR profile (영향이 국소적인지 전파되는지)</w:t>
      </w:r>
    </w:p>
    <w:p>
      <w:pPr>
        <w:pStyle w:val="Heading3"/>
        <w:spacing w:after="100" w:before="220"/>
      </w:pPr>
      <w:r>
        <w:rPr>
          <w:rFonts w:ascii="맑은 고딕" w:cs="맑은 고딕" w:eastAsia="맑은 고딕" w:hAnsi="맑은 고딕"/>
          <w:b/>
          <w:bCs/>
          <w:color w:val="374151"/>
          <w:sz w:val="23"/>
          <w:szCs w:val="23"/>
        </w:rPr>
        <w:t xml:space="preserve">3.7.3 통계 분석</w:t>
      </w:r>
    </w:p>
    <w:p>
      <w:pPr>
        <w:pStyle w:val="ListParagraph"/>
        <w:numPr>
          <w:ilvl w:val="0"/>
          <w:numId w:val="2"/>
        </w:numPr>
        <w:spacing w:after="40" w:before="40" w:line="300"/>
      </w:pPr>
      <w:r>
        <w:rPr>
          <w:rFonts w:ascii="맑은 고딕" w:cs="맑은 고딕" w:eastAsia="맑은 고딕" w:hAnsi="맑은 고딕"/>
          <w:b w:val="false"/>
          <w:bCs w:val="false"/>
          <w:i w:val="false"/>
          <w:iCs w:val="false"/>
          <w:color w:val="1F2937"/>
          <w:sz w:val="22"/>
          <w:szCs w:val="22"/>
        </w:rPr>
        <w:t xml:space="preserve">Primary: P/LP vs B/LB의 |Δc| 분포 비교 (Mann-Whitney U, Cohen's d)</w:t>
      </w:r>
    </w:p>
    <w:p>
      <w:pPr>
        <w:pStyle w:val="ListParagraph"/>
        <w:numPr>
          <w:ilvl w:val="0"/>
          <w:numId w:val="2"/>
        </w:numPr>
        <w:spacing w:after="40" w:before="40" w:line="300"/>
      </w:pPr>
      <w:r>
        <w:rPr>
          <w:rFonts w:ascii="맑은 고딕" w:cs="맑은 고딕" w:eastAsia="맑은 고딕" w:hAnsi="맑은 고딕"/>
          <w:b w:val="false"/>
          <w:bCs w:val="false"/>
          <w:i w:val="false"/>
          <w:iCs w:val="false"/>
          <w:color w:val="1F2937"/>
          <w:sz w:val="22"/>
          <w:szCs w:val="22"/>
        </w:rPr>
        <w:t xml:space="preserve">Classification: Δc 단독 AUROC, AUPRC (10-fold CV)</w:t>
      </w:r>
    </w:p>
    <w:p>
      <w:pPr>
        <w:pStyle w:val="ListParagraph"/>
        <w:numPr>
          <w:ilvl w:val="0"/>
          <w:numId w:val="2"/>
        </w:numPr>
        <w:spacing w:after="40" w:before="40" w:line="300"/>
      </w:pPr>
      <w:r>
        <w:rPr>
          <w:rFonts w:ascii="맑은 고딕" w:cs="맑은 고딕" w:eastAsia="맑은 고딕" w:hAnsi="맑은 고딕"/>
          <w:b w:val="false"/>
          <w:bCs w:val="false"/>
          <w:i w:val="false"/>
          <w:iCs w:val="false"/>
          <w:color w:val="1F2937"/>
          <w:sz w:val="22"/>
          <w:szCs w:val="22"/>
        </w:rPr>
        <w:t xml:space="preserve">Predictor 비교 + Ensemble: CADD + AlphaMissense + Evo 2 likelihood + Δc의 logistic regression. </w:t>
      </w:r>
      <w:r>
        <w:rPr>
          <w:rFonts w:ascii="맑은 고딕" w:cs="맑은 고딕" w:eastAsia="맑은 고딕" w:hAnsi="맑은 고딕"/>
          <w:b/>
          <w:bCs/>
          <w:i w:val="false"/>
          <w:iCs w:val="false"/>
          <w:color w:val="1F2937"/>
          <w:sz w:val="22"/>
          <w:szCs w:val="22"/>
        </w:rPr>
        <w:t xml:space="preserve">Δc가 기존 score 대비 incremental information을 제공하는가가 핵심.</w:t>
      </w:r>
    </w:p>
    <w:p>
      <w:pPr>
        <w:pStyle w:val="ListParagraph"/>
        <w:numPr>
          <w:ilvl w:val="0"/>
          <w:numId w:val="2"/>
        </w:numPr>
        <w:spacing w:after="40" w:before="40" w:line="300"/>
      </w:pPr>
      <w:r>
        <w:rPr>
          <w:rFonts w:ascii="맑은 고딕" w:cs="맑은 고딕" w:eastAsia="맑은 고딕" w:hAnsi="맑은 고딕"/>
          <w:b w:val="false"/>
          <w:bCs w:val="false"/>
          <w:i w:val="false"/>
          <w:iCs w:val="false"/>
          <w:color w:val="1F2937"/>
          <w:sz w:val="22"/>
          <w:szCs w:val="22"/>
        </w:rPr>
        <w:t xml:space="preserve">Variant type stratification: missense / nonsense / splice / synonymous</w:t>
      </w:r>
    </w:p>
    <w:p>
      <w:pPr>
        <w:pStyle w:val="ListParagraph"/>
        <w:numPr>
          <w:ilvl w:val="0"/>
          <w:numId w:val="2"/>
        </w:numPr>
        <w:spacing w:after="40" w:before="40" w:line="300"/>
      </w:pPr>
      <w:r>
        <w:rPr>
          <w:rFonts w:ascii="맑은 고딕" w:cs="맑은 고딕" w:eastAsia="맑은 고딕" w:hAnsi="맑은 고딕"/>
          <w:b w:val="false"/>
          <w:bCs w:val="false"/>
          <w:i w:val="false"/>
          <w:iCs w:val="false"/>
          <w:color w:val="1F2937"/>
          <w:sz w:val="22"/>
          <w:szCs w:val="22"/>
        </w:rPr>
        <w:t xml:space="preserve">VUS 분석: |Δc| 상위 5% VUS의 gnomAD frequency, domain 위치, 기존 in silico와 종합 검토</w:t>
      </w:r>
    </w:p>
    <w:p>
      <w:pPr>
        <w:pStyle w:val="ListParagraph"/>
        <w:numPr>
          <w:ilvl w:val="0"/>
          <w:numId w:val="2"/>
        </w:numPr>
        <w:spacing w:after="40" w:before="40" w:line="300"/>
      </w:pPr>
      <w:r>
        <w:rPr>
          <w:rFonts w:ascii="맑은 고딕" w:cs="맑은 고딕" w:eastAsia="맑은 고딕" w:hAnsi="맑은 고딕"/>
          <w:b w:val="false"/>
          <w:bCs w:val="false"/>
          <w:i w:val="false"/>
          <w:iCs w:val="false"/>
          <w:color w:val="1F2937"/>
          <w:sz w:val="22"/>
          <w:szCs w:val="22"/>
        </w:rPr>
        <w:t xml:space="preserve">Multiple testing: gene별 BH-FDR (q &lt; 0.05), variant type별 Bonferroni</w:t>
      </w:r>
    </w:p>
    <w:p>
      <w:pPr>
        <w:pStyle w:val="Heading3"/>
        <w:spacing w:after="100" w:before="220"/>
      </w:pPr>
      <w:r>
        <w:rPr>
          <w:rFonts w:ascii="맑은 고딕" w:cs="맑은 고딕" w:eastAsia="맑은 고딕" w:hAnsi="맑은 고딕"/>
          <w:b/>
          <w:bCs/>
          <w:color w:val="374151"/>
          <w:sz w:val="23"/>
          <w:szCs w:val="23"/>
        </w:rPr>
        <w:t xml:space="preserve">3.7.4 Viral Genome Pilot (선택적)</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v1과 동일하게 SARS-CoV-2 spike RBD, RdRp 등 well-annotated functional site에서의 gDTR profile과 알려진 mutation의 Δc를 산출하여 방법의 basic validity를 보강.</w:t>
      </w:r>
    </w:p>
    <w:p>
      <w:r>
        <w:br w:type="page"/>
      </w:r>
    </w:p>
    <w:p>
      <w:pPr>
        <w:pStyle w:val="Heading2"/>
        <w:spacing w:after="140" w:before="280"/>
      </w:pPr>
      <w:r>
        <w:rPr>
          <w:rFonts w:ascii="맑은 고딕" w:cs="맑은 고딕" w:eastAsia="맑은 고딕" w:hAnsi="맑은 고딕"/>
          <w:b/>
          <w:bCs/>
          <w:color w:val="1E3A8A"/>
          <w:sz w:val="26"/>
          <w:szCs w:val="26"/>
        </w:rPr>
        <w:t xml:space="preserve">3.8 Phase 4 — Cross-Architecture Validation</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v1보다 비교 축이 더 명확해진다 — CLM(2) vs MLM(2)의 4모델 cross-comparison이다.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비교 쌍</w:t>
            </w:r>
          </w:p>
        </w:tc>
        <w:tc>
          <w:tcPr>
            <w:tcW w:type="dxa" w:w="616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질문</w:t>
            </w:r>
          </w:p>
        </w:tc>
      </w:tr>
      <w:tr>
        <w:tc>
          <w:tcPr>
            <w:tcW w:type="dxa" w:w="3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bCs/>
                <w:color w:val="1F2937"/>
                <w:sz w:val="18"/>
                <w:szCs w:val="18"/>
              </w:rPr>
              <w:t xml:space="preserve">Evo 2 vs HyenaDNA</w:t>
            </w:r>
          </w:p>
        </w:tc>
        <w:tc>
          <w:tcPr>
            <w:tcW w:type="dxa" w:w="61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같은 CLM·Hyena 계열 내에서 모델 크기(7B vs 6.6M)가 gDTR 위치에 미치는 영향. Scaling 효과 분리.</w:t>
            </w:r>
          </w:p>
        </w:tc>
      </w:tr>
      <w:tr>
        <w:tc>
          <w:tcPr>
            <w:tcW w:type="dxa" w:w="3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bCs/>
                <w:color w:val="1F2937"/>
                <w:sz w:val="18"/>
                <w:szCs w:val="18"/>
              </w:rPr>
              <w:t xml:space="preserve">Evo 2 vs NT-v2</w:t>
            </w:r>
          </w:p>
        </w:tc>
        <w:tc>
          <w:tcPr>
            <w:tcW w:type="dxa" w:w="61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CLM vs MLM, hybrid vs pure Transformer. Learning paradigm 차이가 gDTR 패턴을 만드는가?</w:t>
            </w:r>
          </w:p>
        </w:tc>
      </w:tr>
      <w:tr>
        <w:tc>
          <w:tcPr>
            <w:tcW w:type="dxa" w:w="3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bCs/>
                <w:color w:val="1F2937"/>
                <w:sz w:val="18"/>
                <w:szCs w:val="18"/>
              </w:rPr>
              <w:t xml:space="preserve">NT-v2 vs DNABERT-2</w:t>
            </w:r>
          </w:p>
        </w:tc>
        <w:tc>
          <w:tcPr>
            <w:tcW w:type="dxa" w:w="61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같은 MLM·Transformer 내에서 tokenization(6-mer vs BPE) 효과 분리.</w:t>
            </w:r>
          </w:p>
        </w:tc>
      </w:tr>
      <w:tr>
        <w:tc>
          <w:tcPr>
            <w:tcW w:type="dxa" w:w="3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bCs/>
                <w:color w:val="1F2937"/>
                <w:sz w:val="18"/>
                <w:szCs w:val="18"/>
              </w:rPr>
              <w:t xml:space="preserve">4-way concordance</w:t>
            </w:r>
          </w:p>
        </w:tc>
        <w:tc>
          <w:tcPr>
            <w:tcW w:type="dxa" w:w="61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4개 모델 모두 high-gDTR로 식별한 position의 functional annotation enrichment — architecture-invariant signal.</w:t>
            </w:r>
          </w:p>
        </w:tc>
      </w:tr>
    </w:tbl>
    <w:p>
      <w:pPr>
        <w:spacing w:after="60" w:before="60"/>
      </w:pPr>
      <w:r>
        <w:t xml:space="preserve"/>
      </w:r>
    </w:p>
    <w:p>
      <w:pPr>
        <w:pStyle w:val="Heading3"/>
        <w:spacing w:after="100" w:before="220"/>
      </w:pPr>
      <w:r>
        <w:rPr>
          <w:rFonts w:ascii="맑은 고딕" w:cs="맑은 고딕" w:eastAsia="맑은 고딕" w:hAnsi="맑은 고딕"/>
          <w:b/>
          <w:bCs/>
          <w:color w:val="374151"/>
          <w:sz w:val="23"/>
          <w:szCs w:val="23"/>
        </w:rPr>
        <w:t xml:space="preserve">3.8.1 분석</w:t>
      </w:r>
    </w:p>
    <w:p>
      <w:pPr>
        <w:pStyle w:val="ListParagraph"/>
        <w:numPr>
          <w:ilvl w:val="0"/>
          <w:numId w:val="2"/>
        </w:numPr>
        <w:spacing w:after="40" w:before="40" w:line="300"/>
      </w:pPr>
      <w:r>
        <w:rPr>
          <w:rFonts w:ascii="맑은 고딕" w:cs="맑은 고딕" w:eastAsia="맑은 고딕" w:hAnsi="맑은 고딕"/>
          <w:b w:val="false"/>
          <w:bCs w:val="false"/>
          <w:i w:val="false"/>
          <w:iCs w:val="false"/>
          <w:color w:val="1F2937"/>
          <w:sz w:val="22"/>
          <w:szCs w:val="22"/>
        </w:rPr>
        <w:t xml:space="preserve">Pairwise Spearman rank correlation (gDTR 순위)</w:t>
      </w:r>
    </w:p>
    <w:p>
      <w:pPr>
        <w:pStyle w:val="ListParagraph"/>
        <w:numPr>
          <w:ilvl w:val="0"/>
          <w:numId w:val="2"/>
        </w:numPr>
        <w:spacing w:after="40" w:before="40" w:line="300"/>
      </w:pPr>
      <w:r>
        <w:rPr>
          <w:rFonts w:ascii="맑은 고딕" w:cs="맑은 고딕" w:eastAsia="맑은 고딕" w:hAnsi="맑은 고딕"/>
          <w:b w:val="false"/>
          <w:bCs w:val="false"/>
          <w:i w:val="false"/>
          <w:iCs w:val="false"/>
          <w:color w:val="1F2937"/>
          <w:sz w:val="22"/>
          <w:szCs w:val="22"/>
        </w:rPr>
        <w:t xml:space="preserve">Three/four-way concordance: 모든 모델에서 상위 10%인 position의 GENCODE/ENCODE enrichment</w:t>
      </w:r>
    </w:p>
    <w:p>
      <w:pPr>
        <w:pStyle w:val="ListParagraph"/>
        <w:numPr>
          <w:ilvl w:val="0"/>
          <w:numId w:val="2"/>
        </w:numPr>
        <w:spacing w:after="40" w:before="40" w:line="300"/>
      </w:pPr>
      <w:r>
        <w:rPr>
          <w:rFonts w:ascii="맑은 고딕" w:cs="맑은 고딕" w:eastAsia="맑은 고딕" w:hAnsi="맑은 고딕"/>
          <w:b w:val="false"/>
          <w:bCs w:val="false"/>
          <w:i w:val="false"/>
          <w:iCs w:val="false"/>
          <w:color w:val="1F2937"/>
          <w:sz w:val="22"/>
          <w:szCs w:val="22"/>
        </w:rPr>
        <w:t xml:space="preserve">Selective concordance: coding region에서만 일치하는지, regulatory region에서만 일치하는지</w:t>
      </w:r>
    </w:p>
    <w:p>
      <w:pPr>
        <w:pStyle w:val="Heading3"/>
        <w:spacing w:after="100" w:before="220"/>
      </w:pPr>
      <w:r>
        <w:rPr>
          <w:rFonts w:ascii="맑은 고딕" w:cs="맑은 고딕" w:eastAsia="맑은 고딕" w:hAnsi="맑은 고딕"/>
          <w:b/>
          <w:bCs/>
          <w:color w:val="374151"/>
          <w:sz w:val="23"/>
          <w:szCs w:val="23"/>
        </w:rPr>
        <w:t xml:space="preserve">3.8.2 해석</w:t>
      </w:r>
    </w:p>
    <w:p>
      <w:pPr>
        <w:pStyle w:val="ListParagraph"/>
        <w:numPr>
          <w:ilvl w:val="0"/>
          <w:numId w:val="2"/>
        </w:numPr>
        <w:spacing w:after="40" w:before="40" w:line="300"/>
      </w:pPr>
      <w:r>
        <w:rPr>
          <w:rFonts w:ascii="맑은 고딕" w:cs="맑은 고딕" w:eastAsia="맑은 고딕" w:hAnsi="맑은 고딕"/>
          <w:b/>
          <w:bCs/>
          <w:i w:val="false"/>
          <w:iCs w:val="false"/>
          <w:color w:val="1F2937"/>
          <w:sz w:val="22"/>
          <w:szCs w:val="22"/>
        </w:rPr>
        <w:t xml:space="preserve">높은 concordance (ρ &gt; 0.5): </w:t>
      </w:r>
      <w:r>
        <w:rPr>
          <w:rFonts w:ascii="맑은 고딕" w:cs="맑은 고딕" w:eastAsia="맑은 고딕" w:hAnsi="맑은 고딕"/>
          <w:b w:val="false"/>
          <w:bCs w:val="false"/>
          <w:i w:val="false"/>
          <w:iCs w:val="false"/>
          <w:color w:val="1F2937"/>
          <w:sz w:val="22"/>
          <w:szCs w:val="22"/>
        </w:rPr>
        <w:t xml:space="preserve">architecture와 무관한 생물학적 signal</w:t>
      </w:r>
    </w:p>
    <w:p>
      <w:pPr>
        <w:pStyle w:val="ListParagraph"/>
        <w:numPr>
          <w:ilvl w:val="0"/>
          <w:numId w:val="2"/>
        </w:numPr>
        <w:spacing w:after="40" w:before="40" w:line="300"/>
      </w:pPr>
      <w:r>
        <w:rPr>
          <w:rFonts w:ascii="맑은 고딕" w:cs="맑은 고딕" w:eastAsia="맑은 고딕" w:hAnsi="맑은 고딕"/>
          <w:b/>
          <w:bCs/>
          <w:i w:val="false"/>
          <w:iCs w:val="false"/>
          <w:color w:val="1F2937"/>
          <w:sz w:val="22"/>
          <w:szCs w:val="22"/>
        </w:rPr>
        <w:t xml:space="preserve">낮은 concordance (ρ &lt; 0.2): </w:t>
      </w:r>
      <w:r>
        <w:rPr>
          <w:rFonts w:ascii="맑은 고딕" w:cs="맑은 고딕" w:eastAsia="맑은 고딕" w:hAnsi="맑은 고딕"/>
          <w:b w:val="false"/>
          <w:bCs w:val="false"/>
          <w:i w:val="false"/>
          <w:iCs w:val="false"/>
          <w:color w:val="1F2937"/>
          <w:sz w:val="22"/>
          <w:szCs w:val="22"/>
        </w:rPr>
        <w:t xml:space="preserve">architecture-specific artifact, gDTR 해석 시 주의</w:t>
      </w:r>
    </w:p>
    <w:p>
      <w:pPr>
        <w:pStyle w:val="ListParagraph"/>
        <w:numPr>
          <w:ilvl w:val="0"/>
          <w:numId w:val="2"/>
        </w:numPr>
        <w:spacing w:after="40" w:before="40" w:line="300"/>
      </w:pPr>
      <w:r>
        <w:rPr>
          <w:rFonts w:ascii="맑은 고딕" w:cs="맑은 고딕" w:eastAsia="맑은 고딕" w:hAnsi="맑은 고딕"/>
          <w:b/>
          <w:bCs/>
          <w:i w:val="false"/>
          <w:iCs w:val="false"/>
          <w:color w:val="1F2937"/>
          <w:sz w:val="22"/>
          <w:szCs w:val="22"/>
        </w:rPr>
        <w:t xml:space="preserve">Selective concordance: </w:t>
      </w:r>
      <w:r>
        <w:rPr>
          <w:rFonts w:ascii="맑은 고딕" w:cs="맑은 고딕" w:eastAsia="맑은 고딕" w:hAnsi="맑은 고딕"/>
          <w:b w:val="false"/>
          <w:bCs w:val="false"/>
          <w:i w:val="false"/>
          <w:iCs w:val="false"/>
          <w:color w:val="1F2937"/>
          <w:sz w:val="22"/>
          <w:szCs w:val="22"/>
        </w:rPr>
        <w:t xml:space="preserve">특정 context에서만 보편적 difficulty가 존재</w:t>
      </w:r>
    </w:p>
    <w:p>
      <w:pPr>
        <w:pStyle w:val="Heading3"/>
        <w:spacing w:after="100" w:before="220"/>
      </w:pPr>
      <w:r>
        <w:rPr>
          <w:rFonts w:ascii="맑은 고딕" w:cs="맑은 고딕" w:eastAsia="맑은 고딕" w:hAnsi="맑은 고딕"/>
          <w:b/>
          <w:bCs/>
          <w:color w:val="374151"/>
          <w:sz w:val="23"/>
          <w:szCs w:val="23"/>
        </w:rPr>
        <w:t xml:space="preserve">3.8.3 Training Data Confounder 통제</w:t>
      </w:r>
    </w:p>
    <w:p>
      <w:pPr>
        <w:pStyle w:val="ListParagraph"/>
        <w:numPr>
          <w:ilvl w:val="0"/>
          <w:numId w:val="2"/>
        </w:numPr>
        <w:spacing w:after="40" w:before="40" w:line="300"/>
      </w:pPr>
      <w:r>
        <w:rPr>
          <w:rFonts w:ascii="맑은 고딕" w:cs="맑은 고딕" w:eastAsia="맑은 고딕" w:hAnsi="맑은 고딕"/>
          <w:b w:val="false"/>
          <w:bCs w:val="false"/>
          <w:i w:val="false"/>
          <w:iCs w:val="false"/>
          <w:color w:val="1F2937"/>
          <w:sz w:val="22"/>
          <w:szCs w:val="22"/>
        </w:rPr>
        <w:t xml:space="preserve">NT의 multispecies vs 1000G model 비교로 training data 효과 평가</w:t>
      </w:r>
    </w:p>
    <w:p>
      <w:pPr>
        <w:pStyle w:val="ListParagraph"/>
        <w:numPr>
          <w:ilvl w:val="0"/>
          <w:numId w:val="2"/>
        </w:numPr>
        <w:spacing w:after="40" w:before="40" w:line="300"/>
      </w:pPr>
      <w:r>
        <w:rPr>
          <w:rFonts w:ascii="맑은 고딕" w:cs="맑은 고딕" w:eastAsia="맑은 고딕" w:hAnsi="맑은 고딕"/>
          <w:b w:val="false"/>
          <w:bCs w:val="false"/>
          <w:i w:val="false"/>
          <w:iCs w:val="false"/>
          <w:color w:val="1F2937"/>
          <w:sz w:val="22"/>
          <w:szCs w:val="22"/>
        </w:rPr>
        <w:t xml:space="preserve">Training set에 포함되지 않은 species genome(예: 비표준 모델 생물)에서 cross-model gDTR 산출 시도</w:t>
      </w:r>
    </w:p>
    <w:p>
      <w:pPr>
        <w:pStyle w:val="Heading2"/>
        <w:spacing w:after="140" w:before="280"/>
      </w:pPr>
      <w:r>
        <w:rPr>
          <w:rFonts w:ascii="맑은 고딕" w:cs="맑은 고딕" w:eastAsia="맑은 고딕" w:hAnsi="맑은 고딕"/>
          <w:b/>
          <w:bCs/>
          <w:color w:val="1E3A8A"/>
          <w:sz w:val="26"/>
          <w:szCs w:val="26"/>
        </w:rPr>
        <w:t xml:space="preserve">3.9 Phase 5 — gDTR-Conservation Discordance Analysis</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v1과 동일. Chr22에 single-nucleotide resolution settling depth track을 bigWig로 생성하여 UCSC/IGV에서 시각화.</w:t>
      </w:r>
    </w:p>
    <w:p>
      <w:pPr>
        <w:pStyle w:val="Heading3"/>
        <w:spacing w:after="100" w:before="220"/>
      </w:pPr>
      <w:r>
        <w:rPr>
          <w:rFonts w:ascii="맑은 고딕" w:cs="맑은 고딕" w:eastAsia="맑은 고딕" w:hAnsi="맑은 고딕"/>
          <w:b/>
          <w:bCs/>
          <w:color w:val="374151"/>
          <w:sz w:val="23"/>
          <w:szCs w:val="23"/>
        </w:rPr>
        <w:t xml:space="preserve">3.9.1 사분면 분석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700"/>
        <w:gridCol w:w="4860"/>
      </w:tblGrid>
      <w:tr>
        <w:tc>
          <w:tcPr>
            <w:tcW w:type="dxa" w:w="170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사분면</w:t>
            </w:r>
          </w:p>
        </w:tc>
        <w:tc>
          <w:tcPr>
            <w:tcW w:type="dxa" w:w="110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gDTR</w:t>
            </w:r>
          </w:p>
        </w:tc>
        <w:tc>
          <w:tcPr>
            <w:tcW w:type="dxa" w:w="170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Conservation</w:t>
            </w:r>
          </w:p>
        </w:tc>
        <w:tc>
          <w:tcPr>
            <w:tcW w:type="dxa" w:w="486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해석</w:t>
            </w:r>
          </w:p>
        </w:tc>
      </w:tr>
      <w:tr>
        <w:tc>
          <w:tcPr>
            <w:tcW w:type="dxa" w:w="1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1F2937"/>
                <w:sz w:val="18"/>
                <w:szCs w:val="18"/>
              </w:rPr>
              <w:t xml:space="preserve">Q1</w:t>
            </w:r>
          </w:p>
        </w:tc>
        <w:tc>
          <w:tcPr>
            <w:tcW w:type="dxa" w:w="11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높음</w:t>
            </w:r>
          </w:p>
        </w:tc>
        <w:tc>
          <w:tcPr>
            <w:tcW w:type="dxa" w:w="1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높음</w:t>
            </w:r>
          </w:p>
        </w:tc>
        <w:tc>
          <w:tcPr>
            <w:tcW w:type="dxa" w:w="48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진화적으로 보존된 복합 기능 영역</w:t>
            </w:r>
          </w:p>
        </w:tc>
      </w:tr>
      <w:tr>
        <w:tc>
          <w:tcPr>
            <w:tcW w:type="dxa" w:w="1700"/>
            <w:tcBorders>
              <w:top w:val="single" w:color="9CA3AF" w:sz="4"/>
              <w:left w:val="single" w:color="9CA3AF" w:sz="4"/>
              <w:bottom w:val="single" w:color="9CA3AF" w:sz="4"/>
              <w:right w:val="single" w:color="9CA3AF" w:sz="4"/>
            </w:tcBorders>
            <w:shd w:fill="FEF3C7"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1F2937"/>
                <w:sz w:val="18"/>
                <w:szCs w:val="18"/>
              </w:rPr>
              <w:t xml:space="preserve">Q2</w:t>
            </w:r>
          </w:p>
        </w:tc>
        <w:tc>
          <w:tcPr>
            <w:tcW w:type="dxa" w:w="1100"/>
            <w:tcBorders>
              <w:top w:val="single" w:color="9CA3AF" w:sz="4"/>
              <w:left w:val="single" w:color="9CA3AF" w:sz="4"/>
              <w:bottom w:val="single" w:color="9CA3AF" w:sz="4"/>
              <w:right w:val="single" w:color="9CA3AF" w:sz="4"/>
            </w:tcBorders>
            <w:shd w:fill="FEF3C7"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높음</w:t>
            </w:r>
          </w:p>
        </w:tc>
        <w:tc>
          <w:tcPr>
            <w:tcW w:type="dxa" w:w="1700"/>
            <w:tcBorders>
              <w:top w:val="single" w:color="9CA3AF" w:sz="4"/>
              <w:left w:val="single" w:color="9CA3AF" w:sz="4"/>
              <w:bottom w:val="single" w:color="9CA3AF" w:sz="4"/>
              <w:right w:val="single" w:color="9CA3AF" w:sz="4"/>
            </w:tcBorders>
            <w:shd w:fill="FEF3C7"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낮음</w:t>
            </w:r>
          </w:p>
        </w:tc>
        <w:tc>
          <w:tcPr>
            <w:tcW w:type="dxa" w:w="4860"/>
            <w:tcBorders>
              <w:top w:val="single" w:color="9CA3AF" w:sz="4"/>
              <w:left w:val="single" w:color="9CA3AF" w:sz="4"/>
              <w:bottom w:val="single" w:color="9CA3AF" w:sz="4"/>
              <w:right w:val="single" w:color="9CA3AF" w:sz="4"/>
            </w:tcBorders>
            <w:shd w:fill="FEF3C7" w:val="clear"/>
            <w:tcMar>
              <w:top w:type="dxa" w:w="80"/>
              <w:left w:type="dxa" w:w="120"/>
              <w:bottom w:type="dxa" w:w="80"/>
              <w:right w:type="dxa" w:w="120"/>
            </w:tcMar>
          </w:tcPr>
          <w:p>
            <w:pPr>
              <w:spacing w:after="40" w:before="40" w:line="280"/>
              <w:jc w:val="left"/>
            </w:pPr>
            <w:r>
              <w:rPr>
                <w:rFonts w:ascii="맑은 고딕" w:cs="맑은 고딕" w:eastAsia="맑은 고딕" w:hAnsi="맑은 고딕"/>
                <w:b/>
                <w:bCs/>
                <w:color w:val="1F2937"/>
                <w:sz w:val="18"/>
                <w:szCs w:val="18"/>
              </w:rPr>
              <w:t xml:space="preserve">핵심 발견 대상. recently evolved regulatory, species-specific enhancer, balancing selection 후보.</w:t>
            </w:r>
          </w:p>
        </w:tc>
      </w:tr>
      <w:tr>
        <w:tc>
          <w:tcPr>
            <w:tcW w:type="dxa" w:w="1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1F2937"/>
                <w:sz w:val="18"/>
                <w:szCs w:val="18"/>
              </w:rPr>
              <w:t xml:space="preserve">Q3</w:t>
            </w:r>
          </w:p>
        </w:tc>
        <w:tc>
          <w:tcPr>
            <w:tcW w:type="dxa" w:w="11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낮음</w:t>
            </w:r>
          </w:p>
        </w:tc>
        <w:tc>
          <w:tcPr>
            <w:tcW w:type="dxa" w:w="1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높음</w:t>
            </w:r>
          </w:p>
        </w:tc>
        <w:tc>
          <w:tcPr>
            <w:tcW w:type="dxa" w:w="48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보존되었으나 예측 용이 — rRNA, simple conserved motif</w:t>
            </w:r>
          </w:p>
        </w:tc>
      </w:tr>
      <w:tr>
        <w:tc>
          <w:tcPr>
            <w:tcW w:type="dxa" w:w="1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1F2937"/>
                <w:sz w:val="18"/>
                <w:szCs w:val="18"/>
              </w:rPr>
              <w:t xml:space="preserve">Q4</w:t>
            </w:r>
          </w:p>
        </w:tc>
        <w:tc>
          <w:tcPr>
            <w:tcW w:type="dxa" w:w="11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낮음</w:t>
            </w:r>
          </w:p>
        </w:tc>
        <w:tc>
          <w:tcPr>
            <w:tcW w:type="dxa" w:w="1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낮음</w:t>
            </w:r>
          </w:p>
        </w:tc>
        <w:tc>
          <w:tcPr>
            <w:tcW w:type="dxa" w:w="48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기능적 제약 없는 영역</w:t>
            </w:r>
          </w:p>
        </w:tc>
      </w:tr>
    </w:tbl>
    <w:p>
      <w:pPr>
        <w:spacing w:after="60" w:before="60"/>
      </w:pPr>
      <w:r>
        <w:t xml:space="preserve"/>
      </w:r>
    </w:p>
    <w:p>
      <w:pPr>
        <w:pStyle w:val="Heading3"/>
        <w:spacing w:after="100" w:before="220"/>
      </w:pPr>
      <w:r>
        <w:rPr>
          <w:rFonts w:ascii="맑은 고딕" w:cs="맑은 고딕" w:eastAsia="맑은 고딕" w:hAnsi="맑은 고딕"/>
          <w:b/>
          <w:bCs/>
          <w:color w:val="374151"/>
          <w:sz w:val="23"/>
          <w:szCs w:val="23"/>
        </w:rPr>
        <w:t xml:space="preserve">3.9.2 Q2 영역 Enrichment 분석</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우선순위 순:</w:t>
      </w:r>
    </w:p>
    <w:p>
      <w:pPr>
        <w:pStyle w:val="ListParagraph"/>
        <w:numPr>
          <w:ilvl w:val="0"/>
          <w:numId w:val="3"/>
        </w:numPr>
        <w:spacing w:after="40" w:before="40" w:line="300"/>
      </w:pPr>
      <w:r>
        <w:rPr>
          <w:rFonts w:ascii="맑은 고딕" w:cs="맑은 고딕" w:eastAsia="맑은 고딕" w:hAnsi="맑은 고딕"/>
          <w:b w:val="false"/>
          <w:bCs w:val="false"/>
          <w:i w:val="false"/>
          <w:iCs w:val="false"/>
          <w:color w:val="1F2937"/>
          <w:sz w:val="22"/>
          <w:szCs w:val="22"/>
        </w:rPr>
        <w:t xml:space="preserve">ENCODE chromatin accessibility (ATAC-seq, DNase-seq peaks) 중첩</w:t>
      </w:r>
    </w:p>
    <w:p>
      <w:pPr>
        <w:pStyle w:val="ListParagraph"/>
        <w:numPr>
          <w:ilvl w:val="0"/>
          <w:numId w:val="3"/>
        </w:numPr>
        <w:spacing w:after="40" w:before="40" w:line="300"/>
      </w:pPr>
      <w:r>
        <w:rPr>
          <w:rFonts w:ascii="맑은 고딕" w:cs="맑은 고딕" w:eastAsia="맑은 고딕" w:hAnsi="맑은 고딕"/>
          <w:b w:val="false"/>
          <w:bCs w:val="false"/>
          <w:i w:val="false"/>
          <w:iCs w:val="false"/>
          <w:color w:val="1F2937"/>
          <w:sz w:val="22"/>
          <w:szCs w:val="22"/>
        </w:rPr>
        <w:t xml:space="preserve">Histone modification: H3K4me1+H3K27ac (active enhancer), H3K4me3 (active promoter)</w:t>
      </w:r>
    </w:p>
    <w:p>
      <w:pPr>
        <w:pStyle w:val="ListParagraph"/>
        <w:numPr>
          <w:ilvl w:val="0"/>
          <w:numId w:val="3"/>
        </w:numPr>
        <w:spacing w:after="40" w:before="40" w:line="300"/>
      </w:pPr>
      <w:r>
        <w:rPr>
          <w:rFonts w:ascii="맑은 고딕" w:cs="맑은 고딕" w:eastAsia="맑은 고딕" w:hAnsi="맑은 고딕"/>
          <w:b w:val="false"/>
          <w:bCs w:val="false"/>
          <w:i w:val="false"/>
          <w:iCs w:val="false"/>
          <w:color w:val="1F2937"/>
          <w:sz w:val="22"/>
          <w:szCs w:val="22"/>
        </w:rPr>
        <w:t xml:space="preserve">GTEx v8 significant eQTLs (FDR &lt; 0.05) 중첩</w:t>
      </w:r>
    </w:p>
    <w:p>
      <w:pPr>
        <w:pStyle w:val="ListParagraph"/>
        <w:numPr>
          <w:ilvl w:val="0"/>
          <w:numId w:val="3"/>
        </w:numPr>
        <w:spacing w:after="40" w:before="40" w:line="300"/>
      </w:pPr>
      <w:r>
        <w:rPr>
          <w:rFonts w:ascii="맑은 고딕" w:cs="맑은 고딕" w:eastAsia="맑은 고딕" w:hAnsi="맑은 고딕"/>
          <w:b w:val="false"/>
          <w:bCs w:val="false"/>
          <w:i w:val="false"/>
          <w:iCs w:val="false"/>
          <w:color w:val="1F2937"/>
          <w:sz w:val="22"/>
          <w:szCs w:val="22"/>
        </w:rPr>
        <w:t xml:space="preserve">Tissue-specific activity (Roadmap Epigenomics)</w:t>
      </w:r>
    </w:p>
    <w:p>
      <w:pPr>
        <w:pStyle w:val="ListParagraph"/>
        <w:numPr>
          <w:ilvl w:val="0"/>
          <w:numId w:val="3"/>
        </w:numPr>
        <w:spacing w:after="40" w:before="40" w:line="300"/>
      </w:pPr>
      <w:r>
        <w:rPr>
          <w:rFonts w:ascii="맑은 고딕" w:cs="맑은 고딕" w:eastAsia="맑은 고딕" w:hAnsi="맑은 고딕"/>
          <w:b w:val="false"/>
          <w:bCs w:val="false"/>
          <w:i w:val="false"/>
          <w:iCs w:val="false"/>
          <w:color w:val="1F2937"/>
          <w:sz w:val="22"/>
          <w:szCs w:val="22"/>
        </w:rPr>
        <w:t xml:space="preserve">Transposable element origin (RepeatMasker) — 신규 enhancer evolution 단서</w:t>
      </w:r>
    </w:p>
    <w:p>
      <w:pPr>
        <w:pStyle w:val="ListParagraph"/>
        <w:numPr>
          <w:ilvl w:val="0"/>
          <w:numId w:val="3"/>
        </w:numPr>
        <w:spacing w:after="40" w:before="40" w:line="300"/>
      </w:pPr>
      <w:r>
        <w:rPr>
          <w:rFonts w:ascii="맑은 고딕" w:cs="맑은 고딕" w:eastAsia="맑은 고딕" w:hAnsi="맑은 고딕"/>
          <w:b w:val="false"/>
          <w:bCs w:val="false"/>
          <w:i w:val="false"/>
          <w:iCs w:val="false"/>
          <w:color w:val="1F2937"/>
          <w:sz w:val="22"/>
          <w:szCs w:val="22"/>
        </w:rPr>
        <w:t xml:space="preserve">GWAS Catalog enrichment</w:t>
      </w:r>
    </w:p>
    <w:p>
      <w:r>
        <w:br w:type="page"/>
      </w:r>
    </w:p>
    <w:p>
      <w:pPr>
        <w:pStyle w:val="Heading2"/>
        <w:spacing w:after="140" w:before="280"/>
      </w:pPr>
      <w:r>
        <w:rPr>
          <w:rFonts w:ascii="맑은 고딕" w:cs="맑은 고딕" w:eastAsia="맑은 고딕" w:hAnsi="맑은 고딕"/>
          <w:b/>
          <w:bCs/>
          <w:color w:val="1E3A8A"/>
          <w:sz w:val="26"/>
          <w:szCs w:val="26"/>
        </w:rPr>
        <w:t xml:space="preserve">3.10 Phase 6 — gDTR × SAE 결합 분석 (옵션, v2 신규)</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v1에는 없던 옵션 분석으로, Goodfire가 공개한 Evo 2 layer 26 SAE feature와 본 연구의 gDTR signal을 결합하는 후속 작업이다.</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핵심 질문:</w:t>
      </w:r>
    </w:p>
    <w:p>
      <w:pPr>
        <w:spacing w:after="100" w:before="100"/>
        <w:jc w:val="center"/>
      </w:pPr>
      <w:r>
        <w:rPr>
          <w:rFonts w:ascii="맑은 고딕" w:cs="맑은 고딕" w:eastAsia="맑은 고딕" w:hAnsi="맑은 고딕"/>
          <w:b/>
          <w:bCs/>
          <w:i w:val="false"/>
          <w:iCs w:val="false"/>
          <w:color w:val="1E40AF"/>
          <w:sz w:val="22"/>
          <w:szCs w:val="22"/>
        </w:rPr>
        <w:t xml:space="preserve">「Deep-thinking position에서 어떤 SAE feature가 발화하는가? Q2(High gDTR, Low conservation) 영역에서 monosemantic feature의 분포가 다른가?」</w:t>
      </w:r>
    </w:p>
    <w:p>
      <w:pPr>
        <w:spacing w:after="60" w:before="60" w:line="320"/>
        <w:jc w:val="left"/>
      </w:pPr>
      <w:r>
        <w:rPr>
          <w:rFonts w:ascii="맑은 고딕" w:cs="맑은 고딕" w:eastAsia="맑은 고딕" w:hAnsi="맑은 고딕"/>
          <w:b w:val="false"/>
          <w:bCs w:val="false"/>
          <w:i w:val="false"/>
          <w:iCs w:val="false"/>
          <w:color w:val="1F2937"/>
          <w:sz w:val="22"/>
          <w:szCs w:val="22"/>
        </w:rPr>
        <w:t xml:space="preserve">절차:</w:t>
      </w:r>
    </w:p>
    <w:p>
      <w:pPr>
        <w:pStyle w:val="ListParagraph"/>
        <w:numPr>
          <w:ilvl w:val="0"/>
          <w:numId w:val="3"/>
        </w:numPr>
        <w:spacing w:after="40" w:before="40" w:line="300"/>
      </w:pPr>
      <w:r>
        <w:rPr>
          <w:rFonts w:ascii="맑은 고딕" w:cs="맑은 고딕" w:eastAsia="맑은 고딕" w:hAnsi="맑은 고딕"/>
          <w:b w:val="false"/>
          <w:bCs w:val="false"/>
          <w:i w:val="false"/>
          <w:iCs w:val="false"/>
          <w:color w:val="1F2937"/>
          <w:sz w:val="22"/>
          <w:szCs w:val="22"/>
        </w:rPr>
        <w:t xml:space="preserve">Goodfire 공개 SAE를 Evo 2 layer 26에 적용 — 각 position의 sparse feature activation을 획득</w:t>
      </w:r>
    </w:p>
    <w:p>
      <w:pPr>
        <w:pStyle w:val="ListParagraph"/>
        <w:numPr>
          <w:ilvl w:val="0"/>
          <w:numId w:val="3"/>
        </w:numPr>
        <w:spacing w:after="40" w:before="40" w:line="300"/>
      </w:pPr>
      <w:r>
        <w:rPr>
          <w:rFonts w:ascii="맑은 고딕" w:cs="맑은 고딕" w:eastAsia="맑은 고딕" w:hAnsi="맑은 고딕"/>
          <w:b w:val="false"/>
          <w:bCs w:val="false"/>
          <w:i w:val="false"/>
          <w:iCs w:val="false"/>
          <w:color w:val="1F2937"/>
          <w:sz w:val="22"/>
          <w:szCs w:val="22"/>
        </w:rPr>
        <w:t xml:space="preserve">Phase 2에서 산출한 position-level gDTR과 결합 — feature × gDTR matrix 구축</w:t>
      </w:r>
    </w:p>
    <w:p>
      <w:pPr>
        <w:pStyle w:val="ListParagraph"/>
        <w:numPr>
          <w:ilvl w:val="0"/>
          <w:numId w:val="3"/>
        </w:numPr>
        <w:spacing w:after="40" w:before="40" w:line="300"/>
      </w:pPr>
      <w:r>
        <w:rPr>
          <w:rFonts w:ascii="맑은 고딕" w:cs="맑은 고딕" w:eastAsia="맑은 고딕" w:hAnsi="맑은 고딕"/>
          <w:b w:val="false"/>
          <w:bCs w:val="false"/>
          <w:i w:val="false"/>
          <w:iCs w:val="false"/>
          <w:color w:val="1F2937"/>
          <w:sz w:val="22"/>
          <w:szCs w:val="22"/>
        </w:rPr>
        <w:t xml:space="preserve">High-gDTR position에서 differential하게 활성화되는 feature 추출 (Mann-Whitney U + BH-FDR)</w:t>
      </w:r>
    </w:p>
    <w:p>
      <w:pPr>
        <w:pStyle w:val="ListParagraph"/>
        <w:numPr>
          <w:ilvl w:val="0"/>
          <w:numId w:val="3"/>
        </w:numPr>
        <w:spacing w:after="40" w:before="40" w:line="300"/>
      </w:pPr>
      <w:r>
        <w:rPr>
          <w:rFonts w:ascii="맑은 고딕" w:cs="맑은 고딕" w:eastAsia="맑은 고딕" w:hAnsi="맑은 고딕"/>
          <w:b w:val="false"/>
          <w:bCs w:val="false"/>
          <w:i w:val="false"/>
          <w:iCs w:val="false"/>
          <w:color w:val="1F2937"/>
          <w:sz w:val="22"/>
          <w:szCs w:val="22"/>
        </w:rPr>
        <w:t xml:space="preserve">그 feature들의 자동 라벨(Goodfire/Neuronpedia) 검토 — 'deep-thinking과 연관된 개념'의 정성적 해석</w:t>
      </w:r>
    </w:p>
    <w:p>
      <w:pPr>
        <w:spacing w:after="60" w:before="60" w:line="320"/>
        <w:jc w:val="left"/>
      </w:pPr>
      <w:r>
        <w:rPr>
          <w:rFonts w:ascii="맑은 고딕" w:cs="맑은 고딕" w:eastAsia="맑은 고딕" w:hAnsi="맑은 고딕"/>
          <w:b w:val="false"/>
          <w:bCs w:val="false"/>
          <w:i/>
          <w:iCs/>
          <w:color w:val="1F2937"/>
          <w:sz w:val="22"/>
          <w:szCs w:val="22"/>
        </w:rPr>
        <w:t xml:space="preserve">이 분석은 'gDTR이 잡는 신호가 SAE가 잡는 개념과 어떻게 정렬되는가'에 대한 첫 번째 cross-validation이며, 본 연구의 후속(혹은 별도 단편) 논문 거리이다.</w:t>
      </w:r>
    </w:p>
    <w:p>
      <w:pPr>
        <w:pStyle w:val="Heading1"/>
        <w:spacing w:after="180" w:before="360"/>
      </w:pPr>
      <w:r>
        <w:rPr>
          <w:rFonts w:ascii="맑은 고딕" w:cs="맑은 고딕" w:eastAsia="맑은 고딕" w:hAnsi="맑은 고딕"/>
          <w:b/>
          <w:bCs/>
          <w:color w:val="1E40AF"/>
          <w:sz w:val="32"/>
          <w:szCs w:val="32"/>
        </w:rPr>
        <w:t xml:space="preserve">4. 연구 진행 일정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900"/>
        <w:gridCol w:w="4660"/>
      </w:tblGrid>
      <w:tr>
        <w:tc>
          <w:tcPr>
            <w:tcW w:type="dxa" w:w="150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Phase</w:t>
            </w:r>
          </w:p>
        </w:tc>
        <w:tc>
          <w:tcPr>
            <w:tcW w:type="dxa" w:w="130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기간</w:t>
            </w:r>
          </w:p>
        </w:tc>
        <w:tc>
          <w:tcPr>
            <w:tcW w:type="dxa" w:w="190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플랫폼</w:t>
            </w:r>
          </w:p>
        </w:tc>
        <w:tc>
          <w:tcPr>
            <w:tcW w:type="dxa" w:w="466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주요 활동</w:t>
            </w:r>
          </w:p>
        </w:tc>
      </w:tr>
      <w:tr>
        <w:tc>
          <w:tcPr>
            <w:tcW w:type="dxa" w:w="1500"/>
            <w:tcBorders>
              <w:top w:val="single" w:color="9CA3AF" w:sz="4"/>
              <w:left w:val="single" w:color="9CA3AF" w:sz="4"/>
              <w:bottom w:val="single" w:color="9CA3AF" w:sz="4"/>
              <w:right w:val="single" w:color="9CA3AF" w:sz="4"/>
            </w:tcBorders>
            <w:shd w:fill="FEF3C7"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1F2937"/>
                <w:sz w:val="18"/>
                <w:szCs w:val="18"/>
              </w:rPr>
              <w:t xml:space="preserve">Phase 0</w:t>
            </w:r>
          </w:p>
        </w:tc>
        <w:tc>
          <w:tcPr>
            <w:tcW w:type="dxa" w:w="1300"/>
            <w:tcBorders>
              <w:top w:val="single" w:color="9CA3AF" w:sz="4"/>
              <w:left w:val="single" w:color="9CA3AF" w:sz="4"/>
              <w:bottom w:val="single" w:color="9CA3AF" w:sz="4"/>
              <w:right w:val="single" w:color="9CA3AF" w:sz="4"/>
            </w:tcBorders>
            <w:shd w:fill="FEF3C7"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Week 1–3</w:t>
            </w:r>
          </w:p>
        </w:tc>
        <w:tc>
          <w:tcPr>
            <w:tcW w:type="dxa" w:w="1900"/>
            <w:tcBorders>
              <w:top w:val="single" w:color="9CA3AF" w:sz="4"/>
              <w:left w:val="single" w:color="9CA3AF" w:sz="4"/>
              <w:bottom w:val="single" w:color="9CA3AF" w:sz="4"/>
              <w:right w:val="single" w:color="9CA3AF" w:sz="4"/>
            </w:tcBorders>
            <w:shd w:fill="FEF3C7" w:val="clear"/>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RTX 3090 / Colab</w:t>
            </w:r>
          </w:p>
        </w:tc>
        <w:tc>
          <w:tcPr>
            <w:tcW w:type="dxa" w:w="4660"/>
            <w:tcBorders>
              <w:top w:val="single" w:color="9CA3AF" w:sz="4"/>
              <w:left w:val="single" w:color="9CA3AF" w:sz="4"/>
              <w:bottom w:val="single" w:color="9CA3AF" w:sz="4"/>
              <w:right w:val="single" w:color="9CA3AF" w:sz="4"/>
            </w:tcBorders>
            <w:shd w:fill="FEF3C7" w:val="clear"/>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HyenaDNA gDTR 파이프라인 + sanity check + go/no-go gate</w:t>
            </w:r>
          </w:p>
        </w:tc>
      </w:tr>
      <w:tr>
        <w:tc>
          <w:tcPr>
            <w:tcW w:type="dxa" w:w="15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1F2937"/>
                <w:sz w:val="18"/>
                <w:szCs w:val="18"/>
              </w:rPr>
              <w:t xml:space="preserve">Phase 1</w:t>
            </w:r>
          </w:p>
        </w:tc>
        <w:tc>
          <w:tcPr>
            <w:tcW w:type="dxa" w:w="1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Month 1–2</w:t>
            </w:r>
          </w:p>
        </w:tc>
        <w:tc>
          <w:tcPr>
            <w:tcW w:type="dxa" w:w="1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Lambda H100</w:t>
            </w:r>
          </w:p>
        </w:tc>
        <w:tc>
          <w:tcPr>
            <w:tcW w:type="dxa" w:w="46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Evo 2 DTR 직접 적용 + UR-gDTR + hyper-parameter calibration</w:t>
            </w:r>
          </w:p>
        </w:tc>
      </w:tr>
      <w:tr>
        <w:tc>
          <w:tcPr>
            <w:tcW w:type="dxa" w:w="15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1F2937"/>
                <w:sz w:val="18"/>
                <w:szCs w:val="18"/>
              </w:rPr>
              <w:t xml:space="preserve">Phase 2</w:t>
            </w:r>
          </w:p>
        </w:tc>
        <w:tc>
          <w:tcPr>
            <w:tcW w:type="dxa" w:w="1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Month 2–3</w:t>
            </w:r>
          </w:p>
        </w:tc>
        <w:tc>
          <w:tcPr>
            <w:tcW w:type="dxa" w:w="1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Lambda H100</w:t>
            </w:r>
          </w:p>
        </w:tc>
        <w:tc>
          <w:tcPr>
            <w:tcW w:type="dxa" w:w="46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Chr22 genome-wide profiling, context별 분석</w:t>
            </w:r>
          </w:p>
        </w:tc>
      </w:tr>
      <w:tr>
        <w:tc>
          <w:tcPr>
            <w:tcW w:type="dxa" w:w="15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1F2937"/>
                <w:sz w:val="18"/>
                <w:szCs w:val="18"/>
              </w:rPr>
              <w:t xml:space="preserve">Phase 3</w:t>
            </w:r>
          </w:p>
        </w:tc>
        <w:tc>
          <w:tcPr>
            <w:tcW w:type="dxa" w:w="1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Month 3–4</w:t>
            </w:r>
          </w:p>
        </w:tc>
        <w:tc>
          <w:tcPr>
            <w:tcW w:type="dxa" w:w="1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Lambda H100</w:t>
            </w:r>
          </w:p>
        </w:tc>
        <w:tc>
          <w:tcPr>
            <w:tcW w:type="dxa" w:w="46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ClinVar 15 gene Δ-gDTR + 통계 + ensemble</w:t>
            </w:r>
          </w:p>
        </w:tc>
      </w:tr>
      <w:tr>
        <w:tc>
          <w:tcPr>
            <w:tcW w:type="dxa" w:w="15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1F2937"/>
                <w:sz w:val="18"/>
                <w:szCs w:val="18"/>
              </w:rPr>
              <w:t xml:space="preserve">Phase 4</w:t>
            </w:r>
          </w:p>
        </w:tc>
        <w:tc>
          <w:tcPr>
            <w:tcW w:type="dxa" w:w="1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Month 4–5</w:t>
            </w:r>
          </w:p>
        </w:tc>
        <w:tc>
          <w:tcPr>
            <w:tcW w:type="dxa" w:w="1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A100 spot</w:t>
            </w:r>
          </w:p>
        </w:tc>
        <w:tc>
          <w:tcPr>
            <w:tcW w:type="dxa" w:w="46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Cross-architecture concordance (Evo 2 / HyenaDNA / NT / DNABERT-2)</w:t>
            </w:r>
          </w:p>
        </w:tc>
      </w:tr>
      <w:tr>
        <w:tc>
          <w:tcPr>
            <w:tcW w:type="dxa" w:w="15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1F2937"/>
                <w:sz w:val="18"/>
                <w:szCs w:val="18"/>
              </w:rPr>
              <w:t xml:space="preserve">Phase 5</w:t>
            </w:r>
          </w:p>
        </w:tc>
        <w:tc>
          <w:tcPr>
            <w:tcW w:type="dxa" w:w="1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Month 5</w:t>
            </w:r>
          </w:p>
        </w:tc>
        <w:tc>
          <w:tcPr>
            <w:tcW w:type="dxa" w:w="1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로컬</w:t>
            </w:r>
          </w:p>
        </w:tc>
        <w:tc>
          <w:tcPr>
            <w:tcW w:type="dxa" w:w="46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gDTR-PhyloP 사분면, Q2 enrichment</w:t>
            </w:r>
          </w:p>
        </w:tc>
      </w:tr>
      <w:tr>
        <w:tc>
          <w:tcPr>
            <w:tcW w:type="dxa" w:w="1500"/>
            <w:tcBorders>
              <w:top w:val="single" w:color="9CA3AF" w:sz="4"/>
              <w:left w:val="single" w:color="9CA3AF" w:sz="4"/>
              <w:bottom w:val="single" w:color="9CA3AF" w:sz="4"/>
              <w:right w:val="single" w:color="9CA3AF" w:sz="4"/>
            </w:tcBorders>
            <w:shd w:fill="DBEAFE"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1F2937"/>
                <w:sz w:val="18"/>
                <w:szCs w:val="18"/>
              </w:rPr>
              <w:t xml:space="preserve">Phase 6 (옵션)</w:t>
            </w:r>
          </w:p>
        </w:tc>
        <w:tc>
          <w:tcPr>
            <w:tcW w:type="dxa" w:w="1300"/>
            <w:tcBorders>
              <w:top w:val="single" w:color="9CA3AF" w:sz="4"/>
              <w:left w:val="single" w:color="9CA3AF" w:sz="4"/>
              <w:bottom w:val="single" w:color="9CA3AF" w:sz="4"/>
              <w:right w:val="single" w:color="9CA3AF" w:sz="4"/>
            </w:tcBorders>
            <w:shd w:fill="DBEAFE"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Month 5–6</w:t>
            </w:r>
          </w:p>
        </w:tc>
        <w:tc>
          <w:tcPr>
            <w:tcW w:type="dxa" w:w="1900"/>
            <w:tcBorders>
              <w:top w:val="single" w:color="9CA3AF" w:sz="4"/>
              <w:left w:val="single" w:color="9CA3AF" w:sz="4"/>
              <w:bottom w:val="single" w:color="9CA3AF" w:sz="4"/>
              <w:right w:val="single" w:color="9CA3AF" w:sz="4"/>
            </w:tcBorders>
            <w:shd w:fill="DBEAFE" w:val="clear"/>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로컬 + Lambda</w:t>
            </w:r>
          </w:p>
        </w:tc>
        <w:tc>
          <w:tcPr>
            <w:tcW w:type="dxa" w:w="4660"/>
            <w:tcBorders>
              <w:top w:val="single" w:color="9CA3AF" w:sz="4"/>
              <w:left w:val="single" w:color="9CA3AF" w:sz="4"/>
              <w:bottom w:val="single" w:color="9CA3AF" w:sz="4"/>
              <w:right w:val="single" w:color="9CA3AF" w:sz="4"/>
            </w:tcBorders>
            <w:shd w:fill="DBEAFE" w:val="clear"/>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Goodfire SAE × gDTR 결합 분석</w:t>
            </w:r>
          </w:p>
        </w:tc>
      </w:tr>
      <w:tr>
        <w:tc>
          <w:tcPr>
            <w:tcW w:type="dxa" w:w="15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1F2937"/>
                <w:sz w:val="18"/>
                <w:szCs w:val="18"/>
              </w:rPr>
              <w:t xml:space="preserve">논문</w:t>
            </w:r>
          </w:p>
        </w:tc>
        <w:tc>
          <w:tcPr>
            <w:tcW w:type="dxa" w:w="13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Month 5–6</w:t>
            </w:r>
          </w:p>
        </w:tc>
        <w:tc>
          <w:tcPr>
            <w:tcW w:type="dxa" w:w="1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center"/>
            </w:pPr>
            <w:r>
              <w:rPr>
                <w:rFonts w:ascii="맑은 고딕" w:cs="맑은 고딕" w:eastAsia="맑은 고딕" w:hAnsi="맑은 고딕"/>
                <w:b w:val="false"/>
                <w:bCs w:val="false"/>
                <w:color w:val="1F2937"/>
                <w:sz w:val="18"/>
                <w:szCs w:val="18"/>
              </w:rPr>
              <w:t xml:space="preserve">—</w:t>
            </w:r>
          </w:p>
        </w:tc>
        <w:tc>
          <w:tcPr>
            <w:tcW w:type="dxa" w:w="46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Drafting + figure + 공동저자 리뷰</w:t>
            </w:r>
          </w:p>
        </w:tc>
      </w:tr>
    </w:tbl>
    <w:p>
      <w:r>
        <w:br w:type="page"/>
      </w:r>
    </w:p>
    <w:p>
      <w:pPr>
        <w:pStyle w:val="Heading1"/>
        <w:spacing w:after="180" w:before="360"/>
      </w:pPr>
      <w:r>
        <w:rPr>
          <w:rFonts w:ascii="맑은 고딕" w:cs="맑은 고딕" w:eastAsia="맑은 고딕" w:hAnsi="맑은 고딕"/>
          <w:b/>
          <w:bCs/>
          <w:color w:val="1E40AF"/>
          <w:sz w:val="32"/>
          <w:szCs w:val="32"/>
        </w:rPr>
        <w:t xml:space="preserve">5. 기대효과 및 공헌도</w:t>
      </w:r>
    </w:p>
    <w:p>
      <w:pPr>
        <w:pStyle w:val="Heading2"/>
        <w:spacing w:after="140" w:before="280"/>
      </w:pPr>
      <w:r>
        <w:rPr>
          <w:rFonts w:ascii="맑은 고딕" w:cs="맑은 고딕" w:eastAsia="맑은 고딕" w:hAnsi="맑은 고딕"/>
          <w:b/>
          <w:bCs/>
          <w:color w:val="1E3A8A"/>
          <w:sz w:val="26"/>
          <w:szCs w:val="26"/>
        </w:rPr>
        <w:t xml:space="preserve">5.1 방법론적 공헌</w:t>
      </w:r>
    </w:p>
    <w:p>
      <w:pPr>
        <w:spacing w:after="60" w:before="60" w:line="320"/>
        <w:jc w:val="left"/>
      </w:pPr>
      <w:r>
        <w:rPr>
          <w:rFonts w:ascii="맑은 고딕" w:cs="맑은 고딕" w:eastAsia="맑은 고딕" w:hAnsi="맑은 고딕"/>
          <w:b/>
          <w:bCs/>
          <w:i w:val="false"/>
          <w:iCs w:val="false"/>
          <w:color w:val="1F2937"/>
          <w:sz w:val="22"/>
          <w:szCs w:val="22"/>
        </w:rPr>
        <w:t xml:space="preserve">Training-free genomic interpretability framework. </w:t>
      </w:r>
      <w:r>
        <w:rPr>
          <w:rFonts w:ascii="맑은 고딕" w:cs="맑은 고딕" w:eastAsia="맑은 고딕" w:hAnsi="맑은 고딕"/>
          <w:b w:val="false"/>
          <w:bCs w:val="false"/>
          <w:i w:val="false"/>
          <w:iCs w:val="false"/>
          <w:color w:val="1F2937"/>
          <w:sz w:val="22"/>
          <w:szCs w:val="22"/>
        </w:rPr>
        <w:t xml:space="preserve">Attention map(어디를 보는가), SAE(무엇을 인코딩하는가)와 질적으로 다른 'inverse interpretability'(어디에서 어려움을 겪는가) 축을 genomic 분야에 도입. Training-free라 새로운 CLM이 공개될 때마다 즉시 적용 가능.</w:t>
      </w:r>
    </w:p>
    <w:p>
      <w:pPr>
        <w:spacing w:after="60" w:before="60" w:line="320"/>
        <w:jc w:val="left"/>
      </w:pPr>
      <w:r>
        <w:rPr>
          <w:rFonts w:ascii="맑은 고딕" w:cs="맑은 고딕" w:eastAsia="맑은 고딕" w:hAnsi="맑은 고딕"/>
          <w:b/>
          <w:bCs/>
          <w:i w:val="false"/>
          <w:iCs w:val="false"/>
          <w:color w:val="1F2937"/>
          <w:sz w:val="22"/>
          <w:szCs w:val="22"/>
        </w:rPr>
        <w:t xml:space="preserve">CLM 기반 DTR의 첫 genomic 적용. </w:t>
      </w:r>
      <w:r>
        <w:rPr>
          <w:rFonts w:ascii="맑은 고딕" w:cs="맑은 고딕" w:eastAsia="맑은 고딕" w:hAnsi="맑은 고딕"/>
          <w:b w:val="false"/>
          <w:bCs w:val="false"/>
          <w:i w:val="false"/>
          <w:iCs w:val="false"/>
          <w:color w:val="1F2937"/>
          <w:sz w:val="22"/>
          <w:szCs w:val="22"/>
        </w:rPr>
        <w:t xml:space="preserve">원본 DTR(NLP, autoregressive)을 genomic CLM(Evo, HyenaDNA)에 적용한 첫 사례. 동시에 MLM(NT, DNABERT-2)으로의 cross-comparison으로 'CLM/MLM 간 gDTR signal의 차이'를 명시적으로 보고.</w:t>
      </w:r>
    </w:p>
    <w:p>
      <w:pPr>
        <w:spacing w:after="60" w:before="60" w:line="320"/>
        <w:jc w:val="left"/>
      </w:pPr>
      <w:r>
        <w:rPr>
          <w:rFonts w:ascii="맑은 고딕" w:cs="맑은 고딕" w:eastAsia="맑은 고딕" w:hAnsi="맑은 고딕"/>
          <w:b/>
          <w:bCs/>
          <w:i w:val="false"/>
          <w:iCs w:val="false"/>
          <w:color w:val="1F2937"/>
          <w:sz w:val="22"/>
          <w:szCs w:val="22"/>
        </w:rPr>
        <w:t xml:space="preserve">Hybrid architecture에 대한 logit lens 적용 검증. </w:t>
      </w:r>
      <w:r>
        <w:rPr>
          <w:rFonts w:ascii="맑은 고딕" w:cs="맑은 고딕" w:eastAsia="맑은 고딕" w:hAnsi="맑은 고딕"/>
          <w:b w:val="false"/>
          <w:bCs w:val="false"/>
          <w:i w:val="false"/>
          <w:iCs w:val="false"/>
          <w:color w:val="1F2937"/>
          <w:sz w:val="22"/>
          <w:szCs w:val="22"/>
        </w:rPr>
        <w:t xml:space="preserve">StripedHyena 2의 attention block과 Hyena conv block에서 logit lens가 어떻게 작동하는지에 대한 systematic 보고는 본 연구가 첫 사례.</w:t>
      </w:r>
    </w:p>
    <w:p>
      <w:pPr>
        <w:pStyle w:val="Heading2"/>
        <w:spacing w:after="140" w:before="280"/>
      </w:pPr>
      <w:r>
        <w:rPr>
          <w:rFonts w:ascii="맑은 고딕" w:cs="맑은 고딕" w:eastAsia="맑은 고딕" w:hAnsi="맑은 고딕"/>
          <w:b/>
          <w:bCs/>
          <w:color w:val="1E3A8A"/>
          <w:sz w:val="26"/>
          <w:szCs w:val="26"/>
        </w:rPr>
        <w:t xml:space="preserve">5.2 생물학적 공헌</w:t>
      </w:r>
    </w:p>
    <w:p>
      <w:pPr>
        <w:spacing w:after="60" w:before="60" w:line="320"/>
        <w:jc w:val="left"/>
      </w:pPr>
      <w:r>
        <w:rPr>
          <w:rFonts w:ascii="맑은 고딕" w:cs="맑은 고딕" w:eastAsia="맑은 고딕" w:hAnsi="맑은 고딕"/>
          <w:b/>
          <w:bCs/>
          <w:i w:val="false"/>
          <w:iCs w:val="false"/>
          <w:color w:val="1F2937"/>
          <w:sz w:val="22"/>
          <w:szCs w:val="22"/>
        </w:rPr>
        <w:t xml:space="preserve">Computational difficulty map. </w:t>
      </w:r>
      <w:r>
        <w:rPr>
          <w:rFonts w:ascii="맑은 고딕" w:cs="맑은 고딕" w:eastAsia="맑은 고딕" w:hAnsi="맑은 고딕"/>
          <w:b w:val="false"/>
          <w:bCs w:val="false"/>
          <w:i w:val="false"/>
          <w:iCs w:val="false"/>
          <w:color w:val="1F2937"/>
          <w:sz w:val="22"/>
          <w:szCs w:val="22"/>
        </w:rPr>
        <w:t xml:space="preserve">PhyloP/GERP 기반 conservation track과 독립적인, 모델 기반의 새로운 genomic annotation layer. 특히 recently evolved regulatory element이나 species-specific functional element 발견에 기여.</w:t>
      </w:r>
    </w:p>
    <w:p>
      <w:pPr>
        <w:spacing w:after="60" w:before="60" w:line="320"/>
        <w:jc w:val="left"/>
      </w:pPr>
      <w:r>
        <w:rPr>
          <w:rFonts w:ascii="맑은 고딕" w:cs="맑은 고딕" w:eastAsia="맑은 고딕" w:hAnsi="맑은 고딕"/>
          <w:b/>
          <w:bCs/>
          <w:i w:val="false"/>
          <w:iCs w:val="false"/>
          <w:color w:val="1F2937"/>
          <w:sz w:val="22"/>
          <w:szCs w:val="22"/>
        </w:rPr>
        <w:t xml:space="preserve">Cancer variant interpretation의 새로운 차원. </w:t>
      </w:r>
      <w:r>
        <w:rPr>
          <w:rFonts w:ascii="맑은 고딕" w:cs="맑은 고딕" w:eastAsia="맑은 고딕" w:hAnsi="맑은 고딕"/>
          <w:b w:val="false"/>
          <w:bCs w:val="false"/>
          <w:i w:val="false"/>
          <w:iCs w:val="false"/>
          <w:color w:val="1F2937"/>
          <w:sz w:val="22"/>
          <w:szCs w:val="22"/>
        </w:rPr>
        <w:t xml:space="preserve">CADD(보존+epigenomics), AlphaMissense(단백질 구조), Evo 2 likelihood(서열 likelihood)와는 구분되는 '연산 깊이 변화' 신호를 제공. Non-coding variant 해석에서 새로운 관점.</w:t>
      </w:r>
    </w:p>
    <w:p>
      <w:pPr>
        <w:spacing w:after="60" w:before="60" w:line="320"/>
        <w:jc w:val="left"/>
      </w:pPr>
      <w:r>
        <w:rPr>
          <w:rFonts w:ascii="맑은 고딕" w:cs="맑은 고딕" w:eastAsia="맑은 고딕" w:hAnsi="맑은 고딕"/>
          <w:b/>
          <w:bCs/>
          <w:i w:val="false"/>
          <w:iCs w:val="false"/>
          <w:color w:val="1F2937"/>
          <w:sz w:val="22"/>
          <w:szCs w:val="22"/>
        </w:rPr>
        <w:t xml:space="preserve">gDTR-Conservation discordance(Q2) 영역 발굴. </w:t>
      </w:r>
      <w:r>
        <w:rPr>
          <w:rFonts w:ascii="맑은 고딕" w:cs="맑은 고딕" w:eastAsia="맑은 고딕" w:hAnsi="맑은 고딕"/>
          <w:b w:val="false"/>
          <w:bCs w:val="false"/>
          <w:i w:val="false"/>
          <w:iCs w:val="false"/>
          <w:color w:val="1F2937"/>
          <w:sz w:val="22"/>
          <w:szCs w:val="22"/>
        </w:rPr>
        <w:t xml:space="preserve">DNA language model이 진화적 보존 이외의 서열 문법을 학습하고 있다는 증거. epigenomic 활성과 연관될 경우 인간이 아직 이해하지 못한 genomic grammar의 단서.</w:t>
      </w:r>
    </w:p>
    <w:p>
      <w:pPr>
        <w:pStyle w:val="Heading2"/>
        <w:spacing w:after="140" w:before="280"/>
      </w:pPr>
      <w:r>
        <w:rPr>
          <w:rFonts w:ascii="맑은 고딕" w:cs="맑은 고딕" w:eastAsia="맑은 고딕" w:hAnsi="맑은 고딕"/>
          <w:b/>
          <w:bCs/>
          <w:color w:val="1E3A8A"/>
          <w:sz w:val="26"/>
          <w:szCs w:val="26"/>
        </w:rPr>
        <w:t xml:space="preserve">5.3 ML/Interpretability 관점의 공헌</w:t>
      </w:r>
    </w:p>
    <w:p>
      <w:pPr>
        <w:spacing w:after="60" w:before="60" w:line="320"/>
        <w:jc w:val="left"/>
      </w:pPr>
      <w:r>
        <w:rPr>
          <w:rFonts w:ascii="맑은 고딕" w:cs="맑은 고딕" w:eastAsia="맑은 고딕" w:hAnsi="맑은 고딕"/>
          <w:b/>
          <w:bCs/>
          <w:i w:val="false"/>
          <w:iCs w:val="false"/>
          <w:color w:val="1F2937"/>
          <w:sz w:val="22"/>
          <w:szCs w:val="22"/>
        </w:rPr>
        <w:t xml:space="preserve">GLM 학습의 비판적 분석. </w:t>
      </w:r>
      <w:r>
        <w:rPr>
          <w:rFonts w:ascii="맑은 고딕" w:cs="맑은 고딕" w:eastAsia="맑은 고딕" w:hAnsi="맑은 고딕"/>
          <w:b w:val="false"/>
          <w:bCs w:val="false"/>
          <w:i w:val="false"/>
          <w:iCs w:val="false"/>
          <w:color w:val="1F2937"/>
          <w:sz w:val="22"/>
          <w:szCs w:val="22"/>
        </w:rPr>
        <w:t xml:space="preserve">gDTR의 유용성과 한계를 동시에 규명. '쉽게 예측되는 position'이 정말 덜 중요한가? DTR 낮음이 '학습 완료'인가 '관심 없음'인가? Genomic AI의 신뢰성 있는 활용을 위한 비판적 기반 제공.</w:t>
      </w:r>
    </w:p>
    <w:p>
      <w:pPr>
        <w:spacing w:after="60" w:before="60" w:line="320"/>
        <w:jc w:val="left"/>
      </w:pPr>
      <w:r>
        <w:rPr>
          <w:rFonts w:ascii="맑은 고딕" w:cs="맑은 고딕" w:eastAsia="맑은 고딕" w:hAnsi="맑은 고딕"/>
          <w:b/>
          <w:bCs/>
          <w:i w:val="false"/>
          <w:iCs w:val="false"/>
          <w:color w:val="1F2937"/>
          <w:sz w:val="22"/>
          <w:szCs w:val="22"/>
        </w:rPr>
        <w:t xml:space="preserve">Architecture-invariant signal 검증. </w:t>
      </w:r>
      <w:r>
        <w:rPr>
          <w:rFonts w:ascii="맑은 고딕" w:cs="맑은 고딕" w:eastAsia="맑은 고딕" w:hAnsi="맑은 고딕"/>
          <w:b w:val="false"/>
          <w:bCs w:val="false"/>
          <w:i w:val="false"/>
          <w:iCs w:val="false"/>
          <w:color w:val="1F2937"/>
          <w:sz w:val="22"/>
          <w:szCs w:val="22"/>
        </w:rPr>
        <w:t xml:space="preserve">Hybrid CLM(Evo 2) vs Hyena CLM(HyenaDNA) vs Transformer MLM(NT, DNABERT-2)에서 동일 position의 'difficulty' 일치도는 genomic foundation model 학습의 보편성에 대한 fundamental 질문에 답한다.</w:t>
      </w:r>
    </w:p>
    <w:p>
      <w:pPr>
        <w:spacing w:after="60" w:before="60" w:line="320"/>
        <w:jc w:val="left"/>
      </w:pPr>
      <w:r>
        <w:rPr>
          <w:rFonts w:ascii="맑은 고딕" w:cs="맑은 고딕" w:eastAsia="맑은 고딕" w:hAnsi="맑은 고딕"/>
          <w:b/>
          <w:bCs/>
          <w:i w:val="false"/>
          <w:iCs w:val="false"/>
          <w:color w:val="1F2937"/>
          <w:sz w:val="22"/>
          <w:szCs w:val="22"/>
        </w:rPr>
        <w:t xml:space="preserve">Mechanistic interp의 production application 사례. </w:t>
      </w:r>
      <w:r>
        <w:rPr>
          <w:rFonts w:ascii="맑은 고딕" w:cs="맑은 고딕" w:eastAsia="맑은 고딕" w:hAnsi="맑은 고딕"/>
          <w:b w:val="false"/>
          <w:bCs w:val="false"/>
          <w:i w:val="false"/>
          <w:iCs w:val="false"/>
          <w:color w:val="1F2937"/>
          <w:sz w:val="22"/>
          <w:szCs w:val="22"/>
        </w:rPr>
        <w:t xml:space="preserve">Logit lens를 'production scoring signal'로 활용한 'Think Deep, Not Just Long'(NLP)의 정신을 genomic 분야로 확장한 첫 작업이며, mechanistic interpretability의 응용 가능성을 보여주는 사례.</w:t>
      </w:r>
    </w:p>
    <w:p>
      <w:pPr>
        <w:pStyle w:val="Heading2"/>
        <w:spacing w:after="140" w:before="280"/>
      </w:pPr>
      <w:r>
        <w:rPr>
          <w:rFonts w:ascii="맑은 고딕" w:cs="맑은 고딕" w:eastAsia="맑은 고딕" w:hAnsi="맑은 고딕"/>
          <w:b/>
          <w:bCs/>
          <w:color w:val="1E3A8A"/>
          <w:sz w:val="26"/>
          <w:szCs w:val="26"/>
        </w:rPr>
        <w:t xml:space="preserve">5.4 예상 제한점 및 대응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잠재적 한계</w:t>
            </w:r>
          </w:p>
        </w:tc>
        <w:tc>
          <w:tcPr>
            <w:tcW w:type="dxa" w:w="4860"/>
            <w:tcBorders>
              <w:top w:val="single" w:color="9CA3AF" w:sz="4"/>
              <w:left w:val="single" w:color="9CA3AF" w:sz="4"/>
              <w:bottom w:val="single" w:color="9CA3AF" w:sz="4"/>
              <w:right w:val="single" w:color="9CA3AF" w:sz="4"/>
            </w:tcBorders>
            <w:shd w:fill="1E40AF" w:val="clear"/>
            <w:tcMar>
              <w:top w:type="dxa" w:w="80"/>
              <w:left w:type="dxa" w:w="120"/>
              <w:bottom w:type="dxa" w:w="80"/>
              <w:right w:type="dxa" w:w="120"/>
            </w:tcMar>
          </w:tcPr>
          <w:p>
            <w:pPr>
              <w:spacing w:after="40" w:before="40" w:line="280"/>
              <w:jc w:val="center"/>
            </w:pPr>
            <w:r>
              <w:rPr>
                <w:rFonts w:ascii="맑은 고딕" w:cs="맑은 고딕" w:eastAsia="맑은 고딕" w:hAnsi="맑은 고딕"/>
                <w:b/>
                <w:bCs/>
                <w:color w:val="FFFFFF"/>
                <w:sz w:val="18"/>
                <w:szCs w:val="18"/>
              </w:rPr>
              <w:t xml:space="preserve">대응 방안</w:t>
            </w:r>
          </w:p>
        </w:tc>
      </w:tr>
      <w:tr>
        <w:tc>
          <w:tcPr>
            <w:tcW w:type="dxa" w:w="45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HyenaDNA PoC에서 gDTR이 flat noise만 보임</w:t>
            </w:r>
          </w:p>
        </w:tc>
        <w:tc>
          <w:tcPr>
            <w:tcW w:type="dxa" w:w="48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Logit lens 적용 layer를 attention block 직후로 한정. tuned lens 도입 검토. UR-gDTR로 우회.</w:t>
            </w:r>
          </w:p>
        </w:tc>
      </w:tr>
      <w:tr>
        <w:tc>
          <w:tcPr>
            <w:tcW w:type="dxa" w:w="45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Evo 2 hidden state 추출이 메모리 한계에 도달</w:t>
            </w:r>
          </w:p>
        </w:tc>
        <w:tc>
          <w:tcPr>
            <w:tcW w:type="dxa" w:w="48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Context를 8K로 축소 + sequential layer 처리. Hook으로 필요 layer만 즉시 CPU offload.</w:t>
            </w:r>
          </w:p>
        </w:tc>
      </w:tr>
      <w:tr>
        <w:tc>
          <w:tcPr>
            <w:tcW w:type="dxa" w:w="45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Δ-gDTR이 P/LP vs B/LB를 구분하지 못함 (AUROC &lt; 0.55)</w:t>
            </w:r>
          </w:p>
        </w:tc>
        <w:tc>
          <w:tcPr>
            <w:tcW w:type="dxa" w:w="48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Informative negative result로 reframing. ensemble 효과(기존 score + Δc)에 초점. 또는 variant type stratification에서 partial signal 보고.</w:t>
            </w:r>
          </w:p>
        </w:tc>
      </w:tr>
      <w:tr>
        <w:tc>
          <w:tcPr>
            <w:tcW w:type="dxa" w:w="45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Cross-arch concordance가 매우 낮음 (ρ &lt; 0.2)</w:t>
            </w:r>
          </w:p>
        </w:tc>
        <w:tc>
          <w:tcPr>
            <w:tcW w:type="dxa" w:w="48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Architecture-specific representation의 차이 자체를 새 연구 질문으로 전환. Block-type별 분리 분석 강조.</w:t>
            </w:r>
          </w:p>
        </w:tc>
      </w:tr>
      <w:tr>
        <w:tc>
          <w:tcPr>
            <w:tcW w:type="dxa" w:w="45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StripedHyena conv block에서 logit lens 신호가 noisy</w:t>
            </w:r>
          </w:p>
        </w:tc>
        <w:tc>
          <w:tcPr>
            <w:tcW w:type="dxa" w:w="48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Tuned lens(Belrose 2023) 적용. Attention block 직후만 활용. UR-gDTR로 보완.</w:t>
            </w:r>
          </w:p>
        </w:tc>
      </w:tr>
      <w:tr>
        <w:tc>
          <w:tcPr>
            <w:tcW w:type="dxa" w:w="45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Evo 2 클라우드 비용 부담</w:t>
            </w:r>
          </w:p>
        </w:tc>
        <w:tc>
          <w:tcPr>
            <w:tcW w:type="dxa" w:w="48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spacing w:after="40" w:before="40" w:line="280"/>
              <w:jc w:val="left"/>
            </w:pPr>
            <w:r>
              <w:rPr>
                <w:rFonts w:ascii="맑은 고딕" w:cs="맑은 고딕" w:eastAsia="맑은 고딕" w:hAnsi="맑은 고딕"/>
                <w:b w:val="false"/>
                <w:bCs w:val="false"/>
                <w:color w:val="1F2937"/>
                <w:sz w:val="18"/>
                <w:szCs w:val="18"/>
              </w:rPr>
              <w:t xml:space="preserve">Spot 인스턴스 활용 ($1.5–2.5/hr) + Phase 0 PoC를 로컬에서 처리하여 H100 시간 최소화.</w:t>
            </w:r>
          </w:p>
        </w:tc>
      </w:tr>
    </w:tbl>
    <w:p>
      <w:pPr>
        <w:spacing w:after="60" w:before="60"/>
      </w:pPr>
      <w:r>
        <w:t xml:space="preserve"/>
      </w:r>
    </w:p>
    <w:p>
      <w:pPr>
        <w:pStyle w:val="Heading2"/>
        <w:spacing w:after="140" w:before="280"/>
      </w:pPr>
      <w:r>
        <w:rPr>
          <w:rFonts w:ascii="맑은 고딕" w:cs="맑은 고딕" w:eastAsia="맑은 고딕" w:hAnsi="맑은 고딕"/>
          <w:b/>
          <w:bCs/>
          <w:color w:val="1E3A8A"/>
          <w:sz w:val="26"/>
          <w:szCs w:val="26"/>
        </w:rPr>
        <w:t xml:space="preserve">5.5 Data &amp; Code Availability Plan</w:t>
      </w:r>
    </w:p>
    <w:p>
      <w:pPr>
        <w:pStyle w:val="ListParagraph"/>
        <w:numPr>
          <w:ilvl w:val="0"/>
          <w:numId w:val="2"/>
        </w:numPr>
        <w:spacing w:after="40" w:before="40" w:line="300"/>
      </w:pPr>
      <w:r>
        <w:rPr>
          <w:rFonts w:ascii="맑은 고딕" w:cs="맑은 고딕" w:eastAsia="맑은 고딕" w:hAnsi="맑은 고딕"/>
          <w:b w:val="false"/>
          <w:bCs w:val="false"/>
          <w:i w:val="false"/>
          <w:iCs w:val="false"/>
          <w:color w:val="1F2937"/>
          <w:sz w:val="22"/>
          <w:szCs w:val="22"/>
        </w:rPr>
        <w:t xml:space="preserve">gDTR computation pipeline (PyTorch + HuggingFace Transformers): GitHub 공개, pip-installable</w:t>
      </w:r>
    </w:p>
    <w:p>
      <w:pPr>
        <w:pStyle w:val="ListParagraph"/>
        <w:numPr>
          <w:ilvl w:val="0"/>
          <w:numId w:val="2"/>
        </w:numPr>
        <w:spacing w:after="40" w:before="40" w:line="300"/>
      </w:pPr>
      <w:r>
        <w:rPr>
          <w:rFonts w:ascii="맑은 고딕" w:cs="맑은 고딕" w:eastAsia="맑은 고딕" w:hAnsi="맑은 고딕"/>
          <w:b w:val="false"/>
          <w:bCs w:val="false"/>
          <w:i w:val="false"/>
          <w:iCs w:val="false"/>
          <w:color w:val="1F2937"/>
          <w:sz w:val="22"/>
          <w:szCs w:val="22"/>
        </w:rPr>
        <w:t xml:space="preserve">HyenaDNA PoC notebook + Evo 2 분석 notebook: GitHub repository에 포함</w:t>
      </w:r>
    </w:p>
    <w:p>
      <w:pPr>
        <w:pStyle w:val="ListParagraph"/>
        <w:numPr>
          <w:ilvl w:val="0"/>
          <w:numId w:val="2"/>
        </w:numPr>
        <w:spacing w:after="40" w:before="40" w:line="300"/>
      </w:pPr>
      <w:r>
        <w:rPr>
          <w:rFonts w:ascii="맑은 고딕" w:cs="맑은 고딕" w:eastAsia="맑은 고딕" w:hAnsi="맑은 고딕"/>
          <w:b w:val="false"/>
          <w:bCs w:val="false"/>
          <w:i w:val="false"/>
          <w:iCs w:val="false"/>
          <w:color w:val="1F2937"/>
          <w:sz w:val="22"/>
          <w:szCs w:val="22"/>
        </w:rPr>
        <w:t xml:space="preserve">Genome-wide gDTR tracks (bigWig): UCSC Genome Browser hub 또는 Zenodo</w:t>
      </w:r>
    </w:p>
    <w:p>
      <w:pPr>
        <w:pStyle w:val="ListParagraph"/>
        <w:numPr>
          <w:ilvl w:val="0"/>
          <w:numId w:val="2"/>
        </w:numPr>
        <w:spacing w:after="40" w:before="40" w:line="300"/>
      </w:pPr>
      <w:r>
        <w:rPr>
          <w:rFonts w:ascii="맑은 고딕" w:cs="맑은 고딕" w:eastAsia="맑은 고딕" w:hAnsi="맑은 고딕"/>
          <w:b w:val="false"/>
          <w:bCs w:val="false"/>
          <w:i w:val="false"/>
          <w:iCs w:val="false"/>
          <w:color w:val="1F2937"/>
          <w:sz w:val="22"/>
          <w:szCs w:val="22"/>
        </w:rPr>
        <w:t xml:space="preserve">ClinVar variant Δ-gDTR scores: Supplementary table + downloadable TSV</w:t>
      </w:r>
    </w:p>
    <w:p>
      <w:r>
        <w:br w:type="page"/>
      </w:r>
    </w:p>
    <w:p>
      <w:pPr>
        <w:pStyle w:val="Heading1"/>
        <w:spacing w:after="180" w:before="360"/>
      </w:pPr>
      <w:r>
        <w:rPr>
          <w:rFonts w:ascii="맑은 고딕" w:cs="맑은 고딕" w:eastAsia="맑은 고딕" w:hAnsi="맑은 고딕"/>
          <w:b/>
          <w:bCs/>
          <w:color w:val="1E40AF"/>
          <w:sz w:val="32"/>
          <w:szCs w:val="32"/>
        </w:rPr>
        <w:t xml:space="preserve">6. 참고문헌</w:t>
      </w:r>
    </w:p>
    <w:p>
      <w:pPr>
        <w:spacing w:after="60" w:before="60" w:line="300"/>
        <w:ind w:left="360" w:hanging="360"/>
      </w:pPr>
      <w:r>
        <w:rPr>
          <w:rFonts w:ascii="맑은 고딕" w:cs="맑은 고딕" w:eastAsia="맑은 고딕" w:hAnsi="맑은 고딕"/>
          <w:b/>
          <w:bCs/>
          <w:color w:val="1E40AF"/>
          <w:sz w:val="20"/>
          <w:szCs w:val="20"/>
        </w:rPr>
        <w:t xml:space="preserve">[1] </w:t>
      </w:r>
      <w:r>
        <w:rPr>
          <w:rFonts w:ascii="맑은 고딕" w:cs="맑은 고딕" w:eastAsia="맑은 고딕" w:hAnsi="맑은 고딕"/>
          <w:color w:val="1F2937"/>
          <w:sz w:val="20"/>
          <w:szCs w:val="20"/>
        </w:rPr>
        <w:t xml:space="preserve">Chen, W.-L., Peng, L., Tan, T., Zhao, C., Chen, B.J., Lin, Z., Go, A., &amp; Meng, Y. (2026). Think Deep, Not Just Long: Measuring LLM Reasoning Effort via Deep-Thinking Tokens. arXiv:2602.13517.</w:t>
      </w:r>
    </w:p>
    <w:p>
      <w:pPr>
        <w:spacing w:after="60" w:before="60" w:line="300"/>
        <w:ind w:left="360" w:hanging="360"/>
      </w:pPr>
      <w:r>
        <w:rPr>
          <w:rFonts w:ascii="맑은 고딕" w:cs="맑은 고딕" w:eastAsia="맑은 고딕" w:hAnsi="맑은 고딕"/>
          <w:b/>
          <w:bCs/>
          <w:color w:val="1E40AF"/>
          <w:sz w:val="20"/>
          <w:szCs w:val="20"/>
        </w:rPr>
        <w:t xml:space="preserve">[2] </w:t>
      </w:r>
      <w:r>
        <w:rPr>
          <w:rFonts w:ascii="맑은 고딕" w:cs="맑은 고딕" w:eastAsia="맑은 고딕" w:hAnsi="맑은 고딕"/>
          <w:color w:val="1F2937"/>
          <w:sz w:val="20"/>
          <w:szCs w:val="20"/>
        </w:rPr>
        <w:t xml:space="preserve">Nguyen, E., Poli, M., Durrant, M.G., et al. (2026). Evo 2: Whole-genome modeling with context-length scaling. Nature.</w:t>
      </w:r>
    </w:p>
    <w:p>
      <w:pPr>
        <w:spacing w:after="60" w:before="60" w:line="300"/>
        <w:ind w:left="360" w:hanging="360"/>
      </w:pPr>
      <w:r>
        <w:rPr>
          <w:rFonts w:ascii="맑은 고딕" w:cs="맑은 고딕" w:eastAsia="맑은 고딕" w:hAnsi="맑은 고딕"/>
          <w:b/>
          <w:bCs/>
          <w:color w:val="1E40AF"/>
          <w:sz w:val="20"/>
          <w:szCs w:val="20"/>
        </w:rPr>
        <w:t xml:space="preserve">[3] </w:t>
      </w:r>
      <w:r>
        <w:rPr>
          <w:rFonts w:ascii="맑은 고딕" w:cs="맑은 고딕" w:eastAsia="맑은 고딕" w:hAnsi="맑은 고딕"/>
          <w:color w:val="1F2937"/>
          <w:sz w:val="20"/>
          <w:szCs w:val="20"/>
        </w:rPr>
        <w:t xml:space="preserve">Nguyen, E., Poli, M., Faizi, M., et al. (2024). Sequence modeling and design from molecular to genome scale with Evo. Science.</w:t>
      </w:r>
    </w:p>
    <w:p>
      <w:pPr>
        <w:spacing w:after="60" w:before="60" w:line="300"/>
        <w:ind w:left="360" w:hanging="360"/>
      </w:pPr>
      <w:r>
        <w:rPr>
          <w:rFonts w:ascii="맑은 고딕" w:cs="맑은 고딕" w:eastAsia="맑은 고딕" w:hAnsi="맑은 고딕"/>
          <w:b/>
          <w:bCs/>
          <w:color w:val="1E40AF"/>
          <w:sz w:val="20"/>
          <w:szCs w:val="20"/>
        </w:rPr>
        <w:t xml:space="preserve">[4] </w:t>
      </w:r>
      <w:r>
        <w:rPr>
          <w:rFonts w:ascii="맑은 고딕" w:cs="맑은 고딕" w:eastAsia="맑은 고딕" w:hAnsi="맑은 고딕"/>
          <w:color w:val="1F2937"/>
          <w:sz w:val="20"/>
          <w:szCs w:val="20"/>
        </w:rPr>
        <w:t xml:space="preserve">Goodfire AI × Arc Institute. (2026). Interpreting Evo 2 with BatchTopK SAE on layer 26. goodfire.ai/research.</w:t>
      </w:r>
    </w:p>
    <w:p>
      <w:pPr>
        <w:spacing w:after="60" w:before="60" w:line="300"/>
        <w:ind w:left="360" w:hanging="360"/>
      </w:pPr>
      <w:r>
        <w:rPr>
          <w:rFonts w:ascii="맑은 고딕" w:cs="맑은 고딕" w:eastAsia="맑은 고딕" w:hAnsi="맑은 고딕"/>
          <w:b/>
          <w:bCs/>
          <w:color w:val="1E40AF"/>
          <w:sz w:val="20"/>
          <w:szCs w:val="20"/>
        </w:rPr>
        <w:t xml:space="preserve">[5] </w:t>
      </w:r>
      <w:r>
        <w:rPr>
          <w:rFonts w:ascii="맑은 고딕" w:cs="맑은 고딕" w:eastAsia="맑은 고딕" w:hAnsi="맑은 고딕"/>
          <w:color w:val="1F2937"/>
          <w:sz w:val="20"/>
          <w:szCs w:val="20"/>
        </w:rPr>
        <w:t xml:space="preserve">Nguyen, E., Poli, M., Faizi, M., et al. (2023). HyenaDNA: Long-Range Genomic Sequence Modeling at Single Nucleotide Resolution. NeurIPS 2023.</w:t>
      </w:r>
    </w:p>
    <w:p>
      <w:pPr>
        <w:spacing w:after="60" w:before="60" w:line="300"/>
        <w:ind w:left="360" w:hanging="360"/>
      </w:pPr>
      <w:r>
        <w:rPr>
          <w:rFonts w:ascii="맑은 고딕" w:cs="맑은 고딕" w:eastAsia="맑은 고딕" w:hAnsi="맑은 고딕"/>
          <w:b/>
          <w:bCs/>
          <w:color w:val="1E40AF"/>
          <w:sz w:val="20"/>
          <w:szCs w:val="20"/>
        </w:rPr>
        <w:t xml:space="preserve">[6] </w:t>
      </w:r>
      <w:r>
        <w:rPr>
          <w:rFonts w:ascii="맑은 고딕" w:cs="맑은 고딕" w:eastAsia="맑은 고딕" w:hAnsi="맑은 고딕"/>
          <w:color w:val="1F2937"/>
          <w:sz w:val="20"/>
          <w:szCs w:val="20"/>
        </w:rPr>
        <w:t xml:space="preserve">Dalla-Torre, H., Gonzalez, L., Mendoza-Revilla, J., et al. (2024). Nucleotide Transformer: building and evaluating robust foundation models for human genomics. Nature Methods, 21, 1–11.</w:t>
      </w:r>
    </w:p>
    <w:p>
      <w:pPr>
        <w:spacing w:after="60" w:before="60" w:line="300"/>
        <w:ind w:left="360" w:hanging="360"/>
      </w:pPr>
      <w:r>
        <w:rPr>
          <w:rFonts w:ascii="맑은 고딕" w:cs="맑은 고딕" w:eastAsia="맑은 고딕" w:hAnsi="맑은 고딕"/>
          <w:b/>
          <w:bCs/>
          <w:color w:val="1E40AF"/>
          <w:sz w:val="20"/>
          <w:szCs w:val="20"/>
        </w:rPr>
        <w:t xml:space="preserve">[7] </w:t>
      </w:r>
      <w:r>
        <w:rPr>
          <w:rFonts w:ascii="맑은 고딕" w:cs="맑은 고딕" w:eastAsia="맑은 고딕" w:hAnsi="맑은 고딕"/>
          <w:color w:val="1F2937"/>
          <w:sz w:val="20"/>
          <w:szCs w:val="20"/>
        </w:rPr>
        <w:t xml:space="preserve">Zhou, Z., Ji, Y., Li, W., Dutta, P., Davuluri, R.V., &amp; Liu, H. (2024). DNABERT-2: Efficient Foundation Model and Benchmark for Multi-Species Genome. ICLR 2024.</w:t>
      </w:r>
    </w:p>
    <w:p>
      <w:pPr>
        <w:spacing w:after="60" w:before="60" w:line="300"/>
        <w:ind w:left="360" w:hanging="360"/>
      </w:pPr>
      <w:r>
        <w:rPr>
          <w:rFonts w:ascii="맑은 고딕" w:cs="맑은 고딕" w:eastAsia="맑은 고딕" w:hAnsi="맑은 고딕"/>
          <w:b/>
          <w:bCs/>
          <w:color w:val="1E40AF"/>
          <w:sz w:val="20"/>
          <w:szCs w:val="20"/>
        </w:rPr>
        <w:t xml:space="preserve">[8] </w:t>
      </w:r>
      <w:r>
        <w:rPr>
          <w:rFonts w:ascii="맑은 고딕" w:cs="맑은 고딕" w:eastAsia="맑은 고딕" w:hAnsi="맑은 고딕"/>
          <w:color w:val="1F2937"/>
          <w:sz w:val="20"/>
          <w:szCs w:val="20"/>
        </w:rPr>
        <w:t xml:space="preserve">Belrose, N., Furman, Z., Smith, L., et al. (2023). Eliciting Latent Predictions from Transformers with the Tuned Lens. arXiv:2303.08112.</w:t>
      </w:r>
    </w:p>
    <w:p>
      <w:pPr>
        <w:spacing w:after="60" w:before="60" w:line="300"/>
        <w:ind w:left="360" w:hanging="360"/>
      </w:pPr>
      <w:r>
        <w:rPr>
          <w:rFonts w:ascii="맑은 고딕" w:cs="맑은 고딕" w:eastAsia="맑은 고딕" w:hAnsi="맑은 고딕"/>
          <w:b/>
          <w:bCs/>
          <w:color w:val="1E40AF"/>
          <w:sz w:val="20"/>
          <w:szCs w:val="20"/>
        </w:rPr>
        <w:t xml:space="preserve">[9] </w:t>
      </w:r>
      <w:r>
        <w:rPr>
          <w:rFonts w:ascii="맑은 고딕" w:cs="맑은 고딕" w:eastAsia="맑은 고딕" w:hAnsi="맑은 고딕"/>
          <w:color w:val="1F2937"/>
          <w:sz w:val="20"/>
          <w:szCs w:val="20"/>
        </w:rPr>
        <w:t xml:space="preserve">nostalgebraist. (2020). Interpreting GPT: the Logit Lens. AI Alignment Forum.</w:t>
      </w:r>
    </w:p>
    <w:p>
      <w:pPr>
        <w:spacing w:after="60" w:before="60" w:line="300"/>
        <w:ind w:left="360" w:hanging="360"/>
      </w:pPr>
      <w:r>
        <w:rPr>
          <w:rFonts w:ascii="맑은 고딕" w:cs="맑은 고딕" w:eastAsia="맑은 고딕" w:hAnsi="맑은 고딕"/>
          <w:b/>
          <w:bCs/>
          <w:color w:val="1E40AF"/>
          <w:sz w:val="20"/>
          <w:szCs w:val="20"/>
        </w:rPr>
        <w:t xml:space="preserve">[10] </w:t>
      </w:r>
      <w:r>
        <w:rPr>
          <w:rFonts w:ascii="맑은 고딕" w:cs="맑은 고딕" w:eastAsia="맑은 고딕" w:hAnsi="맑은 고딕"/>
          <w:color w:val="1F2937"/>
          <w:sz w:val="20"/>
          <w:szCs w:val="20"/>
        </w:rPr>
        <w:t xml:space="preserve">Voita, E., Sennrich, R., &amp; Titov, I. (2019). The Bottom-up Evolution of Representations in the Transformer. EMNLP 2019.</w:t>
      </w:r>
    </w:p>
    <w:p>
      <w:pPr>
        <w:spacing w:after="60" w:before="60" w:line="300"/>
        <w:ind w:left="360" w:hanging="360"/>
      </w:pPr>
      <w:r>
        <w:rPr>
          <w:rFonts w:ascii="맑은 고딕" w:cs="맑은 고딕" w:eastAsia="맑은 고딕" w:hAnsi="맑은 고딕"/>
          <w:b/>
          <w:bCs/>
          <w:color w:val="1E40AF"/>
          <w:sz w:val="20"/>
          <w:szCs w:val="20"/>
        </w:rPr>
        <w:t xml:space="preserve">[11] </w:t>
      </w:r>
      <w:r>
        <w:rPr>
          <w:rFonts w:ascii="맑은 고딕" w:cs="맑은 고딕" w:eastAsia="맑은 고딕" w:hAnsi="맑은 고딕"/>
          <w:color w:val="1F2937"/>
          <w:sz w:val="20"/>
          <w:szCs w:val="20"/>
        </w:rPr>
        <w:t xml:space="preserve">Tenney, I., Das, D., &amp; Pavlick, E. (2019). BERT Rediscovers the Classical NLP Pipeline. ACL 2019.</w:t>
      </w:r>
    </w:p>
    <w:p>
      <w:pPr>
        <w:spacing w:after="60" w:before="60" w:line="300"/>
        <w:ind w:left="360" w:hanging="360"/>
      </w:pPr>
      <w:r>
        <w:rPr>
          <w:rFonts w:ascii="맑은 고딕" w:cs="맑은 고딕" w:eastAsia="맑은 고딕" w:hAnsi="맑은 고딕"/>
          <w:b/>
          <w:bCs/>
          <w:color w:val="1E40AF"/>
          <w:sz w:val="20"/>
          <w:szCs w:val="20"/>
        </w:rPr>
        <w:t xml:space="preserve">[12] </w:t>
      </w:r>
      <w:r>
        <w:rPr>
          <w:rFonts w:ascii="맑은 고딕" w:cs="맑은 고딕" w:eastAsia="맑은 고딕" w:hAnsi="맑은 고딕"/>
          <w:color w:val="1F2937"/>
          <w:sz w:val="20"/>
          <w:szCs w:val="20"/>
        </w:rPr>
        <w:t xml:space="preserve">Jain, S. &amp; Wallace, B.C. (2019). Attention is not Explanation. NAACL-HLT 2019.</w:t>
      </w:r>
    </w:p>
    <w:p>
      <w:pPr>
        <w:spacing w:after="60" w:before="60" w:line="300"/>
        <w:ind w:left="360" w:hanging="360"/>
      </w:pPr>
      <w:r>
        <w:rPr>
          <w:rFonts w:ascii="맑은 고딕" w:cs="맑은 고딕" w:eastAsia="맑은 고딕" w:hAnsi="맑은 고딕"/>
          <w:b/>
          <w:bCs/>
          <w:color w:val="1E40AF"/>
          <w:sz w:val="20"/>
          <w:szCs w:val="20"/>
        </w:rPr>
        <w:t xml:space="preserve">[13] </w:t>
      </w:r>
      <w:r>
        <w:rPr>
          <w:rFonts w:ascii="맑은 고딕" w:cs="맑은 고딕" w:eastAsia="맑은 고딕" w:hAnsi="맑은 고딕"/>
          <w:color w:val="1F2937"/>
          <w:sz w:val="20"/>
          <w:szCs w:val="20"/>
        </w:rPr>
        <w:t xml:space="preserve">Bussmann, B., Leask, P., &amp; Nanda, N. (2024). BatchTopK Sparse Autoencoders.</w:t>
      </w:r>
    </w:p>
    <w:p>
      <w:pPr>
        <w:spacing w:after="60" w:before="60" w:line="300"/>
        <w:ind w:left="360" w:hanging="360"/>
      </w:pPr>
      <w:r>
        <w:rPr>
          <w:rFonts w:ascii="맑은 고딕" w:cs="맑은 고딕" w:eastAsia="맑은 고딕" w:hAnsi="맑은 고딕"/>
          <w:b/>
          <w:bCs/>
          <w:color w:val="1E40AF"/>
          <w:sz w:val="20"/>
          <w:szCs w:val="20"/>
        </w:rPr>
        <w:t xml:space="preserve">[14] </w:t>
      </w:r>
      <w:r>
        <w:rPr>
          <w:rFonts w:ascii="맑은 고딕" w:cs="맑은 고딕" w:eastAsia="맑은 고딕" w:hAnsi="맑은 고딕"/>
          <w:color w:val="1F2937"/>
          <w:sz w:val="20"/>
          <w:szCs w:val="20"/>
        </w:rPr>
        <w:t xml:space="preserve">Templeton, A., Bricken, T., et al. (Anthropic, 2024). Scaling Monosemanticity: Extracting Interpretable Features from Claude 3 Sonnet.</w:t>
      </w:r>
    </w:p>
    <w:p>
      <w:pPr>
        <w:spacing w:after="60" w:before="60" w:line="300"/>
        <w:ind w:left="360" w:hanging="360"/>
      </w:pPr>
      <w:r>
        <w:rPr>
          <w:rFonts w:ascii="맑은 고딕" w:cs="맑은 고딕" w:eastAsia="맑은 고딕" w:hAnsi="맑은 고딕"/>
          <w:b/>
          <w:bCs/>
          <w:color w:val="1E40AF"/>
          <w:sz w:val="20"/>
          <w:szCs w:val="20"/>
        </w:rPr>
        <w:t xml:space="preserve">[15] </w:t>
      </w:r>
      <w:r>
        <w:rPr>
          <w:rFonts w:ascii="맑은 고딕" w:cs="맑은 고딕" w:eastAsia="맑은 고딕" w:hAnsi="맑은 고딕"/>
          <w:color w:val="1F2937"/>
          <w:sz w:val="20"/>
          <w:szCs w:val="20"/>
        </w:rPr>
        <w:t xml:space="preserve">Rentzsch, P., Witten, D., Cooper, G.M., Shendure, J., &amp; Kircher, M. (2019). CADD: predicting the deleteriousness of variants throughout the human genome. Nucleic Acids Research, 47(D1), D886–D894.</w:t>
      </w:r>
    </w:p>
    <w:p>
      <w:pPr>
        <w:spacing w:after="60" w:before="60" w:line="300"/>
        <w:ind w:left="360" w:hanging="360"/>
      </w:pPr>
      <w:r>
        <w:rPr>
          <w:rFonts w:ascii="맑은 고딕" w:cs="맑은 고딕" w:eastAsia="맑은 고딕" w:hAnsi="맑은 고딕"/>
          <w:b/>
          <w:bCs/>
          <w:color w:val="1E40AF"/>
          <w:sz w:val="20"/>
          <w:szCs w:val="20"/>
        </w:rPr>
        <w:t xml:space="preserve">[16] </w:t>
      </w:r>
      <w:r>
        <w:rPr>
          <w:rFonts w:ascii="맑은 고딕" w:cs="맑은 고딕" w:eastAsia="맑은 고딕" w:hAnsi="맑은 고딕"/>
          <w:color w:val="1F2937"/>
          <w:sz w:val="20"/>
          <w:szCs w:val="20"/>
        </w:rPr>
        <w:t xml:space="preserve">Cheng, J., Novati, G., Pan, J., et al. (2023). Accurate proteome-wide missense variant effect prediction with AlphaMissense. Science, 381(6664), eadg7492.</w:t>
      </w:r>
    </w:p>
    <w:p>
      <w:pPr>
        <w:spacing w:after="60" w:before="60" w:line="300"/>
        <w:ind w:left="360" w:hanging="360"/>
      </w:pPr>
      <w:r>
        <w:rPr>
          <w:rFonts w:ascii="맑은 고딕" w:cs="맑은 고딕" w:eastAsia="맑은 고딕" w:hAnsi="맑은 고딕"/>
          <w:b/>
          <w:bCs/>
          <w:color w:val="1E40AF"/>
          <w:sz w:val="20"/>
          <w:szCs w:val="20"/>
        </w:rPr>
        <w:t xml:space="preserve">[17] </w:t>
      </w:r>
      <w:r>
        <w:rPr>
          <w:rFonts w:ascii="맑은 고딕" w:cs="맑은 고딕" w:eastAsia="맑은 고딕" w:hAnsi="맑은 고딕"/>
          <w:color w:val="1F2937"/>
          <w:sz w:val="20"/>
          <w:szCs w:val="20"/>
        </w:rPr>
        <w:t xml:space="preserve">Brandes, N., Goldman, G., Wang, C.H., et al. (2023). Genome-wide prediction of disease variant effects with a deep protein language model. Nature Genetics, 55, 1512–1522.</w:t>
      </w:r>
    </w:p>
    <w:p>
      <w:pPr>
        <w:spacing w:after="60" w:before="60" w:line="300"/>
        <w:ind w:left="360" w:hanging="360"/>
      </w:pPr>
      <w:r>
        <w:rPr>
          <w:rFonts w:ascii="맑은 고딕" w:cs="맑은 고딕" w:eastAsia="맑은 고딕" w:hAnsi="맑은 고딕"/>
          <w:b/>
          <w:bCs/>
          <w:color w:val="1E40AF"/>
          <w:sz w:val="20"/>
          <w:szCs w:val="20"/>
        </w:rPr>
        <w:t xml:space="preserve">[18] </w:t>
      </w:r>
      <w:r>
        <w:rPr>
          <w:rFonts w:ascii="맑은 고딕" w:cs="맑은 고딕" w:eastAsia="맑은 고딕" w:hAnsi="맑은 고딕"/>
          <w:color w:val="1F2937"/>
          <w:sz w:val="20"/>
          <w:szCs w:val="20"/>
        </w:rPr>
        <w:t xml:space="preserve">Pollard, K.S., Hubisz, M.J., Rosenbloom, K.R., &amp; Siepel, A. (2010). Detection of nonneutral substitution rates on mammalian phylogenies. Genome Research, 20(1), 110–121.</w:t>
      </w:r>
    </w:p>
    <w:p>
      <w:pPr>
        <w:spacing w:after="60" w:before="60" w:line="300"/>
        <w:ind w:left="360" w:hanging="360"/>
      </w:pPr>
      <w:r>
        <w:rPr>
          <w:rFonts w:ascii="맑은 고딕" w:cs="맑은 고딕" w:eastAsia="맑은 고딕" w:hAnsi="맑은 고딕"/>
          <w:b/>
          <w:bCs/>
          <w:color w:val="1E40AF"/>
          <w:sz w:val="20"/>
          <w:szCs w:val="20"/>
        </w:rPr>
        <w:t xml:space="preserve">[19] </w:t>
      </w:r>
      <w:r>
        <w:rPr>
          <w:rFonts w:ascii="맑은 고딕" w:cs="맑은 고딕" w:eastAsia="맑은 고딕" w:hAnsi="맑은 고딕"/>
          <w:color w:val="1F2937"/>
          <w:sz w:val="20"/>
          <w:szCs w:val="20"/>
        </w:rPr>
        <w:t xml:space="preserve">ENCODE Project Consortium. (2020). Expanded encyclopaedias of DNA elements in the human genome. Nature, 583, 699–710.</w:t>
      </w:r>
    </w:p>
    <w:p>
      <w:pPr>
        <w:spacing w:after="60" w:before="60" w:line="300"/>
        <w:ind w:left="360" w:hanging="360"/>
      </w:pPr>
      <w:r>
        <w:rPr>
          <w:rFonts w:ascii="맑은 고딕" w:cs="맑은 고딕" w:eastAsia="맑은 고딕" w:hAnsi="맑은 고딕"/>
          <w:b/>
          <w:bCs/>
          <w:color w:val="1E40AF"/>
          <w:sz w:val="20"/>
          <w:szCs w:val="20"/>
        </w:rPr>
        <w:t xml:space="preserve">[20] </w:t>
      </w:r>
      <w:r>
        <w:rPr>
          <w:rFonts w:ascii="맑은 고딕" w:cs="맑은 고딕" w:eastAsia="맑은 고딕" w:hAnsi="맑은 고딕"/>
          <w:color w:val="1F2937"/>
          <w:sz w:val="20"/>
          <w:szCs w:val="20"/>
        </w:rPr>
        <w:t xml:space="preserve">GTEx Consortium. (2020). The GTEx Consortium atlas of genetic regulatory effects across human tissues. Science, 369(6509), 1318–1330.</w:t>
      </w:r>
    </w:p>
    <w:p>
      <w:pPr>
        <w:spacing w:after="60" w:before="60" w:line="300"/>
        <w:ind w:left="360" w:hanging="360"/>
      </w:pPr>
      <w:r>
        <w:rPr>
          <w:rFonts w:ascii="맑은 고딕" w:cs="맑은 고딕" w:eastAsia="맑은 고딕" w:hAnsi="맑은 고딕"/>
          <w:b/>
          <w:bCs/>
          <w:color w:val="1E40AF"/>
          <w:sz w:val="20"/>
          <w:szCs w:val="20"/>
        </w:rPr>
        <w:t xml:space="preserve">[21] </w:t>
      </w:r>
      <w:r>
        <w:rPr>
          <w:rFonts w:ascii="맑은 고딕" w:cs="맑은 고딕" w:eastAsia="맑은 고딕" w:hAnsi="맑은 고딕"/>
          <w:color w:val="1F2937"/>
          <w:sz w:val="20"/>
          <w:szCs w:val="20"/>
        </w:rPr>
        <w:t xml:space="preserve">Landrum, M.J., Lee, J.M., Benson, M., et al. (2018). ClinVar: improving access to variant interpretations and supporting evidence. Nucleic Acids Research, 46(D1), D1062–D1067.</w:t>
      </w:r>
    </w:p>
    <w:p>
      <w:pPr>
        <w:spacing w:after="60" w:before="60" w:line="300"/>
        <w:ind w:left="360" w:hanging="360"/>
      </w:pPr>
      <w:r>
        <w:rPr>
          <w:rFonts w:ascii="맑은 고딕" w:cs="맑은 고딕" w:eastAsia="맑은 고딕" w:hAnsi="맑은 고딕"/>
          <w:b/>
          <w:bCs/>
          <w:color w:val="1E40AF"/>
          <w:sz w:val="20"/>
          <w:szCs w:val="20"/>
        </w:rPr>
        <w:t xml:space="preserve">[22] </w:t>
      </w:r>
      <w:r>
        <w:rPr>
          <w:rFonts w:ascii="맑은 고딕" w:cs="맑은 고딕" w:eastAsia="맑은 고딕" w:hAnsi="맑은 고딕"/>
          <w:color w:val="1F2937"/>
          <w:sz w:val="20"/>
          <w:szCs w:val="20"/>
        </w:rPr>
        <w:t xml:space="preserve">Karczewski, K.J., Francioli, L.C., Tiao, G., et al. (2020). The mutational constraint spectrum quantified from variation in 141,456 humans. Nature, 581, 434–443.</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 </w:t>
    </w:r>
    <w:r>
      <w:rPr>
        <w:color w:val="6B7280"/>
        <w:sz w:val="18"/>
        <w:szCs w:val="18"/>
      </w:rPr>
      <w:fldChar w:fldCharType="begin"/>
      <w:instrText xml:space="preserve">PAGE</w:instrText>
      <w:fldChar w:fldCharType="separate"/>
      <w:fldChar w:fldCharType="end"/>
    </w:r>
    <w:r>
      <w:rPr>
        <w:color w:val="6B72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i/>
        <w:iCs/>
        <w:color w:val="6B7280"/>
        <w:sz w:val="18"/>
        <w:szCs w:val="18"/>
      </w:rPr>
      <w:t xml:space="preserve">gDTR 연구계획서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맑은 고딕" w:cs="맑은 고딕" w:eastAsia="맑은 고딕" w:hAnsi="맑은 고딕"/>
      <w:b/>
      <w:bCs/>
      <w:color w:val="1E40AF"/>
      <w:sz w:val="32"/>
      <w:szCs w:val="32"/>
    </w:rPr>
  </w:style>
  <w:style w:type="paragraph" w:styleId="Heading2">
    <w:name w:val="Heading 2"/>
    <w:basedOn w:val="Normal"/>
    <w:next w:val="Normal"/>
    <w:qFormat/>
    <w:pPr>
      <w:spacing w:after="140" w:before="280"/>
      <w:outlineLvl w:val="1"/>
    </w:pPr>
    <w:rPr>
      <w:rFonts w:ascii="맑은 고딕" w:cs="맑은 고딕" w:eastAsia="맑은 고딕" w:hAnsi="맑은 고딕"/>
      <w:b/>
      <w:bCs/>
      <w:color w:val="1E3A8A"/>
      <w:sz w:val="26"/>
      <w:szCs w:val="26"/>
    </w:rPr>
  </w:style>
  <w:style w:type="paragraph" w:styleId="Heading3">
    <w:name w:val="Heading 3"/>
    <w:basedOn w:val="Normal"/>
    <w:next w:val="Normal"/>
    <w:qFormat/>
    <w:pPr>
      <w:spacing w:after="100" w:before="220"/>
      <w:outlineLvl w:val="2"/>
    </w:pPr>
    <w:rPr>
      <w:rFonts w:ascii="맑은 고딕" w:cs="맑은 고딕" w:eastAsia="맑은 고딕" w:hAnsi="맑은 고딕"/>
      <w:b/>
      <w:bCs/>
      <w:color w:val="374151"/>
      <w:sz w:val="23"/>
      <w:szCs w:val="23"/>
    </w:rPr>
  </w:style>
  <w:style w:type="paragraph" w:styleId="Heading4">
    <w:name w:val="Heading 4"/>
    <w:basedOn w:val="Normal"/>
    <w:next w:val="Normal"/>
    <w:qFormat/>
    <w:pPr>
      <w:spacing w:after="80" w:before="180"/>
      <w:outlineLvl w:val="3"/>
    </w:pPr>
    <w:rPr>
      <w:rFonts w:ascii="맑은 고딕" w:cs="맑은 고딕" w:eastAsia="맑은 고딕" w:hAnsi="맑은 고딕"/>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gDTR 연구계획서 v2</dc:title>
  <dc:creator>Claude (gDTR research planning)</dc:creator>
  <cp:lastModifiedBy>Un-named</cp:lastModifiedBy>
  <cp:revision>1</cp:revision>
  <dcterms:created xsi:type="dcterms:W3CDTF">2026-04-25T07:17:49.100Z</dcterms:created>
  <dcterms:modified xsi:type="dcterms:W3CDTF">2026-04-25T07:17:49.101Z</dcterms:modified>
</cp:coreProperties>
</file>

<file path=docProps/custom.xml><?xml version="1.0" encoding="utf-8"?>
<Properties xmlns="http://schemas.openxmlformats.org/officeDocument/2006/custom-properties" xmlns:vt="http://schemas.openxmlformats.org/officeDocument/2006/docPropsVTypes"/>
</file>