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120"/>
        <w:pBdr>
          <w:bottom w:val="single" w:sz="24" w:space="6" w:color="DD971A"/>
        </w:pBdr>
      </w:pPr>
      <w:r>
        <w:rPr>
          <w:rFonts w:ascii="Mulish" w:hAnsi="Mulish"/>
          <w:b/>
          <w:color w:val="545850"/>
          <w:sz w:val="56"/>
        </w:rPr>
        <w:t>Adviser QA and compliance check - investment</w:t>
      </w:r>
    </w:p>
    <w:p>
      <w:pPr>
        <w:spacing w:before="200"/>
      </w:pPr>
      <w:r>
        <w:rPr>
          <w:rFonts w:ascii="Mulish" w:hAnsi="Mulish"/>
          <w:b/>
          <w:color w:val="DD971A"/>
          <w:sz w:val="28"/>
        </w:rPr>
        <w:t>Ginkgo Financial Ltd</w:t>
      </w:r>
    </w:p>
    <w:p>
      <w:r>
        <w:rPr>
          <w:i/>
          <w:color w:val="808080"/>
          <w:sz w:val="19"/>
        </w:rPr>
        <w:t>Ginkgo Financial Ltd  |  Type: investment  |  Generated: 08 Sep 2026, 16:23 London  |  Final compliance grade: PARTIAL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3E0"/>
          </w:tcPr>
          <w:p>
            <w:r/>
            <w:r>
              <w:rPr>
                <w:rFonts w:ascii="Mulish" w:hAnsi="Mulish"/>
                <w:b/>
                <w:color w:val="545850"/>
              </w:rPr>
              <w:t>DRAFT - for adviser review only. Not to be issued until every highlighted field is completed, the adviser QA file is cleared, and the report is signed off.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3E0"/>
          </w:tcPr>
          <w:p>
            <w:r/>
            <w:r>
              <w:rPr>
                <w:rFonts w:ascii="Mulish" w:hAnsi="Mulish"/>
                <w:color w:val="545850"/>
              </w:rPr>
              <w:t>Internal adviser and compliance use only. Do not issue to the client.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ulish" w:hAnsi="Mulish"/>
          <w:color w:val="DD971A"/>
          <w:sz w:val="28"/>
        </w:rPr>
        <w:t>Compliance-check result (final)</w:t>
      </w:r>
    </w:p>
    <w:p>
      <w:pPr>
        <w:pStyle w:val="Heading2"/>
      </w:pPr>
      <w:r>
        <w:rPr>
          <w:rFonts w:ascii="Mulish" w:hAnsi="Mulish"/>
          <w:color w:val="DD971A"/>
          <w:sz w:val="26"/>
        </w:rPr>
        <w:t>Compliance-check pass: Whitmore suitability report (new investment, ISA and CIA, WealthSelect Managed Active 6)</w:t>
      </w:r>
    </w:p>
    <w:p>
      <w:r>
        <w:rPr>
          <w:rFonts w:ascii="Mulish" w:hAnsi="Mulish"/>
          <w:color w:val="545850"/>
        </w:rPr>
        <w:t>Case type: new-money investment advice. No replacement or switch, so the replacement-business layer is largely not applicable.</w:t>
      </w:r>
    </w:p>
    <w:p>
      <w:pPr>
        <w:pStyle w:val="Heading3"/>
      </w:pPr>
      <w:r>
        <w:rPr>
          <w:rFonts w:ascii="Mulish" w:hAnsi="Mulish"/>
          <w:color w:val="545850"/>
          <w:sz w:val="24"/>
        </w:rPr>
        <w:t>Mandatory compliance-check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Item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Result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Note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All required sections present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All eleven house-style sections present in order, with question headings.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Fund-suitability statement (retained funds)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New investment recommendation, not a "no reason to change" reassessment. Correctly absent.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Continued-suitability statement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 review.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ATR in Quilter terminology, rationale for any deviation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Dynamic Planner 28 May 2026, Level 6 of 10, mapped to Moderate; chosen level matches the questionnaire result, so no deviation rationale needed.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Recommendation linked to objectives, needs, risk profile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"Why this suits you" ties the ISA, the CIA and risk level 6 to each of the three numbered objectives.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Costs and charges disclosed in full, with aggregated effect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Platform 0.12%, fund 0.61%, MPS 0.15%, adviser 1.00%, total 1.88% and £5,358, plus a 1, 5 and 10 year aggregation. Arithmetic checks out.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Advice fee matches the Terms of Business schedule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Unclear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 xml:space="preserve">TOB v3.0 standard tier gives 2% on the first £300,000, so £5,700. The case charges 1.5%, £4,275: a NON-STANDARD (reduced) fee. A signed fee authority dated 2 June 2026 is cited, but the report states only that the reduction was "agreed before the work started"; no rationale is given for the level chosen, and it does not correspond to the TOB family discount (which would give 1.8%). The ongoing 1.00% (£2,850) is consistent with Branch tiering, but the service tier is a </w:t>
            </w:r>
            <w:r>
              <w:rPr>
                <w:rFonts w:ascii="Mulish" w:hAnsi="Mulish"/>
                <w:b/>
                <w:highlight w:val="yellow"/>
              </w:rPr>
              <w:t>[TO CONFIRM]</w:t>
            </w:r>
            <w:r>
              <w:rPr>
                <w:rFonts w:ascii="Mulish" w:hAnsi="Mulish"/>
                <w:color w:val="545850"/>
              </w:rPr>
              <w:t>, so it cannot be verified against the schedule or the tier minimums.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Fee fair value form (RAP-1701, over £20,000)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Initial £4,275 and ongoing £2,850 are well below the threshold.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Risks and trade-offs in plain language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Falls in value, CGT on the CIA and on Bed and ISA transfers, allowance use, charges drag. Short sentences, personal pronouns.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Only relevant risk warnings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mortgage, early-repayment-charge or equity-release wording. Warnings are investment-specific and personalised to a 60% equity portfolio.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Vulnerability and capacity considerations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Recent bereavement addressed proportionately, reversibility and accessible cash noted, support offered. Not alarmist.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LPA status checked and flagged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Unclear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The section is present and the gap is flagged, but the client's actual LPA position is unknown (</w:t>
            </w:r>
            <w:r>
              <w:rPr>
                <w:rFonts w:ascii="Mulish" w:hAnsi="Mulish"/>
                <w:b/>
                <w:highlight w:val="yellow"/>
              </w:rPr>
              <w:t>[TO CONFIRM]</w:t>
            </w:r>
            <w:r>
              <w:rPr>
                <w:rFonts w:ascii="Mulish" w:hAnsi="Mulish"/>
                <w:color w:val="545850"/>
              </w:rPr>
              <w:t>), so the status has not been established on file.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All valuations sourced and dated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Not 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The Aviva pension is "around £96,000" with no valuation date; the £420,000 property and the £30,000 deposit carry a source but no date; the £285,000 cash balance is sourced to probate (March 2026) but has no valuation date. The report itself is undated. Dating conflict to resolve: the report quotes factsheet data as at 31 July 2026 while the application was signed 5 June 2026, so the final report cannot be dated on or before the application as the new-business evidence layer requires.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Final recommended position only, no internal content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Not 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 xml:space="preserve">The client report carries an "Outstanding items" checklist table (adviser QA content) and an inline reconciliation note ("Your illustration shows the fund charge as 0.50%... I have used the current factsheet figures"). Both belong in the adviser QA output, not the client document. Missing facts should appear only as the </w:t>
            </w:r>
            <w:r>
              <w:rPr>
                <w:rFonts w:ascii="Mulish" w:hAnsi="Mulish"/>
                <w:b/>
                <w:highlight w:val="yellow"/>
              </w:rPr>
              <w:t>[TO CONFIRM: ...]</w:t>
            </w:r>
            <w:r>
              <w:rPr>
                <w:rFonts w:ascii="Mulish" w:hAnsi="Mulish"/>
                <w:color w:val="545850"/>
              </w:rPr>
              <w:t xml:space="preserve"> placeholders.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unsubstantiated regulatory statements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ISA tax treatment, pension access age 55 rising to 57 in April 2028, NRB £325,000 and RNRB, the FCA non-regulation statement for wills and LPAs, and the 30 day cancellation period are all correctly stated.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Correct signatory and declaration block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Adviser and firm named, dual signature blocks, correct Ginkgo / Quilter regulatory line with both FRNs. Individual described as Chartered, not the firm.</w:t>
            </w:r>
          </w:p>
        </w:tc>
      </w:tr>
    </w:tbl>
    <w:p>
      <w:pPr>
        <w:pStyle w:val="Heading3"/>
      </w:pPr>
      <w:r>
        <w:rPr>
          <w:rFonts w:ascii="Mulish" w:hAnsi="Mulish"/>
          <w:color w:val="545850"/>
          <w:sz w:val="24"/>
        </w:rPr>
        <w:t>Quilter investment-advice requirements (RAP-1551)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Item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Result</w:t>
            </w:r>
          </w:p>
        </w:tc>
        <w:tc>
          <w:tcPr>
            <w:tcW w:type="dxa" w:w="2268"/>
            <w:shd w:val="clear" w:color="auto" w:fill="545850"/>
          </w:tcPr>
          <w:p>
            <w:r/>
            <w:r>
              <w:rPr>
                <w:rFonts w:ascii="Mulish" w:hAnsi="Mulish"/>
                <w:b/>
                <w:color w:val="FFFFFF"/>
              </w:rPr>
              <w:t>Note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Specific, personalised objectives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Three numbered objectives with amounts, wrapper and horizon; not generic.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Reason for investing, access, drivers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Inheritance from her late mother, probate March 2026, cash sitting idle, no fixed access date, access wanted if circumstances change.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Why an existing plan no longer meets needs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Nothing replaced.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Debt considered before investing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mortgage and no other borrowing, stated in the objectives section and the alternatives appendix.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ATR in Quilter terminology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As item 4.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Capacity for loss assessed separately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Own section, "good", evidenced by salary, mortgage-free home and retained cash; no discrepancy with ATR, stated.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Vulnerability, means-tested benefits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Bereavement handled; no means-tested benefits in play on a £48,000 salary.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Existing arrangements recorded; ceding data currency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Retained arrangements are tabled; ceding currency requirements do not apply. The Aviva valuation date gap is captured under item 13.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Existing fund range reviewed, internal switch discounted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existing plan.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Guarantees, penalties, MVR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Explicitly stated as none, with the reason.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Replacement more suitable than retaining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Like-for-like replacement cheaper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Like-for-like performance comparison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past-performance argument used.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Old versus new charge comparison table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plan replaced; new charges shown in percentage and pounds.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Reduction in yield including all initial and ongoing advice fees, in monetary terms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Not 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The RIY and the aggregation table are built on the 1.88% ongoing charge only. The £4,275 initial adviser fee is expressly excluded ("payable in addition, in year one only"), so the stated £76,731 ten year effect understates the true reduction in yield. The initial fee must be inside the RIY and the aggregated figures.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Pounds-and-pence difference, existing versus new totals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33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Contingent initial fee at transfer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Stated as none, with the reason.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34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Ex-ante costs and charges, figures accurate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Unclear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The year one table adds correctly (£4,275 + £5,358 = £9,633), but it rests on charge figures that conflict with the illustration on file (0.50% versus 0.61% fund charge). Until the updated illustration is produced, the MiFID II ex-ante disclosure issued to the client cannot be confirmed accurate.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35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Wrapper justified and personalised to tax position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ISA, CIA, bond and pension compared; basic-rate position and future Bed and ISA phasing addressed. The 2026/27 CGT exempt amount is not quantified anywhere in the body, which weakens the future-position workings.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Encashment tax replayed; client responsible for own return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 encashment; future CGT on transfers flagged and the tax-return responsibility stated.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37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Mandatory tool where required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Not applicable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The bond route was discounted, not recommended, so the GIA Ongoing Tax Comparison Tool is not triggered.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38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Term reflects needs, with rationale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Ten years plus, no fixed access date, rationale linked to the volatility of a 60% equity portfolio.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39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Ongoing servicing offered, cost agreed, not self-defeating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1.00% / £2,850 with a defined deliverables list; proportionate on £285,000. Tier confirmation sits under item 7.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40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Within permitted scope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On-platform MPS only. No NMPI, UCIS, share dealing, investment trusts, VCT or EIS.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41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Restricted: matrix or panel process followed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b/>
                <w:color w:val="545850"/>
              </w:rPr>
              <w:t>Unclear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WealthSelect is on the Quilter matrix, so no separate fund research or Defaqto fund report is required, and none is flagged. Platform selection is a different matter: the five-platform Defaqto comparison is cited but undated (</w:t>
            </w:r>
            <w:r>
              <w:rPr>
                <w:rFonts w:ascii="Mulish" w:hAnsi="Mulish"/>
                <w:b/>
                <w:highlight w:val="yellow"/>
              </w:rPr>
              <w:t>[TO CONFIRM]</w:t>
            </w:r>
            <w:r>
              <w:rPr>
                <w:rFonts w:ascii="Mulish" w:hAnsi="Mulish"/>
                <w:color w:val="545850"/>
              </w:rPr>
              <w:t>), so it cannot be shown to pre-date the recommendation.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42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Affordable, suitable, sustainable, good outcome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Met</w:t>
            </w:r>
          </w:p>
        </w:tc>
        <w:tc>
          <w:tcPr>
            <w:tcW w:type="dxa" w:w="2268"/>
          </w:tcPr>
          <w:p>
            <w:r/>
            <w:r>
              <w:rPr>
                <w:rFonts w:ascii="Mulish" w:hAnsi="Mulish"/>
                <w:color w:val="545850"/>
              </w:rPr>
              <w:t>Lump sum from inheritance, emergency fund retained, no income need, total cost disclosed in pounds over ten years.</w:t>
            </w:r>
          </w:p>
        </w:tc>
      </w:tr>
    </w:tbl>
    <w:p>
      <w:pPr>
        <w:pStyle w:val="Heading3"/>
      </w:pPr>
      <w:r>
        <w:rPr>
          <w:rFonts w:ascii="Mulish" w:hAnsi="Mulish"/>
          <w:color w:val="545850"/>
          <w:sz w:val="24"/>
        </w:rPr>
        <w:t>Items to confirm before issue (adviser QA)</w:t>
      </w:r>
    </w:p>
    <w:p>
      <w:pPr>
        <w:pStyle w:val="ListNumber"/>
      </w:pPr>
      <w:r>
        <w:rPr>
          <w:rFonts w:ascii="Mulish" w:hAnsi="Mulish"/>
          <w:color w:val="545850"/>
        </w:rPr>
        <w:t>Report date, and the dating sequence: the application was signed 5 June 2026 but the report uses 31 July 2026 factsheet data. The final report must be dated on or before the application, so either re-date the application or re-evidence the sequence.</w:t>
      </w:r>
    </w:p>
    <w:p>
      <w:pPr>
        <w:pStyle w:val="ListNumber"/>
      </w:pPr>
      <w:r>
        <w:rPr>
          <w:rFonts w:ascii="Mulish" w:hAnsi="Mulish"/>
          <w:color w:val="545850"/>
        </w:rPr>
        <w:t>Non-standard initial fee: 1.5% against a 2% published tier. Record the client-specific rationale for the reduction in the report and confirm the signed fee authority of 2 June 2026 evidences 1.5% and 1.00%.</w:t>
      </w:r>
    </w:p>
    <w:p>
      <w:pPr>
        <w:pStyle w:val="ListNumber"/>
      </w:pPr>
      <w:r>
        <w:rPr>
          <w:rFonts w:ascii="Mulish" w:hAnsi="Mulish"/>
          <w:color w:val="545850"/>
        </w:rPr>
        <w:t>Ongoing service tier under TOB v3.0 (£2,850 suggests Branch, not Root) and confirmation the tier minimum is satisfied.</w:t>
      </w:r>
    </w:p>
    <w:p>
      <w:pPr>
        <w:pStyle w:val="ListNumber"/>
      </w:pPr>
      <w:r>
        <w:rPr>
          <w:rFonts w:ascii="Mulish" w:hAnsi="Mulish"/>
          <w:color w:val="545850"/>
        </w:rPr>
        <w:t>Reduction in yield and the aggregated-charges table to be rebuilt including the £4,275 initial fee.</w:t>
      </w:r>
    </w:p>
    <w:p>
      <w:pPr>
        <w:pStyle w:val="ListNumber"/>
      </w:pPr>
      <w:r>
        <w:rPr>
          <w:rFonts w:ascii="Mulish" w:hAnsi="Mulish"/>
          <w:color w:val="545850"/>
        </w:rPr>
        <w:t>Updated illustration reflecting 0.61% fund charge plus 0.15% MPS charge; reissue the ex-ante disclosure from it.</w:t>
      </w:r>
    </w:p>
    <w:p>
      <w:pPr>
        <w:pStyle w:val="ListNumber"/>
      </w:pPr>
      <w:r>
        <w:rPr>
          <w:rFonts w:ascii="Mulish" w:hAnsi="Mulish"/>
          <w:color w:val="545850"/>
        </w:rPr>
        <w:t>Whether the initial fee is paid separately or deducted from the £285,000 before investment.</w:t>
      </w:r>
    </w:p>
    <w:p>
      <w:pPr>
        <w:pStyle w:val="ListNumber"/>
      </w:pPr>
      <w:r>
        <w:rPr>
          <w:rFonts w:ascii="Mulish" w:hAnsi="Mulish"/>
          <w:color w:val="545850"/>
        </w:rPr>
        <w:t>Date of the Defaqto platform research.</w:t>
      </w:r>
    </w:p>
    <w:p>
      <w:pPr>
        <w:pStyle w:val="ListNumber"/>
      </w:pPr>
      <w:r>
        <w:rPr>
          <w:rFonts w:ascii="Mulish" w:hAnsi="Mulish"/>
          <w:color w:val="545850"/>
        </w:rPr>
        <w:t>Aviva pension valuation date and a value within the last three months if it is to appear as a figure.</w:t>
      </w:r>
    </w:p>
    <w:p>
      <w:pPr>
        <w:pStyle w:val="ListNumber"/>
      </w:pPr>
      <w:r>
        <w:rPr>
          <w:rFonts w:ascii="Mulish" w:hAnsi="Mulish"/>
          <w:color w:val="545850"/>
        </w:rPr>
        <w:t>LPA status (property and financial affairs, health and welfare) and will status confirmed with the client.</w:t>
      </w:r>
    </w:p>
    <w:p>
      <w:pPr>
        <w:pStyle w:val="ListNumber"/>
      </w:pPr>
      <w:r>
        <w:rPr>
          <w:rFonts w:ascii="Mulish" w:hAnsi="Mulish"/>
          <w:color w:val="545850"/>
        </w:rPr>
        <w:t>2026/27 CGT annual exempt amount for the Bed and ISA planning, quantified in the body.</w:t>
      </w:r>
    </w:p>
    <w:p>
      <w:pPr>
        <w:pStyle w:val="ListNumber"/>
      </w:pPr>
      <w:r>
        <w:rPr>
          <w:rFonts w:ascii="Mulish" w:hAnsi="Mulish"/>
          <w:color w:val="545850"/>
        </w:rPr>
        <w:t>Remove the "Outstanding items" table and the illustration reconciliation paragraph from the client document; carry them here only.</w:t>
      </w:r>
    </w:p>
    <w:p>
      <w:pPr>
        <w:pStyle w:val="ListNumber"/>
      </w:pPr>
      <w:r>
        <w:rPr>
          <w:rFonts w:ascii="Mulish" w:hAnsi="Mulish"/>
          <w:color w:val="545850"/>
        </w:rPr>
        <w:t>Evidence set (RAP-0838): ID and AML, privacy notice, source of funds, Authority to Proceed sections A and B, ATR profiler report, final illustration, fact find with soft facts, copy application after pre-approval.</w:t>
      </w:r>
    </w:p>
    <w:p>
      <w:pPr>
        <w:pStyle w:val="Heading3"/>
      </w:pPr>
      <w:r>
        <w:rPr>
          <w:rFonts w:ascii="Mulish" w:hAnsi="Mulish"/>
          <w:color w:val="545850"/>
          <w:sz w:val="24"/>
        </w:rPr>
        <w:t>Grade</w:t>
      </w:r>
    </w:p>
    <w:p>
      <w:r>
        <w:rPr>
          <w:rFonts w:ascii="Mulish" w:hAnsi="Mulish"/>
          <w:color w:val="545850"/>
        </w:rPr>
        <w:t>Seven gaps, none of which changes the recommendation. The recommendation, risk mapping, objectives linkage and warning selection are sound. The defects are in fee verification, the reduction-in-yield basis, valuation dating and the presence of adviser QA content in the client document. These must be corrected before the report is signed off and issued. This is a check result for a named adviser to act on; it does not certify compliance.</w:t>
      </w:r>
    </w:p>
    <w:p>
      <w:r>
        <w:rPr>
          <w:rFonts w:ascii="Mulish" w:hAnsi="Mulish"/>
          <w:color w:val="545850"/>
        </w:rPr>
        <w:t>Overall grade: PARTIAL</w:t>
      </w:r>
    </w:p>
    <w:p>
      <w:pPr>
        <w:pStyle w:val="Heading1"/>
      </w:pPr>
      <w:r>
        <w:rPr>
          <w:rFonts w:ascii="Mulish" w:hAnsi="Mulish"/>
          <w:color w:val="DD971A"/>
          <w:sz w:val="28"/>
        </w:rPr>
        <w:t>Arithmetic check (deterministic)</w:t>
      </w:r>
    </w:p>
    <w:p>
      <w:r>
        <w:rPr>
          <w:rFonts w:ascii="Mulish" w:hAnsi="Mulish"/>
          <w:color w:val="545850"/>
        </w:rPr>
        <w:t>Arithmetic check: 1 finding(s). 0 of them contradict the document's own numbers.</w:t>
      </w:r>
    </w:p>
    <w:p>
      <w:r>
        <w:rPr>
          <w:rFonts w:ascii="Mulish" w:hAnsi="Mulish"/>
          <w:color w:val="545850"/>
        </w:rPr>
        <w:t>[NOTE] 16 money figures in the report do not appear in any uploaded document.</w:t>
      </w:r>
    </w:p>
    <w:p>
      <w:r>
        <w:rPr>
          <w:rFonts w:ascii="Mulish" w:hAnsi="Mulish"/>
          <w:color w:val="545850"/>
        </w:rPr>
        <w:t>£464,234, £387,503, £363,740, £332,324, £325,000, £300,000, £299,250, £293,892, £76,731, £76,700, £31,416, £9,633 and 4 more. Expected for anything the report worked out; worth a look for anything it should have read.</w:t>
      </w:r>
    </w:p>
    <w:p>
      <w:r>
        <w:rPr>
          <w:rFonts w:ascii="Mulish" w:hAnsi="Mulish"/>
          <w:color w:val="545850"/>
        </w:rPr>
        <w:t>Deterministic arithmetic only, run on the drafted text. It does not judge whether a figure is the right one, only whether the document agrees with itself and with its own stated inputs.</w:t>
      </w:r>
    </w:p>
    <w:p>
      <w:pPr>
        <w:pStyle w:val="Heading1"/>
      </w:pPr>
      <w:r>
        <w:rPr>
          <w:rFonts w:ascii="Mulish" w:hAnsi="Mulish"/>
          <w:color w:val="DD971A"/>
          <w:sz w:val="28"/>
        </w:rPr>
        <w:t>Checklist applied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All required sections present, none omitted.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Where existing investment funds are being retained (reviews and retained-holding cases): mandatory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For reviews: mandatory continued-suitability statement present (from firm config), unchanged.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ATR expressed in Quilter risk terminology. If the chosen risk level differs from the questionnaire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Recommendation explicitly linked to the client's objectives, needs and risk profile (COBS 9).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Costs and charges disclosed in full: adviser fee, platform fee and fund fee, with the aggregated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Advice fee matches the firm's Terms of Business fee schedule (in the firm configuration under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Fee fair value evidencing (Quilter Servicing Policy RAP-1540 and Fee Fair Value Rationale Form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Risks and trade-offs stated in plain, client-understandable language (Consumer Duty: consumer understanding).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Every risk warning present is relevant to what is recommended in THIS report. A warning for a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Vulnerability and capacity considerations addressed where relevant (Consumer Duty).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LPA status checked and flagged if missing.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All valuations sourced and dated.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Final recommended position only. No internal iteration history or version comparison in the report.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No unsubstantiated regulatory statements.</w:t>
      </w:r>
    </w:p>
    <w:p>
      <w:pPr>
        <w:pStyle w:val="ListBullet"/>
      </w:pPr>
      <w:r>
        <w:rPr>
          <w:rFonts w:ascii="Mulish" w:hAnsi="Mulish"/>
          <w:color w:val="545850"/>
        </w:rPr>
        <w:t>(Compliance-check pass (mandatory)) Correct signatory and declaration block (from firm config).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Objectives are specific and personalised, in the client's own words. Generic objectives such as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Reason for investing, when and why access is needed, and the drivers for change are recorded and replayed.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Where an existing plan is replaced, the report explains why it no longer meets the client's needs.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Repaying debt considered before investing; if not prioritised, justified.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ATR assessed and expressed in Quilter terminology.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Capacity for loss assessed separately from ATR. Any discrepancy discussed and the rationale documented.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Vulnerability considered. For vulnerable clients on means-tested benefits, the effect on their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All existing arrangements recorded. Ceding information dated within 6 months; fund and transfer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Existing product and fund range reviewed first. The report explains why an internal fund switch was discounted.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Guarantees, loyalty bonuses, exit penalties and any MVR identified. Anything lost on transfer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Replacement shown to be not just suitable but MORE suitable than retaining the existing plan.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Like-for-like replacement: the new wrapper is cheaper unless specific client benefits are evidenced.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Where poor past performance is cited, a like-for-like performance comparison over the same period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Comparison table of old versus new plan and fund charges, in both percentage and pounds.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Reduction in yield of the recommended plan including all initial and ongoing advice fees, in monetary terms.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The pounds-and-pence difference between total existing and total new charges once advice fees are added.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Negative impact of any contingent initial fee taken at the point of transfer.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Ex-Ante costs and charges (MiFID II) provided. Figures accurate.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Recommended wrapper justified over alternatives and personalised to the client's tax position now and in future.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Tax consequences of any encashment replayed. Tax calculations uploaded. Client told they are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Mandatory tool used where required (for example GIA/OEIC to onshore bond requires the GIA Ongoing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Term reflects the client's needs and, where relevant, life expectancy, with clear rationale.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Ongoing servicing offered where appropriate, cost agreed, and not self-defeating.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Recommendation within permitted scope. No NMPI/UCIS, no share dealing or investment trusts.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Independent: comprehensive, fair, unbiased and unrestricted market analysis. Restricted: matrix or panel process followed. A recommendation from the Quilter Investment Matrix (for example a WealthSelect Managed Portfolio or Cirilium fund) needs NO separate fund research or Defaqto report - the matrix is centrally researched and monitored by Quilter, so the matrix process IS the research. Do not flag missing research evidence for an on-matrix solution; research (plus a concession where required) applies only off-panel / off-matrix.</w:t>
      </w:r>
    </w:p>
    <w:p>
      <w:pPr>
        <w:pStyle w:val="ListBullet"/>
      </w:pPr>
      <w:r>
        <w:rPr>
          <w:rFonts w:ascii="Mulish" w:hAnsi="Mulish"/>
          <w:color w:val="545850"/>
        </w:rPr>
        <w:t>(Quilter investment-advice requirements (sourced)) Solution affordable, suitable and sustainable, delivering a good retail outcome (Consumer Duty).</w:t>
      </w:r>
    </w:p>
    <w:p>
      <w:pPr>
        <w:pStyle w:val="Heading1"/>
      </w:pPr>
      <w:r>
        <w:rPr>
          <w:rFonts w:ascii="Mulish" w:hAnsi="Mulish"/>
          <w:color w:val="DD971A"/>
          <w:sz w:val="28"/>
        </w:rPr>
        <w:t>Sign-off</w:t>
      </w:r>
    </w:p>
    <w:p>
      <w:pPr>
        <w:pStyle w:val="ListBullet"/>
      </w:pPr>
      <w:r>
        <w:rPr>
          <w:rFonts w:ascii="Mulish" w:hAnsi="Mulish"/>
          <w:color w:val="545850"/>
        </w:rPr>
        <w:t>[ ] Adviser: ____________________  date: __________</w:t>
      </w:r>
    </w:p>
    <w:p>
      <w:pPr>
        <w:pStyle w:val="ListBullet"/>
      </w:pPr>
      <w:r>
        <w:rPr>
          <w:rFonts w:ascii="Mulish" w:hAnsi="Mulish"/>
          <w:color w:val="545850"/>
        </w:rPr>
        <w:t>[ ] Compliance: ________________  date: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 xml:space="preserve">Page </w:t>
    </w:r>
    <w:r>
      <w:fldChar w:fldCharType="begin"/>
      <w:instrText xml:space="preserve">PAGE</w:instrText>
      <w:fldChar w:fldCharType="end"/>
    </w:r>
  </w:p>
  <w:p>
    <w:pPr>
      <w:spacing w:before="0" w:after="0"/>
      <w:jc w:val="center"/>
    </w:pPr>
    <w:r>
      <w:rPr>
        <w:i/>
        <w:color w:val="A6A6A6"/>
        <w:sz w:val="14"/>
      </w:rPr>
      <w:t>Generated 08 Sep 2026, 16:23 London  |  engine v105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8" w:space="6" w:color="DD971A"/>
      </w:pBdr>
    </w:pPr>
    <w:r>
      <w:drawing>
        <wp:inline xmlns:a="http://schemas.openxmlformats.org/drawingml/2006/main" xmlns:pic="http://schemas.openxmlformats.org/drawingml/2006/picture">
          <wp:extent cx="2011680" cy="6282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inkg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282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Mulish" w:hAnsi="Mulish"/>
      <w:color w:val="5458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ulish" w:hAnsi="Mulish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Mulish" w:hAnsi="Mulish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Mulish" w:hAnsi="Mulish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/>
      <w:outlineLvl w:val="3"/>
    </w:pPr>
    <w:rPr>
      <w:rFonts w:asciiTheme="majorHAnsi" w:eastAsiaTheme="majorEastAsia" w:hAnsiTheme="majorHAnsi" w:cstheme="majorBidi" w:ascii="Mulish" w:hAnsi="Mulish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ulish" w:hAnsi="Mulish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ulish" w:hAnsi="Mulis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ulish" w:hAnsi="Mulis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ulish" w:hAnsi="Mulish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ulish" w:hAnsi="Mulish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