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120"/>
        <w:pBdr>
          <w:bottom w:val="single" w:sz="24" w:space="6" w:color="DD971A"/>
        </w:pBdr>
      </w:pPr>
      <w:r>
        <w:rPr>
          <w:rFonts w:ascii="Mulish" w:hAnsi="Mulish"/>
          <w:b/>
          <w:color w:val="545850"/>
          <w:sz w:val="56"/>
        </w:rPr>
        <w:t>Compliance check - investment</w:t>
      </w:r>
    </w:p>
    <w:p>
      <w:pPr>
        <w:spacing w:before="200"/>
      </w:pPr>
      <w:r>
        <w:rPr>
          <w:rFonts w:ascii="Mulish" w:hAnsi="Mulish"/>
          <w:b/>
          <w:color w:val="DD971A"/>
          <w:sz w:val="28"/>
        </w:rPr>
        <w:t>Ginkgo Financial Ltd</w:t>
      </w:r>
    </w:p>
    <w:p>
      <w:r>
        <w:rPr>
          <w:i/>
          <w:color w:val="808080"/>
          <w:sz w:val="19"/>
        </w:rPr>
        <w:t>Ginkgo Financial Ltd  |  Report type: investment  |  Scope: report-only  |  Generated: 08 Sep 2026, 16:36 London  |  Grade: PARTIAL</w:t>
      </w:r>
    </w:p>
    <w:tbl>
      <w:tblPr>
        <w:tblStyle w:val="TableGrid"/>
        <w:tblW w:type="auto" w:w="0"/>
        <w:tblLook w:firstColumn="1" w:firstRow="1" w:lastColumn="0" w:lastRow="0" w:noHBand="0" w:noVBand="1" w:val="04A0"/>
      </w:tblPr>
      <w:tblGrid>
        <w:gridCol w:w="9072"/>
      </w:tblGrid>
      <w:tr>
        <w:tc>
          <w:tcPr>
            <w:tcW w:type="dxa" w:w="9072"/>
            <w:shd w:val="clear" w:color="auto" w:fill="FDF3E0"/>
          </w:tcPr>
          <w:p>
            <w:r/>
            <w:r>
              <w:rPr>
                <w:rFonts w:ascii="Mulish" w:hAnsi="Mulish"/>
                <w:b/>
                <w:color w:val="545850"/>
              </w:rPr>
              <w:t>DRAFT - for adviser review only. Not to be issued until every highlighted field is completed, the adviser QA file is cleared, and the report is signed off.</w:t>
            </w:r>
          </w:p>
        </w:tc>
      </w:tr>
    </w:tbl>
    <w:tbl>
      <w:tblPr>
        <w:tblStyle w:val="TableGrid"/>
        <w:tblW w:type="auto" w:w="0"/>
        <w:tblLook w:firstColumn="1" w:firstRow="1" w:lastColumn="0" w:lastRow="0" w:noHBand="0" w:noVBand="1" w:val="04A0"/>
      </w:tblPr>
      <w:tblGrid>
        <w:gridCol w:w="9072"/>
      </w:tblGrid>
      <w:tr>
        <w:tc>
          <w:tcPr>
            <w:tcW w:type="dxa" w:w="9072"/>
            <w:shd w:val="clear" w:color="auto" w:fill="FDF3E0"/>
          </w:tcPr>
          <w:p>
            <w:r/>
            <w:r>
              <w:rPr>
                <w:rFonts w:ascii="Mulish" w:hAnsi="Mulish"/>
                <w:color w:val="545850"/>
              </w:rPr>
              <w:t>Internal compliance-review feedback. Not a compliance certificate; human sign-off required.</w:t>
            </w:r>
          </w:p>
        </w:tc>
      </w:tr>
    </w:tbl>
    <w:p>
      <w:r>
        <w:br w:type="page"/>
      </w:r>
    </w:p>
    <w:p>
      <w:pPr>
        <w:pStyle w:val="Heading1"/>
      </w:pPr>
      <w:r>
        <w:rPr>
          <w:rFonts w:ascii="Mulish" w:hAnsi="Mulish"/>
          <w:color w:val="DD971A"/>
          <w:sz w:val="28"/>
        </w:rPr>
        <w:t>Compliance-officer feedback</w:t>
      </w:r>
    </w:p>
    <w:p>
      <w:pPr>
        <w:pStyle w:val="Heading2"/>
      </w:pPr>
      <w:r>
        <w:rPr>
          <w:rFonts w:ascii="Mulish" w:hAnsi="Mulish"/>
          <w:color w:val="DD971A"/>
          <w:sz w:val="26"/>
        </w:rPr>
        <w:t>Compliance review: Mrs A C Whitmore, new investment (ISA and CIA), £285,000</w:t>
      </w:r>
    </w:p>
    <w:p>
      <w:r>
        <w:rPr>
          <w:rFonts w:ascii="Mulish" w:hAnsi="Mulish"/>
          <w:color w:val="545850"/>
        </w:rPr>
        <w:t>Report-only check. All file evidence is assumed present and correct; I have assessed the content of the report against the checklist.</w:t>
      </w:r>
    </w:p>
    <w:p>
      <w:r>
        <w:rPr>
          <w:rFonts w:ascii="Mulish" w:hAnsi="Mulish"/>
          <w:color w:val="545850"/>
        </w:rPr>
        <w:t>---</w:t>
      </w:r>
    </w:p>
    <w:p>
      <w:pPr>
        <w:pStyle w:val="Heading3"/>
      </w:pPr>
      <w:r>
        <w:rPr>
          <w:rFonts w:ascii="Mulish" w:hAnsi="Mulish"/>
          <w:color w:val="545850"/>
          <w:sz w:val="24"/>
        </w:rPr>
        <w:t>Item-by-item</w:t>
      </w:r>
    </w:p>
    <w:p>
      <w:r>
        <w:rPr>
          <w:rFonts w:ascii="Mulish" w:hAnsi="Mulish"/>
          <w:b/>
          <w:color w:val="545850"/>
        </w:rPr>
        <w:t>1. All required sections present</w:t>
      </w:r>
      <w:r>
        <w:rPr>
          <w:rFonts w:ascii="Mulish" w:hAnsi="Mulish"/>
          <w:color w:val="545850"/>
        </w:rPr>
        <w:t xml:space="preserve"> - Met. Every section of the house structure appears in the correct order, including "Taking an income" handled as not applicable and both appendices.</w:t>
      </w:r>
    </w:p>
    <w:p>
      <w:r>
        <w:rPr>
          <w:rFonts w:ascii="Mulish" w:hAnsi="Mulish"/>
          <w:b/>
          <w:color w:val="545850"/>
        </w:rPr>
        <w:t>2. Fund-suitability statement (retained funds)</w:t>
      </w:r>
      <w:r>
        <w:rPr>
          <w:rFonts w:ascii="Mulish" w:hAnsi="Mulish"/>
          <w:color w:val="545850"/>
        </w:rPr>
        <w:t xml:space="preserve"> - Not applicable. New money, nothing retained or reassessed. Correctly omitted; do not insert it.</w:t>
      </w:r>
    </w:p>
    <w:p>
      <w:r>
        <w:rPr>
          <w:rFonts w:ascii="Mulish" w:hAnsi="Mulish"/>
          <w:b/>
          <w:color w:val="545850"/>
        </w:rPr>
        <w:t>3. Continued-suitability statement</w:t>
      </w:r>
      <w:r>
        <w:rPr>
          <w:rFonts w:ascii="Mulish" w:hAnsi="Mulish"/>
          <w:color w:val="545850"/>
        </w:rPr>
        <w:t xml:space="preserve"> - Not applicable. This is new advice, not a review.</w:t>
      </w:r>
    </w:p>
    <w:p>
      <w:r>
        <w:rPr>
          <w:rFonts w:ascii="Mulish" w:hAnsi="Mulish"/>
          <w:b/>
          <w:color w:val="545850"/>
        </w:rPr>
        <w:t>4. ATR in Quilter terminology, rationale if different</w:t>
      </w:r>
      <w:r>
        <w:rPr>
          <w:rFonts w:ascii="Mulish" w:hAnsi="Mulish"/>
          <w:color w:val="545850"/>
        </w:rPr>
        <w:t xml:space="preserve"> - Met. Dynamic Planner Level 6 of 10, mapped to Moderate, dated 28 May 2026, and the report confirms the agreed level matches the questionnaire so no rationale is needed.</w:t>
      </w:r>
    </w:p>
    <w:p>
      <w:r>
        <w:rPr>
          <w:rFonts w:ascii="Mulish" w:hAnsi="Mulish"/>
          <w:b/>
          <w:color w:val="545850"/>
        </w:rPr>
        <w:t>5. Recommendation linked to objectives, needs and risk profile</w:t>
      </w:r>
      <w:r>
        <w:rPr>
          <w:rFonts w:ascii="Mulish" w:hAnsi="Mulish"/>
          <w:color w:val="545850"/>
        </w:rPr>
        <w:t xml:space="preserve"> - Met. "Why this suits you" ties the ISA, the CIA and Managed Active 6 to each of the three stated objectives, the Moderate profile and the ten-year-plus horizon.</w:t>
      </w:r>
    </w:p>
    <w:p>
      <w:r>
        <w:rPr>
          <w:rFonts w:ascii="Mulish" w:hAnsi="Mulish"/>
          <w:b/>
          <w:color w:val="545850"/>
        </w:rPr>
        <w:t>6. Costs and charges disclosed in full with aggregated effect</w:t>
      </w:r>
      <w:r>
        <w:rPr>
          <w:rFonts w:ascii="Mulish" w:hAnsi="Mulish"/>
          <w:color w:val="545850"/>
        </w:rPr>
        <w:t xml:space="preserve"> - Met. Adviser (initial and ongoing), platform, fund and MPS charges all shown in percentage and pounds, plus a 1, 5 and 10 year aggregated table. Arithmetic checks out on every row. See items 31 and 34 for the defects in how the initial fee is treated.</w:t>
      </w:r>
    </w:p>
    <w:p>
      <w:r>
        <w:rPr>
          <w:rFonts w:ascii="Mulish" w:hAnsi="Mulish"/>
          <w:b/>
          <w:color w:val="545850"/>
        </w:rPr>
        <w:t>7. Advice fee matches the Terms of Business schedule</w:t>
      </w:r>
      <w:r>
        <w:rPr>
          <w:rFonts w:ascii="Mulish" w:hAnsi="Mulish"/>
          <w:color w:val="545850"/>
        </w:rPr>
        <w:t xml:space="preserve"> - Unclear. The published lump-sum tier is 2% on the first £300,000 (£5,700); the case charges 1.5% (£4,275). That is a NON-STANDARD FEE, not the published scale, and it sits outside the only published discount route (the 10% family discount). The signed authorisation of 2 June 2026 evidences the rate, and the report discloses the departure, but the report gives no rationale for the reduction beyond "agreed before the work started". Separately, the ongoing service tier is left as a placeholder, so the ongoing 1.00% cannot be verified against the Root/Branch schedule or the tier minimum. Name the tier and state the basis of the discount.</w:t>
      </w:r>
    </w:p>
    <w:p>
      <w:r>
        <w:rPr>
          <w:rFonts w:ascii="Mulish" w:hAnsi="Mulish"/>
          <w:b/>
          <w:color w:val="545850"/>
        </w:rPr>
        <w:t>8. Fee fair value form (RAP-1701)</w:t>
      </w:r>
      <w:r>
        <w:rPr>
          <w:rFonts w:ascii="Mulish" w:hAnsi="Mulish"/>
          <w:color w:val="545850"/>
        </w:rPr>
        <w:t xml:space="preserve"> - Not applicable. Initial £4,275 and ongoing £2,850 are both well under the £20,000 per-client trigger.</w:t>
      </w:r>
    </w:p>
    <w:p>
      <w:r>
        <w:rPr>
          <w:rFonts w:ascii="Mulish" w:hAnsi="Mulish"/>
          <w:b/>
          <w:color w:val="545850"/>
        </w:rPr>
        <w:t>9. Risks and trade-offs in plain language</w:t>
      </w:r>
      <w:r>
        <w:rPr>
          <w:rFonts w:ascii="Mulish" w:hAnsi="Mulish"/>
          <w:color w:val="545850"/>
        </w:rPr>
        <w:t xml:space="preserve"> - Met. Disadvantages are personalised: 60% equity and the effect of a poor year, CGT on the CIA including on Bed and ISA disposals, allowance used and cannot be replaced, and charges at 1.88%.</w:t>
      </w:r>
    </w:p>
    <w:p>
      <w:r>
        <w:rPr>
          <w:rFonts w:ascii="Mulish" w:hAnsi="Mulish"/>
          <w:b/>
          <w:color w:val="545850"/>
        </w:rPr>
        <w:t>10. Risk warnings relevant only</w:t>
      </w:r>
      <w:r>
        <w:rPr>
          <w:rFonts w:ascii="Mulish" w:hAnsi="Mulish"/>
          <w:color w:val="545850"/>
        </w:rPr>
        <w:t xml:space="preserve"> - Met. No mortgage, early-repayment-charge or equity-release wording. Warnings track what is actually recommended.</w:t>
      </w:r>
    </w:p>
    <w:p>
      <w:r>
        <w:rPr>
          <w:rFonts w:ascii="Mulish" w:hAnsi="Mulish"/>
          <w:b/>
          <w:color w:val="545850"/>
        </w:rPr>
        <w:t>11. Vulnerability and capacity considerations</w:t>
      </w:r>
      <w:r>
        <w:rPr>
          <w:rFonts w:ascii="Mulish" w:hAnsi="Mulish"/>
          <w:color w:val="545850"/>
        </w:rPr>
        <w:t xml:space="preserve"> - Met. Recent bereavement identified and handled proportionately: reversibility, retained £30,000, no pressure to stay invested, understanding confirmed, offer to revisit.</w:t>
      </w:r>
    </w:p>
    <w:p>
      <w:r>
        <w:rPr>
          <w:rFonts w:ascii="Mulish" w:hAnsi="Mulish"/>
          <w:b/>
          <w:color w:val="545850"/>
        </w:rPr>
        <w:t>12. LPA status checked and flagged</w:t>
      </w:r>
      <w:r>
        <w:rPr>
          <w:rFonts w:ascii="Mulish" w:hAnsi="Mulish"/>
          <w:color w:val="545850"/>
        </w:rPr>
        <w:t xml:space="preserve"> - Unclear. LPAs are raised and explained, but the status is unknown and left as a placeholder. Establish and record whether registered LPAs exist before issue; do not send the report with the client's own status unanswered.</w:t>
      </w:r>
    </w:p>
    <w:p>
      <w:r>
        <w:rPr>
          <w:rFonts w:ascii="Mulish" w:hAnsi="Mulish"/>
          <w:b/>
          <w:color w:val="545850"/>
        </w:rPr>
        <w:t>13. All valuations sourced and dated</w:t>
      </w:r>
      <w:r>
        <w:rPr>
          <w:rFonts w:ascii="Mulish" w:hAnsi="Mulish"/>
          <w:color w:val="545850"/>
        </w:rPr>
        <w:t xml:space="preserve"> - Not met. Three figures carry a source but no date: the Aviva pension (around £96,000, valuation date flagged as outstanding), the £30,000 deposit and the £420,000 property. The valuation summary supporting the £285,000 split is cited without a date. Date every figure in the sentence or in the Source column.</w:t>
      </w:r>
    </w:p>
    <w:p>
      <w:r>
        <w:rPr>
          <w:rFonts w:ascii="Mulish" w:hAnsi="Mulish"/>
          <w:b/>
          <w:color w:val="545850"/>
        </w:rPr>
        <w:t>14. Final recommended position only, no internal content</w:t>
      </w:r>
      <w:r>
        <w:rPr>
          <w:rFonts w:ascii="Mulish" w:hAnsi="Mulish"/>
          <w:color w:val="545850"/>
        </w:rPr>
        <w:t xml:space="preserve"> - Not met. Three defects: the "Outstanding items" table is adviser QA content and must not appear in the client document; the inline reconciliation note explaining that the illustration shows 0.50% but the factsheet shows 0.61% is an internal working note and must move to the QA output with the corrected illustration obtained; and the report has no date at all. Note also that the application was signed on 5 June 2026, so a report dated September 2026 would post-date the application. Resolve the sequencing before issue. Gap markers must also use the highlighted double-bracket form, not single brackets.</w:t>
      </w:r>
    </w:p>
    <w:p>
      <w:r>
        <w:rPr>
          <w:rFonts w:ascii="Mulish" w:hAnsi="Mulish"/>
          <w:b/>
          <w:color w:val="545850"/>
        </w:rPr>
        <w:t>15. No unsubstantiated regulatory statements</w:t>
      </w:r>
      <w:r>
        <w:rPr>
          <w:rFonts w:ascii="Mulish" w:hAnsi="Mulish"/>
          <w:color w:val="545850"/>
        </w:rPr>
        <w:t xml:space="preserve"> - Met. Nil rate band, pension access ages, cancellation period and the not-FCA-regulated statement for wills and LPAs are all correctly stated. One improvement: the estate paragraph counts the Aviva pension in the estate without noting that pensions come within the IHT estate from April 2027. Add the date qualifier.</w:t>
      </w:r>
    </w:p>
    <w:p>
      <w:r>
        <w:rPr>
          <w:rFonts w:ascii="Mulish" w:hAnsi="Mulish"/>
          <w:b/>
          <w:color w:val="545850"/>
        </w:rPr>
        <w:t>16. Correct signatory and declaration block</w:t>
      </w:r>
      <w:r>
        <w:rPr>
          <w:rFonts w:ascii="Mulish" w:hAnsi="Mulish"/>
          <w:color w:val="545850"/>
        </w:rPr>
        <w:t xml:space="preserve"> - Met. Adviser name and firm, dual signature block, client acknowledgement and the correct Ginkgo/Quilter regulatory line with both FRNs. "Chartered Financial Planner" is applied to the individual, not the firm, which is correct; confirm Mr Fletcher holds the designation.</w:t>
      </w:r>
    </w:p>
    <w:p>
      <w:r>
        <w:rPr>
          <w:rFonts w:ascii="Mulish" w:hAnsi="Mulish"/>
          <w:b/>
          <w:color w:val="545850"/>
        </w:rPr>
        <w:t>17. Objectives specific, personalised, client's own words</w:t>
      </w:r>
      <w:r>
        <w:rPr>
          <w:rFonts w:ascii="Mulish" w:hAnsi="Mulish"/>
          <w:color w:val="545850"/>
        </w:rPr>
        <w:t xml:space="preserve"> - Met. Inheritance from her late mother, growth over ten years plus, full 2026/27 allowance, and the Bed and ISA build-out. Not generic.</w:t>
      </w:r>
    </w:p>
    <w:p>
      <w:r>
        <w:rPr>
          <w:rFonts w:ascii="Mulish" w:hAnsi="Mulish"/>
          <w:b/>
          <w:color w:val="545850"/>
        </w:rPr>
        <w:t>18. Reason for investing, access needs, drivers replayed</w:t>
      </w:r>
      <w:r>
        <w:rPr>
          <w:rFonts w:ascii="Mulish" w:hAnsi="Mulish"/>
          <w:color w:val="545850"/>
        </w:rPr>
        <w:t xml:space="preserve"> - Met. Probate March 2026, cash since, no fixed access date, wants long-term with access if circumstances change.</w:t>
      </w:r>
    </w:p>
    <w:p>
      <w:r>
        <w:rPr>
          <w:rFonts w:ascii="Mulish" w:hAnsi="Mulish"/>
          <w:b/>
          <w:color w:val="545850"/>
        </w:rPr>
        <w:t>19. Why an existing plan no longer meets needs</w:t>
      </w:r>
      <w:r>
        <w:rPr>
          <w:rFonts w:ascii="Mulish" w:hAnsi="Mulish"/>
          <w:color w:val="545850"/>
        </w:rPr>
        <w:t xml:space="preserve"> - Not applicable. No plan replaced.</w:t>
      </w:r>
    </w:p>
    <w:p>
      <w:r>
        <w:rPr>
          <w:rFonts w:ascii="Mulish" w:hAnsi="Mulish"/>
          <w:b/>
          <w:color w:val="545850"/>
        </w:rPr>
        <w:t>20. Repaying debt considered before investing</w:t>
      </w:r>
      <w:r>
        <w:rPr>
          <w:rFonts w:ascii="Mulish" w:hAnsi="Mulish"/>
          <w:color w:val="545850"/>
        </w:rPr>
        <w:t xml:space="preserve"> - Met. No mortgage or other borrowing, stated in the objectives section and in the alternatives appendix.</w:t>
      </w:r>
    </w:p>
    <w:p>
      <w:r>
        <w:rPr>
          <w:rFonts w:ascii="Mulish" w:hAnsi="Mulish"/>
          <w:b/>
          <w:color w:val="545850"/>
        </w:rPr>
        <w:t>21. ATR assessed and in Quilter terminology</w:t>
      </w:r>
      <w:r>
        <w:rPr>
          <w:rFonts w:ascii="Mulish" w:hAnsi="Mulish"/>
          <w:color w:val="545850"/>
        </w:rPr>
        <w:t xml:space="preserve"> - Met.</w:t>
      </w:r>
    </w:p>
    <w:p>
      <w:r>
        <w:rPr>
          <w:rFonts w:ascii="Mulish" w:hAnsi="Mulish"/>
          <w:b/>
          <w:color w:val="545850"/>
        </w:rPr>
        <w:t>22. Capacity for loss assessed separately</w:t>
      </w:r>
      <w:r>
        <w:rPr>
          <w:rFonts w:ascii="Mulish" w:hAnsi="Mulish"/>
          <w:color w:val="545850"/>
        </w:rPr>
        <w:t xml:space="preserve"> - Met. Its own section, expressly distinguished from ATR, evidenced by salary, mortgage-free home, separate emergency fund and no reliance for essential spending, with the absence of any discrepancy stated.</w:t>
      </w:r>
    </w:p>
    <w:p>
      <w:r>
        <w:rPr>
          <w:rFonts w:ascii="Mulish" w:hAnsi="Mulish"/>
          <w:b/>
          <w:color w:val="545850"/>
        </w:rPr>
        <w:t>23. Vulnerability, including means-tested benefits</w:t>
      </w:r>
      <w:r>
        <w:rPr>
          <w:rFonts w:ascii="Mulish" w:hAnsi="Mulish"/>
          <w:color w:val="545850"/>
        </w:rPr>
        <w:t xml:space="preserve"> - Met. Bereavement addressed; no means-tested benefits in issue on a £48,000 salary, so that limb does not arise.</w:t>
      </w:r>
    </w:p>
    <w:p>
      <w:r>
        <w:rPr>
          <w:rFonts w:ascii="Mulish" w:hAnsi="Mulish"/>
          <w:b/>
          <w:color w:val="545850"/>
        </w:rPr>
        <w:t>24. Existing arrangements recorded; ceding data currency</w:t>
      </w:r>
      <w:r>
        <w:rPr>
          <w:rFonts w:ascii="Mulish" w:hAnsi="Mulish"/>
          <w:color w:val="545850"/>
        </w:rPr>
        <w:t xml:space="preserve"> - Met on recording (table plus appendix). Ceding-data currency is not applicable as nothing is being transferred. The undated pension value is captured at item 13.</w:t>
      </w:r>
    </w:p>
    <w:p>
      <w:r>
        <w:rPr>
          <w:rFonts w:ascii="Mulish" w:hAnsi="Mulish"/>
          <w:b/>
          <w:color w:val="545850"/>
        </w:rPr>
        <w:t>25. Existing fund range reviewed, internal switch discounted</w:t>
      </w:r>
      <w:r>
        <w:rPr>
          <w:rFonts w:ascii="Mulish" w:hAnsi="Mulish"/>
          <w:color w:val="545850"/>
        </w:rPr>
        <w:t xml:space="preserve"> - Not applicable.</w:t>
      </w:r>
    </w:p>
    <w:p>
      <w:r>
        <w:rPr>
          <w:rFonts w:ascii="Mulish" w:hAnsi="Mulish"/>
          <w:b/>
          <w:color w:val="545850"/>
        </w:rPr>
        <w:t>26. Guarantees, bonuses, exit penalties, MVR</w:t>
      </w:r>
      <w:r>
        <w:rPr>
          <w:rFonts w:ascii="Mulish" w:hAnsi="Mulish"/>
          <w:color w:val="545850"/>
        </w:rPr>
        <w:t xml:space="preserve"> - Not applicable, and correctly stated as such.</w:t>
      </w:r>
    </w:p>
    <w:p>
      <w:r>
        <w:rPr>
          <w:rFonts w:ascii="Mulish" w:hAnsi="Mulish"/>
          <w:b/>
          <w:color w:val="545850"/>
        </w:rPr>
        <w:t>27. Replacement more suitable than retaining</w:t>
      </w:r>
      <w:r>
        <w:rPr>
          <w:rFonts w:ascii="Mulish" w:hAnsi="Mulish"/>
          <w:color w:val="545850"/>
        </w:rPr>
        <w:t xml:space="preserve"> - Not applicable.</w:t>
      </w:r>
    </w:p>
    <w:p>
      <w:r>
        <w:rPr>
          <w:rFonts w:ascii="Mulish" w:hAnsi="Mulish"/>
          <w:b/>
          <w:color w:val="545850"/>
        </w:rPr>
        <w:t>28. Like-for-like wrapper cheaper</w:t>
      </w:r>
      <w:r>
        <w:rPr>
          <w:rFonts w:ascii="Mulish" w:hAnsi="Mulish"/>
          <w:color w:val="545850"/>
        </w:rPr>
        <w:t xml:space="preserve"> - Not applicable.</w:t>
      </w:r>
    </w:p>
    <w:p>
      <w:r>
        <w:rPr>
          <w:rFonts w:ascii="Mulish" w:hAnsi="Mulish"/>
          <w:b/>
          <w:color w:val="545850"/>
        </w:rPr>
        <w:t>29. Like-for-like performance comparison</w:t>
      </w:r>
      <w:r>
        <w:rPr>
          <w:rFonts w:ascii="Mulish" w:hAnsi="Mulish"/>
          <w:color w:val="545850"/>
        </w:rPr>
        <w:t xml:space="preserve"> - Not applicable. No past performance is cited anywhere, which is the right call here.</w:t>
      </w:r>
    </w:p>
    <w:p>
      <w:r>
        <w:rPr>
          <w:rFonts w:ascii="Mulish" w:hAnsi="Mulish"/>
          <w:b/>
          <w:color w:val="545850"/>
        </w:rPr>
        <w:t>30. Old versus new charge comparison table</w:t>
      </w:r>
      <w:r>
        <w:rPr>
          <w:rFonts w:ascii="Mulish" w:hAnsi="Mulish"/>
          <w:color w:val="545850"/>
        </w:rPr>
        <w:t xml:space="preserve"> - Not applicable. Correctly explained, with a full new-arrangement cost table in its place.</w:t>
      </w:r>
    </w:p>
    <w:p>
      <w:r>
        <w:rPr>
          <w:rFonts w:ascii="Mulish" w:hAnsi="Mulish"/>
          <w:b/>
          <w:color w:val="545850"/>
        </w:rPr>
        <w:t>31. Reduction in yield including all initial and ongoing advice fees, in monetary terms</w:t>
      </w:r>
      <w:r>
        <w:rPr>
          <w:rFonts w:ascii="Mulish" w:hAnsi="Mulish"/>
          <w:color w:val="545850"/>
        </w:rPr>
        <w:t xml:space="preserve"> - Not met. The stated RIY of 1.88% and the £76,700 ten-year effect are built on ongoing charges only. The £4,275 initial adviser fee sits outside the calculation and is described as "payable in addition". FG12/16 requires the RIY to include initial as well as ongoing advice charges. Recalculate with the initial fee inside the projection and restate both the percentage and the pounds.</w:t>
      </w:r>
    </w:p>
    <w:p>
      <w:r>
        <w:rPr>
          <w:rFonts w:ascii="Mulish" w:hAnsi="Mulish"/>
          <w:b/>
          <w:color w:val="545850"/>
        </w:rPr>
        <w:t>32. Pounds difference between total existing and total new charges</w:t>
      </w:r>
      <w:r>
        <w:rPr>
          <w:rFonts w:ascii="Mulish" w:hAnsi="Mulish"/>
          <w:color w:val="545850"/>
        </w:rPr>
        <w:t xml:space="preserve"> - Not applicable.</w:t>
      </w:r>
    </w:p>
    <w:p>
      <w:r>
        <w:rPr>
          <w:rFonts w:ascii="Mulish" w:hAnsi="Mulish"/>
          <w:b/>
          <w:color w:val="545850"/>
        </w:rPr>
        <w:t>33. Contingent initial fee at transfer</w:t>
      </w:r>
      <w:r>
        <w:rPr>
          <w:rFonts w:ascii="Mulish" w:hAnsi="Mulish"/>
          <w:color w:val="545850"/>
        </w:rPr>
        <w:t xml:space="preserve"> - Not applicable. Nothing is transferred and the report says so. Related point at item 34.</w:t>
      </w:r>
    </w:p>
    <w:p>
      <w:r>
        <w:rPr>
          <w:rFonts w:ascii="Mulish" w:hAnsi="Mulish"/>
          <w:b/>
          <w:color w:val="545850"/>
        </w:rPr>
        <w:t>34. Ex-ante costs and charges accurate</w:t>
      </w:r>
      <w:r>
        <w:rPr>
          <w:rFonts w:ascii="Mulish" w:hAnsi="Mulish"/>
          <w:color w:val="545850"/>
        </w:rPr>
        <w:t xml:space="preserve"> - Unclear. The table is internally consistent, but two things undermine accuracy. First, it conflicts with the illustration on file, which uses 0.50% for the OCF; the updated illustration is still outstanding, so the client would receive two different figures. Second, whether the £4,275 is deducted from the £285,000 or paid separately is unresolved. If it is deducted, the invested amount is £280,725 and every projection and pounds figure in the cost section is overstated. Settle this and re-run the figures.</w:t>
      </w:r>
    </w:p>
    <w:p>
      <w:r>
        <w:rPr>
          <w:rFonts w:ascii="Mulish" w:hAnsi="Mulish"/>
          <w:b/>
          <w:color w:val="545850"/>
        </w:rPr>
        <w:t>35. Wrapper justified over alternatives and personalised to the tax position now and in future</w:t>
      </w:r>
      <w:r>
        <w:rPr>
          <w:rFonts w:ascii="Mulish" w:hAnsi="Mulish"/>
          <w:color w:val="545850"/>
        </w:rPr>
        <w:t xml:space="preserve"> - Unclear. The ISA, CIA, bond and pension comparison is genuinely reasoned. The personalisation is thin: the CGT annual exempt amount is relied on as the mechanism for the whole Bed and ISA strategy but is never stated (it is listed as an outstanding item), and there is no reference to the dividend allowance or to the client's likely tax position at and after retirement. The fact find records "basic/higher rate, within basic band after pension" and the report resolves this to basic rate without showing the reasoning.</w:t>
      </w:r>
    </w:p>
    <w:p>
      <w:r>
        <w:rPr>
          <w:rFonts w:ascii="Mulish" w:hAnsi="Mulish"/>
          <w:b/>
          <w:color w:val="545850"/>
        </w:rPr>
        <w:t>36. Tax consequences replayed; client responsible for own tax return</w:t>
      </w:r>
      <w:r>
        <w:rPr>
          <w:rFonts w:ascii="Mulish" w:hAnsi="Mulish"/>
          <w:color w:val="545850"/>
        </w:rPr>
        <w:t xml:space="preserve"> - Unclear. The qualitative position is there and the tax-return responsibility statement is present. What is missing is any quantification: no indicative CGT figure for the first Bed and ISA transfer and no exempt-amount figure. For a £265,000 GIA whose stated purpose is annual disposals into an ISA, the client needs an indicative calculation, flagged as a guide.</w:t>
      </w:r>
    </w:p>
    <w:p>
      <w:r>
        <w:rPr>
          <w:rFonts w:ascii="Mulish" w:hAnsi="Mulish"/>
          <w:b/>
          <w:color w:val="545850"/>
        </w:rPr>
        <w:t>37. Mandatory tool used where required</w:t>
      </w:r>
      <w:r>
        <w:rPr>
          <w:rFonts w:ascii="Mulish" w:hAnsi="Mulish"/>
          <w:color w:val="545850"/>
        </w:rPr>
        <w:t xml:space="preserve"> - Not applicable. No GIA to onshore bond recommendation; the bond is discounted.</w:t>
      </w:r>
    </w:p>
    <w:p>
      <w:r>
        <w:rPr>
          <w:rFonts w:ascii="Mulish" w:hAnsi="Mulish"/>
          <w:b/>
          <w:color w:val="545850"/>
        </w:rPr>
        <w:t>38. Term reflects needs and, where relevant, life expectancy</w:t>
      </w:r>
      <w:r>
        <w:rPr>
          <w:rFonts w:ascii="Mulish" w:hAnsi="Mulish"/>
          <w:color w:val="545850"/>
        </w:rPr>
        <w:t xml:space="preserve"> - Met. Ten years plus, no fixed end date, access retained, consistent with age and objectives.</w:t>
      </w:r>
    </w:p>
    <w:p>
      <w:r>
        <w:rPr>
          <w:rFonts w:ascii="Mulish" w:hAnsi="Mulish"/>
          <w:b/>
          <w:color w:val="545850"/>
        </w:rPr>
        <w:t>39. Ongoing servicing offered, cost agreed, not self-defeating</w:t>
      </w:r>
      <w:r>
        <w:rPr>
          <w:rFonts w:ascii="Mulish" w:hAnsi="Mulish"/>
          <w:color w:val="545850"/>
        </w:rPr>
        <w:t xml:space="preserve"> - Met. 1.00% and £2,850 disclosed, with a specific list of what the fee buys, including the annual Bed and ISA work. The unnamed tier is captured at item 7.</w:t>
      </w:r>
    </w:p>
    <w:p>
      <w:r>
        <w:rPr>
          <w:rFonts w:ascii="Mulish" w:hAnsi="Mulish"/>
          <w:b/>
          <w:color w:val="545850"/>
        </w:rPr>
        <w:t>40. Within permitted scope</w:t>
      </w:r>
      <w:r>
        <w:rPr>
          <w:rFonts w:ascii="Mulish" w:hAnsi="Mulish"/>
          <w:color w:val="545850"/>
        </w:rPr>
        <w:t xml:space="preserve"> - Met. Platform ISA and CIA in an on-matrix managed portfolio. No NMPI/UCIS, no share dealing, no investment trusts.</w:t>
      </w:r>
    </w:p>
    <w:p>
      <w:r>
        <w:rPr>
          <w:rFonts w:ascii="Mulish" w:hAnsi="Mulish"/>
          <w:b/>
          <w:color w:val="545850"/>
        </w:rPr>
        <w:t>41. Restricted: matrix or panel process followed</w:t>
      </w:r>
      <w:r>
        <w:rPr>
          <w:rFonts w:ascii="Mulish" w:hAnsi="Mulish"/>
          <w:color w:val="545850"/>
        </w:rPr>
        <w:t xml:space="preserve"> - Met. WealthSelect is on the Quilter Investment Matrix and the report says so, so no separate fund research or Defaqto fund report is needed. Platform selection is evidenced across five platforms. The report correctly avoids any language implying independence; do not import the research document's "whole-of-market" phrasing into the report.</w:t>
      </w:r>
    </w:p>
    <w:p>
      <w:r>
        <w:rPr>
          <w:rFonts w:ascii="Mulish" w:hAnsi="Mulish"/>
          <w:b/>
          <w:color w:val="545850"/>
        </w:rPr>
        <w:t>42. Affordable, suitable, sustainable, good retail outcome</w:t>
      </w:r>
      <w:r>
        <w:rPr>
          <w:rFonts w:ascii="Mulish" w:hAnsi="Mulish"/>
          <w:color w:val="545850"/>
        </w:rPr>
        <w:t xml:space="preserve"> - Met. Emergency fund retained outside the investment, no reliance on the money for essential spending, accessible structure, charges disclosed.</w:t>
      </w:r>
    </w:p>
    <w:p>
      <w:r>
        <w:rPr>
          <w:rFonts w:ascii="Mulish" w:hAnsi="Mulish"/>
          <w:b/>
          <w:color w:val="545850"/>
        </w:rPr>
        <w:t>Evidence-layer items</w:t>
      </w:r>
      <w:r>
        <w:rPr>
          <w:rFonts w:ascii="Mulish" w:hAnsi="Mulish"/>
          <w:color w:val="545850"/>
        </w:rPr>
        <w:t xml:space="preserve"> (AML and ID, Terms of Business, signed fee authority, ATR report, capacity for loss assessment, Defaqto research, illustration, factsheet, fact find, application, source of funds) - assumed present (report-only check).</w:t>
      </w:r>
    </w:p>
    <w:p>
      <w:r>
        <w:rPr>
          <w:rFonts w:ascii="Mulish" w:hAnsi="Mulish"/>
          <w:color w:val="545850"/>
        </w:rPr>
        <w:t>---</w:t>
      </w:r>
    </w:p>
    <w:p>
      <w:pPr>
        <w:pStyle w:val="Heading3"/>
      </w:pPr>
      <w:r>
        <w:rPr>
          <w:rFonts w:ascii="Mulish" w:hAnsi="Mulish"/>
          <w:color w:val="545850"/>
          <w:sz w:val="24"/>
        </w:rPr>
        <w:t>Overall grade: PARTIAL</w:t>
      </w:r>
    </w:p>
    <w:p>
      <w:r>
        <w:rPr>
          <w:rFonts w:ascii="Mulish" w:hAnsi="Mulish"/>
          <w:color w:val="545850"/>
        </w:rPr>
        <w:t>The suitability reasoning is strong and the risk, capacity-for-loss and vulnerability sections are well evidenced. The gaps are disclosure and document-hygiene defects, one of them material.</w:t>
      </w:r>
    </w:p>
    <w:p>
      <w:pPr>
        <w:pStyle w:val="Heading3"/>
      </w:pPr>
      <w:r>
        <w:rPr>
          <w:rFonts w:ascii="Mulish" w:hAnsi="Mulish"/>
          <w:color w:val="545850"/>
          <w:sz w:val="24"/>
        </w:rPr>
        <w:t>Prioritised actions before issue</w:t>
      </w:r>
    </w:p>
    <w:p>
      <w:pPr>
        <w:pStyle w:val="ListNumber"/>
      </w:pPr>
      <w:r>
        <w:rPr>
          <w:rFonts w:ascii="Mulish" w:hAnsi="Mulish"/>
          <w:b/>
          <w:color w:val="545850"/>
        </w:rPr>
        <w:t>Recalculate the reduction in yield to include the £4,275 initial fee</w:t>
      </w:r>
      <w:r>
        <w:rPr>
          <w:rFonts w:ascii="Mulish" w:hAnsi="Mulish"/>
          <w:color w:val="545850"/>
        </w:rPr>
        <w:t xml:space="preserve"> (item 31). State it in percentage and pounds and remove the "payable in addition" framing from the RIY narrative.</w:t>
      </w:r>
    </w:p>
    <w:p>
      <w:pPr>
        <w:pStyle w:val="ListNumber"/>
      </w:pPr>
      <w:r>
        <w:rPr>
          <w:rFonts w:ascii="Mulish" w:hAnsi="Mulish"/>
          <w:b/>
          <w:color w:val="545850"/>
        </w:rPr>
        <w:t>Resolve whether the initial fee is deducted from the £285,000</w:t>
      </w:r>
      <w:r>
        <w:rPr>
          <w:rFonts w:ascii="Mulish" w:hAnsi="Mulish"/>
          <w:color w:val="545850"/>
        </w:rPr>
        <w:t xml:space="preserve"> (item 34). If it is, correct the invested amount, the ex-ante table and all three projection rows.</w:t>
      </w:r>
    </w:p>
    <w:p>
      <w:pPr>
        <w:pStyle w:val="ListNumber"/>
      </w:pPr>
      <w:r>
        <w:rPr>
          <w:rFonts w:ascii="Mulish" w:hAnsi="Mulish"/>
          <w:b/>
          <w:color w:val="545850"/>
        </w:rPr>
        <w:t>Obtain the corrected illustration</w:t>
      </w:r>
      <w:r>
        <w:rPr>
          <w:rFonts w:ascii="Mulish" w:hAnsi="Mulish"/>
          <w:color w:val="545850"/>
        </w:rPr>
        <w:t xml:space="preserve"> at 0.61% plus 0.15% and delete the inline illustration-versus-factsheet reconciliation note from the client report (items 14 and 34).</w:t>
      </w:r>
    </w:p>
    <w:p>
      <w:pPr>
        <w:pStyle w:val="ListNumber"/>
      </w:pPr>
      <w:r>
        <w:rPr>
          <w:rFonts w:ascii="Mulish" w:hAnsi="Mulish"/>
          <w:b/>
          <w:color w:val="545850"/>
        </w:rPr>
        <w:t>Date the report, and confirm the sequencing against the application signed 5 June 2026</w:t>
      </w:r>
      <w:r>
        <w:rPr>
          <w:rFonts w:ascii="Mulish" w:hAnsi="Mulish"/>
          <w:color w:val="545850"/>
        </w:rPr>
        <w:t xml:space="preserve"> (item 14). The report must be dated on or before the application.</w:t>
      </w:r>
    </w:p>
    <w:p>
      <w:pPr>
        <w:pStyle w:val="ListNumber"/>
      </w:pPr>
      <w:r>
        <w:rPr>
          <w:rFonts w:ascii="Mulish" w:hAnsi="Mulish"/>
          <w:b/>
          <w:color w:val="545850"/>
        </w:rPr>
        <w:t>Remove the "Outstanding items" table from the client document</w:t>
      </w:r>
      <w:r>
        <w:rPr>
          <w:rFonts w:ascii="Mulish" w:hAnsi="Mulish"/>
          <w:color w:val="545850"/>
        </w:rPr>
        <w:t xml:space="preserve"> and move it to the adviser QA output (item 14). Convert remaining genuine gaps to the highlighted double-bracket placeholder form.</w:t>
      </w:r>
    </w:p>
    <w:p>
      <w:pPr>
        <w:pStyle w:val="ListNumber"/>
      </w:pPr>
      <w:r>
        <w:rPr>
          <w:rFonts w:ascii="Mulish" w:hAnsi="Mulish"/>
          <w:b/>
          <w:color w:val="545850"/>
        </w:rPr>
        <w:t>Date every valuation</w:t>
      </w:r>
      <w:r>
        <w:rPr>
          <w:rFonts w:ascii="Mulish" w:hAnsi="Mulish"/>
          <w:color w:val="545850"/>
        </w:rPr>
        <w:t>: Aviva pension, deposit, property and the valuation summary supporting the £285,000 split (item 13).</w:t>
      </w:r>
    </w:p>
    <w:p>
      <w:pPr>
        <w:pStyle w:val="ListNumber"/>
      </w:pPr>
      <w:r>
        <w:rPr>
          <w:rFonts w:ascii="Mulish" w:hAnsi="Mulish"/>
          <w:b/>
          <w:color w:val="545850"/>
        </w:rPr>
        <w:t>State the CGT annual exempt amount and an indicative first-year Bed and ISA CGT figure</w:t>
      </w:r>
      <w:r>
        <w:rPr>
          <w:rFonts w:ascii="Mulish" w:hAnsi="Mulish"/>
          <w:color w:val="545850"/>
        </w:rPr>
        <w:t>, labelled as a guide (items 35 and 36).</w:t>
      </w:r>
    </w:p>
    <w:p>
      <w:pPr>
        <w:pStyle w:val="ListNumber"/>
      </w:pPr>
      <w:r>
        <w:rPr>
          <w:rFonts w:ascii="Mulish" w:hAnsi="Mulish"/>
          <w:b/>
          <w:color w:val="545850"/>
        </w:rPr>
        <w:t>Name the ongoing service tier and state the basis of the reduced 1.5% initial fee</w:t>
      </w:r>
      <w:r>
        <w:rPr>
          <w:rFonts w:ascii="Mulish" w:hAnsi="Mulish"/>
          <w:color w:val="545850"/>
        </w:rPr>
        <w:t>; record it in the QA as a non-standard fee evidenced by the authorisation of 2 June 2026 (item 7).</w:t>
      </w:r>
    </w:p>
    <w:p>
      <w:pPr>
        <w:pStyle w:val="ListNumber"/>
      </w:pPr>
      <w:r>
        <w:rPr>
          <w:rFonts w:ascii="Mulish" w:hAnsi="Mulish"/>
          <w:b/>
          <w:color w:val="545850"/>
        </w:rPr>
        <w:t>Establish the client's will and LPA status</w:t>
      </w:r>
      <w:r>
        <w:rPr>
          <w:rFonts w:ascii="Mulish" w:hAnsi="Mulish"/>
          <w:color w:val="545850"/>
        </w:rPr>
        <w:t xml:space="preserve"> and replace the placeholders with the position (item 12).</w:t>
      </w:r>
    </w:p>
    <w:p>
      <w:pPr>
        <w:pStyle w:val="ListNumber"/>
      </w:pPr>
      <w:r>
        <w:rPr>
          <w:rFonts w:ascii="Mulish" w:hAnsi="Mulish"/>
          <w:b/>
          <w:color w:val="545850"/>
        </w:rPr>
        <w:t>Add the April 2027 date qualifier</w:t>
      </w:r>
      <w:r>
        <w:rPr>
          <w:rFonts w:ascii="Mulish" w:hAnsi="Mulish"/>
          <w:color w:val="545850"/>
        </w:rPr>
        <w:t xml:space="preserve"> to the statement that the pension forms part of the estate for IHT (item 15).</w:t>
      </w:r>
    </w:p>
    <w:p>
      <w:r>
        <w:rPr>
          <w:rFonts w:ascii="Mulish" w:hAnsi="Mulish"/>
          <w:color w:val="545850"/>
        </w:rPr>
        <w:t>File-data flag for the adviser QA, not a checklist item: the fact find records age 54, but a date of birth of 14 July 1971 gives age 55 as at the generation date. Correct the fact find. The report does not state an age, so nothing in the client document needs changing.</w:t>
      </w:r>
    </w:p>
    <w:p>
      <w:r>
        <w:rPr>
          <w:rFonts w:ascii="Mulish" w:hAnsi="Mulish"/>
          <w:color w:val="545850"/>
        </w:rPr>
        <w:t>This review flags gaps only. It does not certify compliance. A named adviser must approve the report, and pre-approval must be obtained where the Quilter matrix requires it.</w:t>
      </w:r>
    </w:p>
    <w:p>
      <w:pPr>
        <w:pStyle w:val="Heading1"/>
      </w:pPr>
      <w:r>
        <w:rPr>
          <w:rFonts w:ascii="Mulish" w:hAnsi="Mulish"/>
          <w:color w:val="DD971A"/>
          <w:sz w:val="28"/>
        </w:rPr>
        <w:t>Checklist applied</w:t>
      </w:r>
    </w:p>
    <w:p>
      <w:pPr>
        <w:pStyle w:val="ListBullet"/>
      </w:pPr>
      <w:r>
        <w:rPr>
          <w:rFonts w:ascii="Mulish" w:hAnsi="Mulish"/>
          <w:color w:val="545850"/>
        </w:rPr>
        <w:t>(Compliance-check pass (mandatory)) All required sections present, none omitted.</w:t>
      </w:r>
    </w:p>
    <w:p>
      <w:pPr>
        <w:pStyle w:val="ListBullet"/>
      </w:pPr>
      <w:r>
        <w:rPr>
          <w:rFonts w:ascii="Mulish" w:hAnsi="Mulish"/>
          <w:color w:val="545850"/>
        </w:rPr>
        <w:t>(Compliance-check pass (mandatory)) Where existing investment funds are being retained (reviews and retained-holding cases): mandatory</w:t>
      </w:r>
    </w:p>
    <w:p>
      <w:pPr>
        <w:pStyle w:val="ListBullet"/>
      </w:pPr>
      <w:r>
        <w:rPr>
          <w:rFonts w:ascii="Mulish" w:hAnsi="Mulish"/>
          <w:color w:val="545850"/>
        </w:rPr>
        <w:t>(Compliance-check pass (mandatory)) For reviews: mandatory continued-suitability statement present (from firm config), unchanged.</w:t>
      </w:r>
    </w:p>
    <w:p>
      <w:pPr>
        <w:pStyle w:val="ListBullet"/>
      </w:pPr>
      <w:r>
        <w:rPr>
          <w:rFonts w:ascii="Mulish" w:hAnsi="Mulish"/>
          <w:color w:val="545850"/>
        </w:rPr>
        <w:t>(Compliance-check pass (mandatory)) ATR expressed in Quilter risk terminology. If the chosen risk level differs from the questionnaire</w:t>
      </w:r>
    </w:p>
    <w:p>
      <w:pPr>
        <w:pStyle w:val="ListBullet"/>
      </w:pPr>
      <w:r>
        <w:rPr>
          <w:rFonts w:ascii="Mulish" w:hAnsi="Mulish"/>
          <w:color w:val="545850"/>
        </w:rPr>
        <w:t>(Compliance-check pass (mandatory)) Recommendation explicitly linked to the client's objectives, needs and risk profile (COBS 9).</w:t>
      </w:r>
    </w:p>
    <w:p>
      <w:pPr>
        <w:pStyle w:val="ListBullet"/>
      </w:pPr>
      <w:r>
        <w:rPr>
          <w:rFonts w:ascii="Mulish" w:hAnsi="Mulish"/>
          <w:color w:val="545850"/>
        </w:rPr>
        <w:t>(Compliance-check pass (mandatory)) Costs and charges disclosed in full: adviser fee, platform fee and fund fee, with the aggregated</w:t>
      </w:r>
    </w:p>
    <w:p>
      <w:pPr>
        <w:pStyle w:val="ListBullet"/>
      </w:pPr>
      <w:r>
        <w:rPr>
          <w:rFonts w:ascii="Mulish" w:hAnsi="Mulish"/>
          <w:color w:val="545850"/>
        </w:rPr>
        <w:t>(Compliance-check pass (mandatory)) Advice fee matches the firm's Terms of Business fee schedule (in the firm configuration under</w:t>
      </w:r>
    </w:p>
    <w:p>
      <w:pPr>
        <w:pStyle w:val="ListBullet"/>
      </w:pPr>
      <w:r>
        <w:rPr>
          <w:rFonts w:ascii="Mulish" w:hAnsi="Mulish"/>
          <w:color w:val="545850"/>
        </w:rPr>
        <w:t>(Compliance-check pass (mandatory)) Fee fair value evidencing (Quilter Servicing Policy RAP-1540 and Fee Fair Value Rationale Form</w:t>
      </w:r>
    </w:p>
    <w:p>
      <w:pPr>
        <w:pStyle w:val="ListBullet"/>
      </w:pPr>
      <w:r>
        <w:rPr>
          <w:rFonts w:ascii="Mulish" w:hAnsi="Mulish"/>
          <w:color w:val="545850"/>
        </w:rPr>
        <w:t>(Compliance-check pass (mandatory)) Risks and trade-offs stated in plain, client-understandable language (Consumer Duty: consumer understanding).</w:t>
      </w:r>
    </w:p>
    <w:p>
      <w:pPr>
        <w:pStyle w:val="ListBullet"/>
      </w:pPr>
      <w:r>
        <w:rPr>
          <w:rFonts w:ascii="Mulish" w:hAnsi="Mulish"/>
          <w:color w:val="545850"/>
        </w:rPr>
        <w:t>(Compliance-check pass (mandatory)) Every risk warning present is relevant to what is recommended in THIS report. A warning for a</w:t>
      </w:r>
    </w:p>
    <w:p>
      <w:pPr>
        <w:pStyle w:val="ListBullet"/>
      </w:pPr>
      <w:r>
        <w:rPr>
          <w:rFonts w:ascii="Mulish" w:hAnsi="Mulish"/>
          <w:color w:val="545850"/>
        </w:rPr>
        <w:t>(Compliance-check pass (mandatory)) Vulnerability and capacity considerations addressed where relevant (Consumer Duty).</w:t>
      </w:r>
    </w:p>
    <w:p>
      <w:pPr>
        <w:pStyle w:val="ListBullet"/>
      </w:pPr>
      <w:r>
        <w:rPr>
          <w:rFonts w:ascii="Mulish" w:hAnsi="Mulish"/>
          <w:color w:val="545850"/>
        </w:rPr>
        <w:t>(Compliance-check pass (mandatory)) LPA status checked and flagged if missing.</w:t>
      </w:r>
    </w:p>
    <w:p>
      <w:pPr>
        <w:pStyle w:val="ListBullet"/>
      </w:pPr>
      <w:r>
        <w:rPr>
          <w:rFonts w:ascii="Mulish" w:hAnsi="Mulish"/>
          <w:color w:val="545850"/>
        </w:rPr>
        <w:t>(Compliance-check pass (mandatory)) All valuations sourced and dated.</w:t>
      </w:r>
    </w:p>
    <w:p>
      <w:pPr>
        <w:pStyle w:val="ListBullet"/>
      </w:pPr>
      <w:r>
        <w:rPr>
          <w:rFonts w:ascii="Mulish" w:hAnsi="Mulish"/>
          <w:color w:val="545850"/>
        </w:rPr>
        <w:t>(Compliance-check pass (mandatory)) Final recommended position only. No internal iteration history or version comparison in the report.</w:t>
      </w:r>
    </w:p>
    <w:p>
      <w:pPr>
        <w:pStyle w:val="ListBullet"/>
      </w:pPr>
      <w:r>
        <w:rPr>
          <w:rFonts w:ascii="Mulish" w:hAnsi="Mulish"/>
          <w:color w:val="545850"/>
        </w:rPr>
        <w:t>(Compliance-check pass (mandatory)) No unsubstantiated regulatory statements.</w:t>
      </w:r>
    </w:p>
    <w:p>
      <w:pPr>
        <w:pStyle w:val="ListBullet"/>
      </w:pPr>
      <w:r>
        <w:rPr>
          <w:rFonts w:ascii="Mulish" w:hAnsi="Mulish"/>
          <w:color w:val="545850"/>
        </w:rPr>
        <w:t>(Compliance-check pass (mandatory)) Correct signatory and declaration block (from firm config).</w:t>
      </w:r>
    </w:p>
    <w:p>
      <w:pPr>
        <w:pStyle w:val="ListBullet"/>
      </w:pPr>
      <w:r>
        <w:rPr>
          <w:rFonts w:ascii="Mulish" w:hAnsi="Mulish"/>
          <w:color w:val="545850"/>
        </w:rPr>
        <w:t>(Quilter investment-advice requirements (sourced)) Objectives are specific and personalised, in the client's own words. Generic objectives such as</w:t>
      </w:r>
    </w:p>
    <w:p>
      <w:pPr>
        <w:pStyle w:val="ListBullet"/>
      </w:pPr>
      <w:r>
        <w:rPr>
          <w:rFonts w:ascii="Mulish" w:hAnsi="Mulish"/>
          <w:color w:val="545850"/>
        </w:rPr>
        <w:t>(Quilter investment-advice requirements (sourced)) Reason for investing, when and why access is needed, and the drivers for change are recorded and replayed.</w:t>
      </w:r>
    </w:p>
    <w:p>
      <w:pPr>
        <w:pStyle w:val="ListBullet"/>
      </w:pPr>
      <w:r>
        <w:rPr>
          <w:rFonts w:ascii="Mulish" w:hAnsi="Mulish"/>
          <w:color w:val="545850"/>
        </w:rPr>
        <w:t>(Quilter investment-advice requirements (sourced)) Where an existing plan is replaced, the report explains why it no longer meets the client's needs.</w:t>
      </w:r>
    </w:p>
    <w:p>
      <w:pPr>
        <w:pStyle w:val="ListBullet"/>
      </w:pPr>
      <w:r>
        <w:rPr>
          <w:rFonts w:ascii="Mulish" w:hAnsi="Mulish"/>
          <w:color w:val="545850"/>
        </w:rPr>
        <w:t>(Quilter investment-advice requirements (sourced)) Repaying debt considered before investing; if not prioritised, justified.</w:t>
      </w:r>
    </w:p>
    <w:p>
      <w:pPr>
        <w:pStyle w:val="ListBullet"/>
      </w:pPr>
      <w:r>
        <w:rPr>
          <w:rFonts w:ascii="Mulish" w:hAnsi="Mulish"/>
          <w:color w:val="545850"/>
        </w:rPr>
        <w:t>(Quilter investment-advice requirements (sourced)) ATR assessed and expressed in Quilter terminology.</w:t>
      </w:r>
    </w:p>
    <w:p>
      <w:pPr>
        <w:pStyle w:val="ListBullet"/>
      </w:pPr>
      <w:r>
        <w:rPr>
          <w:rFonts w:ascii="Mulish" w:hAnsi="Mulish"/>
          <w:color w:val="545850"/>
        </w:rPr>
        <w:t>(Quilter investment-advice requirements (sourced)) Capacity for loss assessed separately from ATR. Any discrepancy discussed and the rationale documented.</w:t>
      </w:r>
    </w:p>
    <w:p>
      <w:pPr>
        <w:pStyle w:val="ListBullet"/>
      </w:pPr>
      <w:r>
        <w:rPr>
          <w:rFonts w:ascii="Mulish" w:hAnsi="Mulish"/>
          <w:color w:val="545850"/>
        </w:rPr>
        <w:t>(Quilter investment-advice requirements (sourced)) Vulnerability considered. For vulnerable clients on means-tested benefits, the effect on their</w:t>
      </w:r>
    </w:p>
    <w:p>
      <w:pPr>
        <w:pStyle w:val="ListBullet"/>
      </w:pPr>
      <w:r>
        <w:rPr>
          <w:rFonts w:ascii="Mulish" w:hAnsi="Mulish"/>
          <w:color w:val="545850"/>
        </w:rPr>
        <w:t>(Quilter investment-advice requirements (sourced)) All existing arrangements recorded. Ceding information dated within 6 months; fund and transfer</w:t>
      </w:r>
    </w:p>
    <w:p>
      <w:pPr>
        <w:pStyle w:val="ListBullet"/>
      </w:pPr>
      <w:r>
        <w:rPr>
          <w:rFonts w:ascii="Mulish" w:hAnsi="Mulish"/>
          <w:color w:val="545850"/>
        </w:rPr>
        <w:t>(Quilter investment-advice requirements (sourced)) Existing product and fund range reviewed first. The report explains why an internal fund switch was discounted.</w:t>
      </w:r>
    </w:p>
    <w:p>
      <w:pPr>
        <w:pStyle w:val="ListBullet"/>
      </w:pPr>
      <w:r>
        <w:rPr>
          <w:rFonts w:ascii="Mulish" w:hAnsi="Mulish"/>
          <w:color w:val="545850"/>
        </w:rPr>
        <w:t>(Quilter investment-advice requirements (sourced)) Guarantees, loyalty bonuses, exit penalties and any MVR identified. Anything lost on transfer</w:t>
      </w:r>
    </w:p>
    <w:p>
      <w:pPr>
        <w:pStyle w:val="ListBullet"/>
      </w:pPr>
      <w:r>
        <w:rPr>
          <w:rFonts w:ascii="Mulish" w:hAnsi="Mulish"/>
          <w:color w:val="545850"/>
        </w:rPr>
        <w:t>(Quilter investment-advice requirements (sourced)) Replacement shown to be not just suitable but MORE suitable than retaining the existing plan.</w:t>
      </w:r>
    </w:p>
    <w:p>
      <w:pPr>
        <w:pStyle w:val="ListBullet"/>
      </w:pPr>
      <w:r>
        <w:rPr>
          <w:rFonts w:ascii="Mulish" w:hAnsi="Mulish"/>
          <w:color w:val="545850"/>
        </w:rPr>
        <w:t>(Quilter investment-advice requirements (sourced)) Like-for-like replacement: the new wrapper is cheaper unless specific client benefits are evidenced.</w:t>
      </w:r>
    </w:p>
    <w:p>
      <w:pPr>
        <w:pStyle w:val="ListBullet"/>
      </w:pPr>
      <w:r>
        <w:rPr>
          <w:rFonts w:ascii="Mulish" w:hAnsi="Mulish"/>
          <w:color w:val="545850"/>
        </w:rPr>
        <w:t>(Quilter investment-advice requirements (sourced)) Where poor past performance is cited, a like-for-like performance comparison over the same period</w:t>
      </w:r>
    </w:p>
    <w:p>
      <w:pPr>
        <w:pStyle w:val="ListBullet"/>
      </w:pPr>
      <w:r>
        <w:rPr>
          <w:rFonts w:ascii="Mulish" w:hAnsi="Mulish"/>
          <w:color w:val="545850"/>
        </w:rPr>
        <w:t>(Quilter investment-advice requirements (sourced)) Comparison table of old versus new plan and fund charges, in both percentage and pounds.</w:t>
      </w:r>
    </w:p>
    <w:p>
      <w:pPr>
        <w:pStyle w:val="ListBullet"/>
      </w:pPr>
      <w:r>
        <w:rPr>
          <w:rFonts w:ascii="Mulish" w:hAnsi="Mulish"/>
          <w:color w:val="545850"/>
        </w:rPr>
        <w:t>(Quilter investment-advice requirements (sourced)) Reduction in yield of the recommended plan including all initial and ongoing advice fees, in monetary terms.</w:t>
      </w:r>
    </w:p>
    <w:p>
      <w:pPr>
        <w:pStyle w:val="ListBullet"/>
      </w:pPr>
      <w:r>
        <w:rPr>
          <w:rFonts w:ascii="Mulish" w:hAnsi="Mulish"/>
          <w:color w:val="545850"/>
        </w:rPr>
        <w:t>(Quilter investment-advice requirements (sourced)) The pounds-and-pence difference between total existing and total new charges once advice fees are added.</w:t>
      </w:r>
    </w:p>
    <w:p>
      <w:pPr>
        <w:pStyle w:val="ListBullet"/>
      </w:pPr>
      <w:r>
        <w:rPr>
          <w:rFonts w:ascii="Mulish" w:hAnsi="Mulish"/>
          <w:color w:val="545850"/>
        </w:rPr>
        <w:t>(Quilter investment-advice requirements (sourced)) Negative impact of any contingent initial fee taken at the point of transfer.</w:t>
      </w:r>
    </w:p>
    <w:p>
      <w:pPr>
        <w:pStyle w:val="ListBullet"/>
      </w:pPr>
      <w:r>
        <w:rPr>
          <w:rFonts w:ascii="Mulish" w:hAnsi="Mulish"/>
          <w:color w:val="545850"/>
        </w:rPr>
        <w:t>(Quilter investment-advice requirements (sourced)) Ex-Ante costs and charges (MiFID II) provided. Figures accurate.</w:t>
      </w:r>
    </w:p>
    <w:p>
      <w:pPr>
        <w:pStyle w:val="ListBullet"/>
      </w:pPr>
      <w:r>
        <w:rPr>
          <w:rFonts w:ascii="Mulish" w:hAnsi="Mulish"/>
          <w:color w:val="545850"/>
        </w:rPr>
        <w:t>(Quilter investment-advice requirements (sourced)) Recommended wrapper justified over alternatives and personalised to the client's tax position now and in future.</w:t>
      </w:r>
    </w:p>
    <w:p>
      <w:pPr>
        <w:pStyle w:val="ListBullet"/>
      </w:pPr>
      <w:r>
        <w:rPr>
          <w:rFonts w:ascii="Mulish" w:hAnsi="Mulish"/>
          <w:color w:val="545850"/>
        </w:rPr>
        <w:t>(Quilter investment-advice requirements (sourced)) Tax consequences of any encashment replayed. Tax calculations uploaded. Client told they are</w:t>
      </w:r>
    </w:p>
    <w:p>
      <w:pPr>
        <w:pStyle w:val="ListBullet"/>
      </w:pPr>
      <w:r>
        <w:rPr>
          <w:rFonts w:ascii="Mulish" w:hAnsi="Mulish"/>
          <w:color w:val="545850"/>
        </w:rPr>
        <w:t>(Quilter investment-advice requirements (sourced)) Mandatory tool used where required (for example GIA/OEIC to onshore bond requires the GIA Ongoing</w:t>
      </w:r>
    </w:p>
    <w:p>
      <w:pPr>
        <w:pStyle w:val="ListBullet"/>
      </w:pPr>
      <w:r>
        <w:rPr>
          <w:rFonts w:ascii="Mulish" w:hAnsi="Mulish"/>
          <w:color w:val="545850"/>
        </w:rPr>
        <w:t>(Quilter investment-advice requirements (sourced)) Term reflects the client's needs and, where relevant, life expectancy, with clear rationale.</w:t>
      </w:r>
    </w:p>
    <w:p>
      <w:pPr>
        <w:pStyle w:val="ListBullet"/>
      </w:pPr>
      <w:r>
        <w:rPr>
          <w:rFonts w:ascii="Mulish" w:hAnsi="Mulish"/>
          <w:color w:val="545850"/>
        </w:rPr>
        <w:t>(Quilter investment-advice requirements (sourced)) Ongoing servicing offered where appropriate, cost agreed, and not self-defeating.</w:t>
      </w:r>
    </w:p>
    <w:p>
      <w:pPr>
        <w:pStyle w:val="ListBullet"/>
      </w:pPr>
      <w:r>
        <w:rPr>
          <w:rFonts w:ascii="Mulish" w:hAnsi="Mulish"/>
          <w:color w:val="545850"/>
        </w:rPr>
        <w:t>(Quilter investment-advice requirements (sourced)) Recommendation within permitted scope. No NMPI/UCIS, no share dealing or investment trusts.</w:t>
      </w:r>
    </w:p>
    <w:p>
      <w:pPr>
        <w:pStyle w:val="ListBullet"/>
      </w:pPr>
      <w:r>
        <w:rPr>
          <w:rFonts w:ascii="Mulish" w:hAnsi="Mulish"/>
          <w:color w:val="545850"/>
        </w:rPr>
        <w:t>(Quilter investment-advice requirements (sourced)) Independent: comprehensive, fair, unbiased and unrestricted market analysis. Restricted: matrix or panel process followed. A recommendation from the Quilter Investment Matrix (for example a WealthSelect Managed Portfolio or Cirilium fund) needs NO separate fund research or Defaqto report - the matrix is centrally researched and monitored by Quilter, so the matrix process IS the research. Do not flag missing research evidence for an on-matrix solution; research (plus a concession where required) applies only off-panel / off-matrix.</w:t>
      </w:r>
    </w:p>
    <w:p>
      <w:pPr>
        <w:pStyle w:val="ListBullet"/>
      </w:pPr>
      <w:r>
        <w:rPr>
          <w:rFonts w:ascii="Mulish" w:hAnsi="Mulish"/>
          <w:color w:val="545850"/>
        </w:rPr>
        <w:t>(Quilter investment-advice requirements (sourced)) Solution affordable, suitable and sustainable, delivering a good retail outcome (Consumer Duty).</w:t>
      </w:r>
    </w:p>
    <w:p>
      <w:pPr>
        <w:pStyle w:val="Heading1"/>
      </w:pPr>
      <w:r>
        <w:rPr>
          <w:rFonts w:ascii="Mulish" w:hAnsi="Mulish"/>
          <w:color w:val="DD971A"/>
          <w:sz w:val="28"/>
        </w:rPr>
        <w:t>Sign-off</w:t>
      </w:r>
    </w:p>
    <w:p>
      <w:pPr>
        <w:pStyle w:val="ListBullet"/>
      </w:pPr>
      <w:r>
        <w:rPr>
          <w:rFonts w:ascii="Mulish" w:hAnsi="Mulish"/>
          <w:color w:val="545850"/>
        </w:rPr>
        <w:t>[ ] Adviser: ____________________  date: __________</w:t>
      </w:r>
    </w:p>
    <w:p>
      <w:pPr>
        <w:pStyle w:val="ListBullet"/>
      </w:pPr>
      <w:r>
        <w:rPr>
          <w:rFonts w:ascii="Mulish" w:hAnsi="Mulish"/>
          <w:color w:val="545850"/>
        </w:rPr>
        <w:t>[ ] Compliance: ________________  date: __________</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 xml:space="preserve">Page </w:t>
    </w:r>
    <w:r>
      <w:fldChar w:fldCharType="begin"/>
      <w:instrText xml:space="preserve">PAGE</w:instrText>
      <w:fldChar w:fldCharType="end"/>
    </w:r>
  </w:p>
  <w:p>
    <w:pPr>
      <w:spacing w:before="0" w:after="0"/>
      <w:jc w:val="center"/>
    </w:pPr>
    <w:r>
      <w:rPr>
        <w:i/>
        <w:color w:val="A6A6A6"/>
        <w:sz w:val="14"/>
      </w:rPr>
      <w:t>Generated 08 Sep 2026, 16:36 London  |  engine v105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8" w:space="6" w:color="DD971A"/>
      </w:pBdr>
    </w:pPr>
    <w:r>
      <w:drawing>
        <wp:inline xmlns:a="http://schemas.openxmlformats.org/drawingml/2006/main" xmlns:pic="http://schemas.openxmlformats.org/drawingml/2006/picture">
          <wp:extent cx="2011680" cy="628209"/>
          <wp:docPr id="1" name="Picture 1"/>
          <wp:cNvGraphicFramePr>
            <a:graphicFrameLocks noChangeAspect="1"/>
          </wp:cNvGraphicFramePr>
          <a:graphic>
            <a:graphicData uri="http://schemas.openxmlformats.org/drawingml/2006/picture">
              <pic:pic>
                <pic:nvPicPr>
                  <pic:cNvPr id="0" name="ginkgo-logo.png"/>
                  <pic:cNvPicPr/>
                </pic:nvPicPr>
                <pic:blipFill>
                  <a:blip r:embed="rId1"/>
                  <a:stretch>
                    <a:fillRect/>
                  </a:stretch>
                </pic:blipFill>
                <pic:spPr>
                  <a:xfrm>
                    <a:off x="0" y="0"/>
                    <a:ext cx="2011680" cy="62820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Mulish" w:hAnsi="Mulish"/>
      <w:color w:val="5458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Mulish" w:hAnsi="Mulish"/>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Mulish" w:hAnsi="Mulish"/>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Mulish" w:hAnsi="Mulish"/>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80" w:after="80"/>
      <w:outlineLvl w:val="3"/>
    </w:pPr>
    <w:rPr>
      <w:rFonts w:asciiTheme="majorHAnsi" w:eastAsiaTheme="majorEastAsia" w:hAnsiTheme="majorHAnsi" w:cstheme="majorBidi" w:ascii="Mulish" w:hAnsi="Mulish"/>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ulish" w:hAnsi="Mulish"/>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ulish" w:hAnsi="Mulish"/>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ulish" w:hAnsi="Mulish"/>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ulish" w:hAnsi="Mulish"/>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ulish" w:hAnsi="Mulish"/>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