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pPr>
    </w:p>
    <w:p>
      <w:pPr>
        <w:spacing w:after="120"/>
        <w:pBdr>
          <w:bottom w:val="single" w:sz="24" w:space="6" w:color="33475B"/>
        </w:pBdr>
      </w:pPr>
      <w:r>
        <w:rPr>
          <w:rFonts w:ascii="Arial" w:hAnsi="Arial"/>
          <w:b/>
          <w:color w:val="7B8794"/>
          <w:sz w:val="56"/>
        </w:rPr>
        <w:t>Draft client email: the cash flow plan</w:t>
      </w:r>
    </w:p>
    <w:p>
      <w:pPr>
        <w:spacing w:before="200"/>
      </w:pPr>
      <w:r>
        <w:rPr>
          <w:rFonts w:ascii="Arial" w:hAnsi="Arial"/>
          <w:b/>
          <w:color w:val="33475B"/>
          <w:sz w:val="28"/>
        </w:rPr>
        <w:t>Example Wealth</w:t>
      </w:r>
    </w:p>
    <w:p>
      <w:r>
        <w:rPr>
          <w:i/>
          <w:color w:val="808080"/>
          <w:sz w:val="19"/>
        </w:rPr>
        <w:t>Prepared 22 August 2026. Drafted by the engine from the model result only; it contains no figure the model did not compute.</w:t>
      </w:r>
    </w:p>
    <w:tbl>
      <w:tblPr>
        <w:tblStyle w:val="TableGrid"/>
        <w:tblW w:type="auto" w:w="0"/>
        <w:tblLook w:firstColumn="1" w:firstRow="1" w:lastColumn="0" w:lastRow="0" w:noHBand="0" w:noVBand="1" w:val="04A0"/>
      </w:tblPr>
      <w:tblGrid>
        <w:gridCol w:w="9072"/>
      </w:tblGrid>
      <w:tr>
        <w:tc>
          <w:tcPr>
            <w:tcW w:type="dxa" w:w="9072"/>
            <w:shd w:val="clear" w:color="auto" w:fill="FDF3E0"/>
          </w:tcPr>
          <w:p>
            <w:r/>
            <w:r>
              <w:rPr>
                <w:rFonts w:ascii="Arial" w:hAnsi="Arial"/>
                <w:b/>
                <w:color w:val="7B8794"/>
              </w:rPr>
              <w:t>DRAFT - for adviser review only. Not to be issued until every highlighted field is completed, the adviser QA file is cleared, and the report is signed off.</w:t>
            </w:r>
          </w:p>
        </w:tc>
      </w:tr>
    </w:tbl>
    <w:p>
      <w:r>
        <w:br w:type="page"/>
      </w:r>
    </w:p>
    <w:p>
      <w:pPr>
        <w:pStyle w:val="Heading1"/>
      </w:pPr>
      <w:r>
        <w:rPr>
          <w:rFonts w:ascii="Arial" w:hAnsi="Arial"/>
          <w:color w:val="33475B"/>
          <w:sz w:val="28"/>
        </w:rPr>
        <w:t>The email, ready to review</w:t>
      </w:r>
    </w:p>
    <w:tbl>
      <w:tblPr>
        <w:tblStyle w:val="TableGrid"/>
        <w:tblW w:type="auto" w:w="0"/>
        <w:tblLook w:firstColumn="1" w:firstRow="1" w:lastColumn="0" w:lastRow="0" w:noHBand="0" w:noVBand="1" w:val="04A0"/>
      </w:tblPr>
      <w:tblGrid>
        <w:gridCol w:w="4536"/>
        <w:gridCol w:w="4536"/>
      </w:tblGrid>
      <w:tr>
        <w:tc>
          <w:tcPr>
            <w:tcW w:type="dxa" w:w="4536"/>
            <w:shd w:val="clear" w:color="auto" w:fill="7B8794"/>
          </w:tcPr>
          <w:p>
            <w:r/>
            <w:r>
              <w:rPr>
                <w:rFonts w:ascii="Arial" w:hAnsi="Arial"/>
                <w:color w:val="FFFFFF"/>
              </w:rPr>
              <w:t>****</w:t>
            </w:r>
          </w:p>
        </w:tc>
        <w:tc>
          <w:tcPr>
            <w:tcW w:type="dxa" w:w="4536"/>
            <w:shd w:val="clear" w:color="auto" w:fill="7B8794"/>
          </w:tcPr>
          <w:p>
            <w:r/>
            <w:r>
              <w:rPr>
                <w:rFonts w:ascii="Arial" w:hAnsi="Arial"/>
                <w:color w:val="FFFFFF"/>
              </w:rPr>
              <w:t>****</w:t>
            </w:r>
          </w:p>
        </w:tc>
      </w:tr>
      <w:tr>
        <w:tc>
          <w:tcPr>
            <w:tcW w:type="dxa" w:w="4536"/>
          </w:tcPr>
          <w:p>
            <w:r/>
            <w:r>
              <w:rPr>
                <w:rFonts w:ascii="Arial" w:hAnsi="Arial"/>
                <w:color w:val="7B8794"/>
              </w:rPr>
              <w:t>Status</w:t>
            </w:r>
          </w:p>
        </w:tc>
        <w:tc>
          <w:tcPr>
            <w:tcW w:type="dxa" w:w="4536"/>
          </w:tcPr>
          <w:p>
            <w:r/>
            <w:r>
              <w:rPr>
                <w:rFonts w:ascii="Arial" w:hAnsi="Arial"/>
                <w:color w:val="7B8794"/>
              </w:rPr>
              <w:t>DRAFT for the adviser's review. Not sent. Check every figure against the report before sending.</w:t>
            </w:r>
          </w:p>
        </w:tc>
      </w:tr>
      <w:tr>
        <w:tc>
          <w:tcPr>
            <w:tcW w:type="dxa" w:w="4536"/>
          </w:tcPr>
          <w:p>
            <w:r/>
            <w:r>
              <w:rPr>
                <w:rFonts w:ascii="Arial" w:hAnsi="Arial"/>
                <w:color w:val="7B8794"/>
              </w:rPr>
              <w:t>To</w:t>
            </w:r>
          </w:p>
        </w:tc>
        <w:tc>
          <w:tcPr>
            <w:tcW w:type="dxa" w:w="4536"/>
          </w:tcPr>
          <w:p>
            <w:r/>
            <w:r>
              <w:rPr>
                <w:rFonts w:ascii="Arial" w:hAnsi="Arial"/>
                <w:color w:val="7B8794"/>
              </w:rPr>
              <w:t>[the client's email address]</w:t>
            </w:r>
          </w:p>
        </w:tc>
      </w:tr>
      <w:tr>
        <w:tc>
          <w:tcPr>
            <w:tcW w:type="dxa" w:w="4536"/>
          </w:tcPr>
          <w:p>
            <w:r/>
            <w:r>
              <w:rPr>
                <w:rFonts w:ascii="Arial" w:hAnsi="Arial"/>
                <w:color w:val="7B8794"/>
              </w:rPr>
              <w:t>Subject</w:t>
            </w:r>
          </w:p>
        </w:tc>
        <w:tc>
          <w:tcPr>
            <w:tcW w:type="dxa" w:w="4536"/>
          </w:tcPr>
          <w:p>
            <w:r/>
            <w:r>
              <w:rPr>
                <w:rFonts w:ascii="Arial" w:hAnsi="Arial"/>
                <w:color w:val="7B8794"/>
              </w:rPr>
              <w:t>Alex and Sam: your lifetime cash flow plan</w:t>
            </w:r>
          </w:p>
        </w:tc>
      </w:tr>
      <w:tr>
        <w:tc>
          <w:tcPr>
            <w:tcW w:type="dxa" w:w="4536"/>
          </w:tcPr>
          <w:p>
            <w:r/>
            <w:r>
              <w:rPr>
                <w:rFonts w:ascii="Arial" w:hAnsi="Arial"/>
                <w:color w:val="7B8794"/>
              </w:rPr>
              <w:t>Attach</w:t>
            </w:r>
          </w:p>
        </w:tc>
        <w:tc>
          <w:tcPr>
            <w:tcW w:type="dxa" w:w="4536"/>
          </w:tcPr>
          <w:p>
            <w:r/>
            <w:r>
              <w:rPr>
                <w:rFonts w:ascii="Arial" w:hAnsi="Arial"/>
                <w:color w:val="7B8794"/>
              </w:rPr>
              <w:t>example-wealth-cashflow-plan-2026-08-22.pdf</w:t>
            </w:r>
          </w:p>
        </w:tc>
      </w:tr>
      <w:tr>
        <w:tc>
          <w:tcPr>
            <w:tcW w:type="dxa" w:w="4536"/>
          </w:tcPr>
          <w:p>
            <w:r/>
            <w:r>
              <w:rPr>
                <w:rFonts w:ascii="Arial" w:hAnsi="Arial"/>
                <w:color w:val="7B8794"/>
              </w:rPr>
              <w:t>Sign-off</w:t>
            </w:r>
          </w:p>
        </w:tc>
        <w:tc>
          <w:tcPr>
            <w:tcW w:type="dxa" w:w="4536"/>
          </w:tcPr>
          <w:p>
            <w:r/>
            <w:r>
              <w:rPr>
                <w:rFonts w:ascii="Arial" w:hAnsi="Arial"/>
                <w:color w:val="7B8794"/>
              </w:rPr>
              <w:t>None included. Your email signature carries it.</w:t>
            </w:r>
          </w:p>
        </w:tc>
      </w:tr>
    </w:tbl>
    <w:p>
      <w:pPr>
        <w:pStyle w:val="Heading1"/>
      </w:pPr>
      <w:r>
        <w:rPr>
          <w:rFonts w:ascii="Arial" w:hAnsi="Arial"/>
          <w:color w:val="33475B"/>
          <w:sz w:val="28"/>
        </w:rPr>
        <w:t>Body</w:t>
      </w:r>
    </w:p>
    <w:p>
      <w:r>
        <w:rPr>
          <w:rFonts w:ascii="Arial" w:hAnsi="Arial"/>
          <w:color w:val="7B8794"/>
        </w:rPr>
        <w:t>Alex, Sam,</w:t>
      </w:r>
    </w:p>
    <w:p>
      <w:r>
        <w:rPr>
          <w:rFonts w:ascii="Arial" w:hAnsi="Arial"/>
          <w:color w:val="7B8794"/>
        </w:rPr>
        <w:t>Attached is your lifetime cash flow plan. It takes everything you have told us - what you hold, what is coming in, what each stage of life costs - and runs it forward year by year to see whether the money lasts.</w:t>
      </w:r>
    </w:p>
    <w:p>
      <w:r>
        <w:rPr>
          <w:rFonts w:ascii="Arial" w:hAnsi="Arial"/>
          <w:b/>
          <w:color w:val="7B8794"/>
        </w:rPr>
        <w:t>The short version</w:t>
      </w:r>
    </w:p>
    <w:p>
      <w:r>
        <w:rPr>
          <w:rFonts w:ascii="Arial" w:hAnsi="Arial"/>
          <w:color w:val="7B8794"/>
        </w:rPr>
        <w:t>On the assumptions we agreed, the plan works on every growth basis we ran. On the central basis the money lasts to age 100 with about £1,176,950 left in today's money. Even on the cautious basis it holds, with about £1,006,119 left; on the stronger one, about £1,377,004. That is a comfortable answer rather than a marginal one.</w:t>
      </w:r>
    </w:p>
    <w:p>
      <w:r>
        <w:rPr>
          <w:rFonts w:ascii="Arial" w:hAnsi="Arial"/>
          <w:color w:val="7B8794"/>
        </w:rPr>
        <w:t>Your spending in the first year is modelled at £24,000, and every later year follows the spending phases we set out together, rising with inflation. The year by year table in the report shows exactly where every pound comes from.</w:t>
      </w:r>
    </w:p>
    <w:p>
      <w:r>
        <w:rPr>
          <w:rFonts w:ascii="Arial" w:hAnsi="Arial"/>
          <w:color w:val="7B8794"/>
        </w:rPr>
        <w:t>For context, Alex's median life expectancy on the ONS tables is 87, with a one in four chance of living beyond 92. The plan runs to age 100, deliberately beyond both.</w:t>
      </w:r>
    </w:p>
    <w:p>
      <w:r>
        <w:rPr>
          <w:rFonts w:ascii="Arial" w:hAnsi="Arial"/>
          <w:b/>
          <w:color w:val="7B8794"/>
        </w:rPr>
        <w:t>What would change the answer</w:t>
      </w:r>
    </w:p>
    <w:p>
      <w:r>
        <w:rPr>
          <w:rFonts w:ascii="Arial" w:hAnsi="Arial"/>
          <w:color w:val="7B8794"/>
        </w:rPr>
        <w:t>These are smooth projections on three growth bases, not a guarantee. Real returns arrive unevenly, and a poor run of early years hurts a withdrawal plan more than the average suggests. That is why this plan is reviewed rather than set once: the answer above holds on today's assumptions, and the review is where we test it against what actually happened.</w:t>
      </w:r>
    </w:p>
    <w:p>
      <w:r>
        <w:rPr>
          <w:rFonts w:ascii="Arial" w:hAnsi="Arial"/>
          <w:b/>
          <w:color w:val="7B8794"/>
        </w:rPr>
        <w:t>What to check</w:t>
      </w:r>
    </w:p>
    <w:p>
      <w:pPr>
        <w:pStyle w:val="ListBullet"/>
      </w:pPr>
      <w:r>
        <w:rPr>
          <w:rFonts w:ascii="Arial" w:hAnsi="Arial"/>
          <w:color w:val="7B8794"/>
        </w:rPr>
        <w:t>The attached report lists every assumption on its final pages: growth rates, charges, inflation and the tax basis. If any of them does not match how you see things, tell us and we will re-run the plan on your figure.</w:t>
      </w:r>
    </w:p>
    <w:p>
      <w:pPr>
        <w:pStyle w:val="ListBullet"/>
      </w:pPr>
      <w:r>
        <w:rPr>
          <w:rFonts w:ascii="Arial" w:hAnsi="Arial"/>
          <w:color w:val="7B8794"/>
        </w:rPr>
        <w:t>The State Pension for Alex and Sam is included from the gov.uk timetable. Please check your own forecast at gov.uk/check-state-pension and send it over, so the plan rests on your figure rather than the standard one.</w:t>
      </w:r>
    </w:p>
    <w:p>
      <w:pPr>
        <w:pStyle w:val="ListBullet"/>
      </w:pPr>
      <w:r>
        <w:rPr>
          <w:rFonts w:ascii="Arial" w:hAnsi="Arial"/>
          <w:color w:val="7B8794"/>
        </w:rPr>
        <w:t>The values are as at the dates shown in the report. If a figure has moved materially or a plan is missing, say so.</w:t>
      </w:r>
    </w:p>
    <w:p>
      <w:r>
        <w:rPr>
          <w:rFonts w:ascii="Arial" w:hAnsi="Arial"/>
          <w:b/>
          <w:color w:val="7B8794"/>
        </w:rPr>
        <w:t>What happens next</w:t>
      </w:r>
    </w:p>
    <w:p>
      <w:r>
        <w:rPr>
          <w:rFonts w:ascii="Arial" w:hAnsi="Arial"/>
          <w:color w:val="7B8794"/>
        </w:rPr>
        <w:t>Read the report, note anything that does not look like your life, and we will go through it together at our next conversation. Nothing needs doing before then.</w:t>
      </w:r>
    </w:p>
    <w:p>
      <w:r>
        <w:rPr>
          <w:rFonts w:ascii="Arial" w:hAnsi="Arial"/>
          <w:color w:val="7B8794"/>
        </w:rPr>
        <w:t>This plan is designed to support a conversation with your financial adviser. It is not a personal recommendation, not an illustration and not a guarantee. These projections are not guaranteed and should not be relied upon; the actual returns achieved may be more or less than shown. The value of investments can go down as well as up and you may get back less than you invest. Tax treatment depends on your individual circumstances and may change in future.</w:t>
      </w:r>
    </w:p>
    <w:sectPr w:rsidR="00FC693F" w:rsidRPr="0006063C" w:rsidSect="00034616">
      <w:headerReference w:type="default" r:id="rId9"/>
      <w:footerReference w:type="default" r:id="rId10"/>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color w:val="808080"/>
        <w:sz w:val="16"/>
      </w:rPr>
      <w:t xml:space="preserve">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18" w:space="6" w:color="33475B"/>
      </w:pBdr>
    </w:pPr>
    <w:r>
      <w:rPr>
        <w:rFonts w:ascii="Arial" w:hAnsi="Arial"/>
        <w:b/>
        <w:color w:val="7B8794"/>
        <w:sz w:val="20"/>
      </w:rPr>
      <w:t>EXAMPLE WEALTH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color w:val="7B879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80" w:after="8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80" w:after="80"/>
      <w:outlineLvl w:val="3"/>
    </w:pPr>
    <w:rPr>
      <w:rFonts w:asciiTheme="majorHAnsi" w:eastAsiaTheme="majorEastAsia" w:hAnsiTheme="majorHAnsi" w:cstheme="majorBidi" w:ascii="Arial" w:hAnsi="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Arial" w:hAnsi="Arial"/>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rial" w:hAnsi="Arial"/>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FA10B9923D3B494BACBE358D988F43E9" ma:contentTypeVersion="20" ma:contentTypeDescription="Create a new document." ma:contentTypeScope="" ma:versionID="2ac2610cf4eb8aa9d89ec1182f49d932">
  <xsd:schema xmlns:xsd="http://www.w3.org/2001/XMLSchema" xmlns:xs="http://www.w3.org/2001/XMLSchema" xmlns:p="http://schemas.microsoft.com/office/2006/metadata/properties" xmlns:ns2="ce652da4-9efc-4517-85ab-af5ccaca2d56" xmlns:ns3="7ce844f6-49da-447c-a259-6cf7ab724189" targetNamespace="http://schemas.microsoft.com/office/2006/metadata/properties" ma:root="true" ma:fieldsID="4f854a1ab460ab8f032a2bb1e4f2fb8d" ns2:_="" ns3:_="">
    <xsd:import namespace="ce652da4-9efc-4517-85ab-af5ccaca2d56"/>
    <xsd:import namespace="7ce844f6-49da-447c-a259-6cf7ab724189"/>
    <xsd:element name="properties">
      <xsd:complexType>
        <xsd:sequence>
          <xsd:element name="documentManagement">
            <xsd:complexType>
              <xsd:all>
                <xsd:element ref="ns2:MediaServiceMetadata" minOccurs="0"/>
                <xsd:element ref="ns2:MediaServiceFastMetadata" minOccurs="0"/>
                <xsd:element ref="ns2:MediaServiceDateTaken" minOccurs="0"/>
                <xsd:element ref="ns3:SharedWithUsers" minOccurs="0"/>
                <xsd:element ref="ns3:SharedWithDetails" minOccurs="0"/>
                <xsd:element ref="ns2:MediaServiceAutoTags" minOccurs="0"/>
                <xsd:element ref="ns2:MediaServiceLocation"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AnnualReview2022" minOccurs="0"/>
                <xsd:element ref="ns2:MediaServiceObjectDetectorVersions" minOccurs="0"/>
                <xsd:element ref="ns2:MediaServiceSearchProperties" minOccurs="0"/>
                <xsd:element ref="ns2:URL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652da4-9efc-4517-85ab-af5ccaca2d56"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0" nillable="true" ma:displayName="MediaServiceDateTaken" ma:description="" ma:hidden="true" ma:internalName="MediaServiceDateTaken" ma:readOnly="true">
      <xsd:simpleType>
        <xsd:restriction base="dms:Text"/>
      </xsd:simpleType>
    </xsd:element>
    <xsd:element name="MediaServiceAutoTags" ma:index="13" nillable="true" ma:displayName="MediaServiceAutoTags" ma:description="" ma:internalName="MediaServiceAutoTags" ma:readOnly="true">
      <xsd:simpleType>
        <xsd:restriction base="dms:Text"/>
      </xsd:simpleType>
    </xsd:element>
    <xsd:element name="MediaServiceLocation" ma:index="14" nillable="true" ma:displayName="MediaServiceLocation" ma:descrip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e1344d4-dd31-4e26-91bf-11631b4512b4" ma:termSetId="09814cd3-568e-fe90-9814-8d621ff8fb84" ma:anchorId="fba54fb3-c3e1-fe81-a776-ca4b69148c4d" ma:open="true" ma:isKeyword="false">
      <xsd:complexType>
        <xsd:sequence>
          <xsd:element ref="pc:Terms" minOccurs="0" maxOccurs="1"/>
        </xsd:sequence>
      </xsd:complexType>
    </xsd:element>
    <xsd:element name="AnnualReview2022" ma:index="24" nillable="true" ma:displayName="Annual Review 2022" ma:format="Dropdown" ma:internalName="AnnualReview2022">
      <xsd:simpleType>
        <xsd:restriction base="dms:Text">
          <xsd:maxLength value="255"/>
        </xsd:restriction>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URLlocation" ma:index="27" nillable="true" ma:displayName="URL location" ma:format="Hyperlink" ma:internalName="URLlocation">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ce844f6-49da-447c-a259-6cf7ab724189" elementFormDefault="qualified">
    <xsd:import namespace="http://schemas.microsoft.com/office/2006/documentManagement/types"/>
    <xsd:import namespace="http://schemas.microsoft.com/office/infopath/2007/PartnerControls"/>
    <xsd:element name="SharedWithUsers" ma:index="11"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description="" ma:internalName="SharedWithDetails" ma:readOnly="true">
      <xsd:simpleType>
        <xsd:restriction base="dms:Note">
          <xsd:maxLength value="255"/>
        </xsd:restriction>
      </xsd:simpleType>
    </xsd:element>
    <xsd:element name="TaxCatchAll" ma:index="23" nillable="true" ma:displayName="Taxonomy Catch All Column" ma:hidden="true" ma:list="{1f149d09-092c-4d22-bd9d-e9a7c52dd98c}" ma:internalName="TaxCatchAll" ma:showField="CatchAllData" ma:web="7ce844f6-49da-447c-a259-6cf7ab72418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AnnualReview2022 xmlns="ce652da4-9efc-4517-85ab-af5ccaca2d56" xsi:nil="true"/>
    <TaxCatchAll xmlns="7ce844f6-49da-447c-a259-6cf7ab724189" xsi:nil="true"/>
    <URLlocation xmlns="ce652da4-9efc-4517-85ab-af5ccaca2d56">
      <Url xsi:nil="true"/>
      <Description xsi:nil="true"/>
    </URLlocation>
    <lcf76f155ced4ddcb4097134ff3c332f xmlns="ce652da4-9efc-4517-85ab-af5ccaca2d5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3ACBE906-C8E7-4004-B64C-85B75475EC08}"/>
</file>

<file path=customXml/itemProps3.xml><?xml version="1.0" encoding="utf-8"?>
<ds:datastoreItem xmlns:ds="http://schemas.openxmlformats.org/officeDocument/2006/customXml" ds:itemID="{F97B8C0A-6BAA-4E2C-8FA3-5EF79150C844}"/>
</file>

<file path=customXml/itemProps4.xml><?xml version="1.0" encoding="utf-8"?>
<ds:datastoreItem xmlns:ds="http://schemas.openxmlformats.org/officeDocument/2006/customXml" ds:itemID="{EEBA3CC7-93FC-4F6D-892B-6FBC09865AF2}"/>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0x010100FA10B9923D3B494BACBE358D988F43E9</vt:lpwstr>
  </property>
</Properties>
</file>