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B57"/>
          <w:sz w:val="44"/>
          <w:szCs w:val="44"/>
        </w:rPr>
        <w:t xml:space="preserve">CAHIER DES CHARGES</w:t>
      </w:r>
    </w:p>
    <w:p>
      <w:pPr>
        <w:spacing w:after="100" w:before="200"/>
        <w:jc w:val="center"/>
      </w:pPr>
      <w:r>
        <w:rPr>
          <w:color w:val="5F5E5A"/>
          <w:sz w:val="28"/>
          <w:szCs w:val="28"/>
        </w:rPr>
        <w:t xml:space="preserve">Plateforme B2B de suivi de livraison en temps réel</w:t>
      </w:r>
    </w:p>
    <w:p>
      <w:pPr>
        <w:spacing w:after="1200"/>
        <w:jc w:val="center"/>
      </w:pPr>
      <w:r>
        <w:rPr>
          <w:b/>
          <w:bCs/>
          <w:color w:val="0F6E56"/>
          <w:sz w:val="24"/>
          <w:szCs w:val="24"/>
        </w:rPr>
        <w:t xml:space="preserve">Burkina Faso</w:t>
      </w:r>
    </w:p>
    <w:p>
      <w:pPr>
        <w:spacing w:before="3000"/>
        <w:jc w:val="center"/>
      </w:pPr>
      <w:r>
        <w:rPr>
          <w:sz w:val="22"/>
          <w:szCs w:val="22"/>
        </w:rPr>
        <w:t xml:space="preserve">Porteur du projet : Tiendrebeogo Daren Allan</w:t>
      </w:r>
    </w:p>
    <w:p>
      <w:pPr>
        <w:jc w:val="center"/>
      </w:pPr>
      <w:r>
        <w:rPr>
          <w:color w:val="5F5E5A"/>
          <w:sz w:val="20"/>
          <w:szCs w:val="20"/>
        </w:rPr>
        <w:t xml:space="preserve">Version 1.0 — 31 juillet 2026</w:t>
      </w:r>
    </w:p>
    <w:p>
      <w:pPr>
        <w:spacing w:before="100"/>
        <w:jc w:val="center"/>
      </w:pPr>
      <w:r>
        <w:rPr>
          <w:i/>
          <w:iCs/>
          <w:color w:val="5F5E5A"/>
          <w:sz w:val="18"/>
          <w:szCs w:val="18"/>
        </w:rPr>
        <w:t xml:space="preserve">Document confidentiel — usage interne et présentation partenaires</w:t>
      </w:r>
    </w:p>
    <w:p>
      <w:r>
        <w:br w:type="page"/>
      </w:r>
    </w:p>
    <w:p>
      <w:pPr>
        <w:pStyle w:val="Heading1"/>
        <w:spacing w:after="200" w:before="400"/>
      </w:pPr>
      <w:r>
        <w:rPr>
          <w:color w:val="1F3B57"/>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color w:val="1F3B57"/>
        </w:rPr>
        <w:t xml:space="preserve">1. Contexte et objectifs</w:t>
      </w:r>
    </w:p>
    <w:p>
      <w:pPr>
        <w:spacing w:after="160"/>
      </w:pPr>
      <w:r>
        <w:t xml:space="preserve">Le secteur de la livraison à la demande se développe rapidement au Burkina Faso, mais les compagnies locales opèrent encore avec des outils manuels (appels téléphoniques, tableurs, radio) pour coordonner leurs livreurs. Elles n'ont ni visibilité en temps réel sur leur flotte, ni moyen de sécuriser les échanges entre livreurs et clients.</w:t>
      </w:r>
    </w:p>
    <w:p>
      <w:pPr>
        <w:spacing w:after="160"/>
      </w:pPr>
      <w:r>
        <w:t xml:space="preserve">Objectif du projet : concevoir et déployer une plateforme B2B (SaaS) destinée aux compagnies de livraison existantes, leur permettant de digitaliser le suivi de leur flotte et de sécuriser la relation client-livreur, sans avoir à développer leur propre outil.</w:t>
      </w:r>
    </w:p>
    <w:p>
      <w:pPr>
        <w:pStyle w:val="Heading1"/>
        <w:spacing w:after="200" w:before="400"/>
      </w:pPr>
      <w:r>
        <w:rPr>
          <w:color w:val="1F3B57"/>
        </w:rPr>
        <w:t xml:space="preserve">2. Problématique</w:t>
      </w:r>
    </w:p>
    <w:p>
      <w:pPr>
        <w:pStyle w:val="ListParagraph"/>
        <w:numPr>
          <w:ilvl w:val="0"/>
          <w:numId w:val="2"/>
        </w:numPr>
        <w:spacing w:after="80"/>
      </w:pPr>
      <w:r>
        <w:t xml:space="preserve">Absence de visibilité temps réel : les compagnies ne savent pas où se trouvent leurs livreurs, ce qui complique l'estimation des délais et le service client.</w:t>
      </w:r>
    </w:p>
    <w:p>
      <w:pPr>
        <w:pStyle w:val="ListParagraph"/>
        <w:numPr>
          <w:ilvl w:val="0"/>
          <w:numId w:val="2"/>
        </w:numPr>
        <w:spacing w:after="80"/>
      </w:pPr>
      <w:r>
        <w:t xml:space="preserve">Partage direct du numéro personnel du livreur au client : risque de contournement de la plateforme (négociation en direct), de harcèlement, et absence de traçabilité en cas de litige.</w:t>
      </w:r>
    </w:p>
    <w:p>
      <w:pPr>
        <w:pStyle w:val="ListParagraph"/>
        <w:numPr>
          <w:ilvl w:val="0"/>
          <w:numId w:val="2"/>
        </w:numPr>
        <w:spacing w:after="80"/>
      </w:pPr>
      <w:r>
        <w:t xml:space="preserve">Pas d'historique centralisé des courses ni de statistiques exploitables pour piloter l'activité.</w:t>
      </w:r>
    </w:p>
    <w:p>
      <w:pPr>
        <w:pStyle w:val="Heading1"/>
        <w:spacing w:after="200" w:before="400"/>
      </w:pPr>
      <w:r>
        <w:rPr>
          <w:color w:val="1F3B57"/>
        </w:rPr>
        <w:t xml:space="preserve">3. Public cible</w:t>
      </w:r>
    </w:p>
    <w:p>
      <w:pPr>
        <w:spacing w:after="160"/>
      </w:pPr>
      <w:r>
        <w:rPr>
          <w:b/>
          <w:bCs/>
        </w:rPr>
        <w:t xml:space="preserve">Utilisateurs primaires (clients payants) :</w:t>
      </w:r>
    </w:p>
    <w:p>
      <w:pPr>
        <w:pStyle w:val="ListParagraph"/>
        <w:numPr>
          <w:ilvl w:val="0"/>
          <w:numId w:val="2"/>
        </w:numPr>
        <w:spacing w:after="80"/>
      </w:pPr>
      <w:r>
        <w:t xml:space="preserve">Compagnies de livraison au Burkina Faso, de la petite structure à la PME organisée</w:t>
      </w:r>
    </w:p>
    <w:p>
      <w:pPr>
        <w:spacing w:after="160"/>
      </w:pPr>
      <w:r>
        <w:rPr>
          <w:b/>
          <w:bCs/>
        </w:rPr>
        <w:t xml:space="preserve">Utilisateurs secondaires :</w:t>
      </w:r>
    </w:p>
    <w:p>
      <w:pPr>
        <w:pStyle w:val="ListParagraph"/>
        <w:numPr>
          <w:ilvl w:val="0"/>
          <w:numId w:val="2"/>
        </w:numPr>
        <w:spacing w:after="80"/>
      </w:pPr>
      <w:r>
        <w:t xml:space="preserve">Livreurs rattachés à ces compagnies (salariés ou indépendants)</w:t>
      </w:r>
    </w:p>
    <w:p>
      <w:pPr>
        <w:spacing w:after="160"/>
      </w:pPr>
      <w:r>
        <w:rPr>
          <w:b/>
          <w:bCs/>
        </w:rPr>
        <w:t xml:space="preserve">Utilisateurs finaux :</w:t>
      </w:r>
    </w:p>
    <w:p>
      <w:pPr>
        <w:pStyle w:val="ListParagraph"/>
        <w:numPr>
          <w:ilvl w:val="0"/>
          <w:numId w:val="2"/>
        </w:numPr>
        <w:spacing w:after="80"/>
      </w:pPr>
      <w:r>
        <w:t xml:space="preserve">Clients des compagnies partenaires (particuliers, commerces)</w:t>
      </w:r>
    </w:p>
    <w:p>
      <w:pPr>
        <w:pStyle w:val="Heading1"/>
        <w:spacing w:after="200" w:before="400"/>
      </w:pPr>
      <w:r>
        <w:rPr>
          <w:color w:val="1F3B57"/>
        </w:rPr>
        <w:t xml:space="preserve">4. Périmètre fonctionnel du MVP</w:t>
      </w:r>
    </w:p>
    <w:p>
      <w:pPr>
        <w:spacing w:after="160"/>
      </w:pPr>
      <w:r>
        <w:t xml:space="preserve">Le MVP couvre le tracking temps réel, le masquage du numéro et la gestion complète des commandes (assignation et suivi de statut), sur app mobile native et web app (PWA) dès le lancement.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B57" w:val="clear"/>
            <w:tcMar>
              <w:top w:type="dxa" w:w="100"/>
              <w:left w:type="dxa" w:w="120"/>
              <w:bottom w:type="dxa" w:w="100"/>
              <w:right w:type="dxa" w:w="120"/>
            </w:tcMar>
          </w:tcPr>
          <w:p>
            <w:r>
              <w:rPr>
                <w:b/>
                <w:bCs/>
                <w:color w:val="FFFFFF"/>
                <w:sz w:val="20"/>
                <w:szCs w:val="20"/>
              </w:rPr>
              <w:t xml:space="preserve">Module</w:t>
            </w:r>
          </w:p>
        </w:tc>
        <w:tc>
          <w:tcPr>
            <w:tcW w:type="dxa" w:w="6626"/>
            <w:shd w:fill="1F3B57" w:val="clear"/>
            <w:tcMar>
              <w:top w:type="dxa" w:w="100"/>
              <w:left w:type="dxa" w:w="120"/>
              <w:bottom w:type="dxa" w:w="100"/>
              <w:right w:type="dxa" w:w="120"/>
            </w:tcMar>
          </w:tcPr>
          <w:p>
            <w:r>
              <w:rPr>
                <w:b/>
                <w:bCs/>
                <w:color w:val="FFFFFF"/>
                <w:sz w:val="20"/>
                <w:szCs w:val="20"/>
              </w:rPr>
              <w:t xml:space="preserve">Fonctionnalités</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App Livreur
(Android natif + PWA)</w:t>
            </w:r>
          </w:p>
        </w:tc>
        <w:tc>
          <w:tcPr>
            <w:tcW w:type="dxa" w:w="6626"/>
            <w:shd w:fill="FFFFFF" w:val="clear"/>
            <w:tcMar>
              <w:top w:type="dxa" w:w="100"/>
              <w:left w:type="dxa" w:w="120"/>
              <w:bottom w:type="dxa" w:w="100"/>
              <w:right w:type="dxa" w:w="120"/>
            </w:tcMar>
          </w:tcPr>
          <w:p>
            <w:r>
              <w:rPr>
                <w:b w:val="false"/>
                <w:bCs w:val="false"/>
                <w:color w:val="1A1A1A"/>
                <w:sz w:val="20"/>
                <w:szCs w:val="20"/>
              </w:rPr>
              <w:t xml:space="preserve">Authentification · réception et acceptation des commandes · envoi de la position GPS en temps réel · navigation vers le point de retrait/livraison · mise à jour du statut de la course (récupéré, en route, livré) · appel/message client via numéro masqué</w:t>
            </w:r>
          </w:p>
        </w:tc>
      </w:tr>
      <w:tr>
        <w:tc>
          <w:tcPr>
            <w:tcW w:type="dxa" w:w="2400"/>
            <w:shd w:fill="EAF3EE" w:val="clear"/>
            <w:tcMar>
              <w:top w:type="dxa" w:w="100"/>
              <w:left w:type="dxa" w:w="120"/>
              <w:bottom w:type="dxa" w:w="100"/>
              <w:right w:type="dxa" w:w="120"/>
            </w:tcMar>
          </w:tcPr>
          <w:p>
            <w:r>
              <w:rPr>
                <w:b w:val="false"/>
                <w:bCs w:val="false"/>
                <w:color w:val="1A1A1A"/>
                <w:sz w:val="20"/>
                <w:szCs w:val="20"/>
              </w:rPr>
              <w:t xml:space="preserve">App / Interface Client</w:t>
            </w:r>
          </w:p>
        </w:tc>
        <w:tc>
          <w:tcPr>
            <w:tcW w:type="dxa" w:w="6626"/>
            <w:shd w:fill="EAF3EE" w:val="clear"/>
            <w:tcMar>
              <w:top w:type="dxa" w:w="100"/>
              <w:left w:type="dxa" w:w="120"/>
              <w:bottom w:type="dxa" w:w="100"/>
              <w:right w:type="dxa" w:w="120"/>
            </w:tcMar>
          </w:tcPr>
          <w:p>
            <w:r>
              <w:rPr>
                <w:b w:val="false"/>
                <w:bCs w:val="false"/>
                <w:color w:val="1A1A1A"/>
                <w:sz w:val="20"/>
                <w:szCs w:val="20"/>
              </w:rPr>
              <w:t xml:space="preserve">Suivi de commande liée à une compagnie partenaire · suivi en temps réel du livreur sur carte · appel/message livreur via numéro masqué · historique des courses</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Dashboard Compagnie
(back-office web)</w:t>
            </w:r>
          </w:p>
        </w:tc>
        <w:tc>
          <w:tcPr>
            <w:tcW w:type="dxa" w:w="6626"/>
            <w:shd w:fill="FFFFFF" w:val="clear"/>
            <w:tcMar>
              <w:top w:type="dxa" w:w="100"/>
              <w:left w:type="dxa" w:w="120"/>
              <w:bottom w:type="dxa" w:w="100"/>
              <w:right w:type="dxa" w:w="120"/>
            </w:tcMar>
          </w:tcPr>
          <w:p>
            <w:r>
              <w:rPr>
                <w:b w:val="false"/>
                <w:bCs w:val="false"/>
                <w:color w:val="1A1A1A"/>
                <w:sz w:val="20"/>
                <w:szCs w:val="20"/>
              </w:rPr>
              <w:t xml:space="preserve">Gestion de la flotte de livreurs · assignation manuelle et automatique des commandes · vue carte temps réel de tous les livreurs actifs · statistiques (nombre de courses, délais moyens) · gestion de l'abonnement et des commissions</w:t>
            </w:r>
          </w:p>
        </w:tc>
      </w:tr>
      <w:tr>
        <w:tc>
          <w:tcPr>
            <w:tcW w:type="dxa" w:w="2400"/>
            <w:shd w:fill="EAF3EE" w:val="clear"/>
            <w:tcMar>
              <w:top w:type="dxa" w:w="100"/>
              <w:left w:type="dxa" w:w="120"/>
              <w:bottom w:type="dxa" w:w="100"/>
              <w:right w:type="dxa" w:w="120"/>
            </w:tcMar>
          </w:tcPr>
          <w:p>
            <w:r>
              <w:rPr>
                <w:b w:val="false"/>
                <w:bCs w:val="false"/>
                <w:color w:val="1A1A1A"/>
                <w:sz w:val="20"/>
                <w:szCs w:val="20"/>
              </w:rPr>
              <w:t xml:space="preserve">Backend / Infrastructure</w:t>
            </w:r>
          </w:p>
        </w:tc>
        <w:tc>
          <w:tcPr>
            <w:tcW w:type="dxa" w:w="6626"/>
            <w:shd w:fill="EAF3EE" w:val="clear"/>
            <w:tcMar>
              <w:top w:type="dxa" w:w="100"/>
              <w:left w:type="dxa" w:w="120"/>
              <w:bottom w:type="dxa" w:w="100"/>
              <w:right w:type="dxa" w:w="120"/>
            </w:tcMar>
          </w:tcPr>
          <w:p>
            <w:r>
              <w:rPr>
                <w:b w:val="false"/>
                <w:bCs w:val="false"/>
                <w:color w:val="1A1A1A"/>
                <w:sz w:val="20"/>
                <w:szCs w:val="20"/>
              </w:rPr>
              <w:t xml:space="preserve">API de gestion des commandes et des statuts · service de tracking temps réel (WebSocket + Redis) · service de masquage de numéro (proxy voix/SMS ou appel in-app) · authentification et autorisation par rôle</w:t>
            </w:r>
          </w:p>
        </w:tc>
      </w:tr>
    </w:tbl>
    <w:p>
      <w:pPr>
        <w:pStyle w:val="Heading1"/>
        <w:spacing w:after="200" w:before="400"/>
      </w:pPr>
      <w:r>
        <w:rPr>
          <w:color w:val="1F3B57"/>
        </w:rPr>
        <w:t xml:space="preserve">5. Exigences techniques</w:t>
      </w:r>
    </w:p>
    <w:p>
      <w:pPr>
        <w:pStyle w:val="Heading2"/>
        <w:spacing w:after="150" w:before="300"/>
      </w:pPr>
      <w:r>
        <w:rPr>
          <w:color w:val="0F6E56"/>
        </w:rPr>
        <w:t xml:space="preserve">5.1 Stack technique</w:t>
      </w:r>
    </w:p>
    <w:p>
      <w:pPr>
        <w:pStyle w:val="ListParagraph"/>
        <w:numPr>
          <w:ilvl w:val="0"/>
          <w:numId w:val="2"/>
        </w:numPr>
        <w:spacing w:after="80"/>
      </w:pPr>
      <w:r>
        <w:t xml:space="preserve">Backend : Go (API REST + WebSocket)</w:t>
      </w:r>
    </w:p>
    <w:p>
      <w:pPr>
        <w:pStyle w:val="ListParagraph"/>
        <w:numPr>
          <w:ilvl w:val="0"/>
          <w:numId w:val="2"/>
        </w:numPr>
        <w:spacing w:after="80"/>
      </w:pPr>
      <w:r>
        <w:t xml:space="preserve">Base de données : PostgreSQL + extension PostGIS (requêtes géospatiales)</w:t>
      </w:r>
    </w:p>
    <w:p>
      <w:pPr>
        <w:pStyle w:val="ListParagraph"/>
        <w:numPr>
          <w:ilvl w:val="0"/>
          <w:numId w:val="2"/>
        </w:numPr>
        <w:spacing w:after="80"/>
      </w:pPr>
      <w:r>
        <w:t xml:space="preserve">Cache / temps réel : Redis (positions GPS, pub/sub)</w:t>
      </w:r>
    </w:p>
    <w:p>
      <w:pPr>
        <w:pStyle w:val="ListParagraph"/>
        <w:numPr>
          <w:ilvl w:val="0"/>
          <w:numId w:val="2"/>
        </w:numPr>
        <w:spacing w:after="80"/>
      </w:pPr>
      <w:r>
        <w:t xml:space="preserve">App livreur : Android natif (Kotlin) + web app (PWA) pour couvrir le parc de téléphones économiques</w:t>
      </w:r>
    </w:p>
    <w:p>
      <w:pPr>
        <w:pStyle w:val="ListParagraph"/>
        <w:numPr>
          <w:ilvl w:val="0"/>
          <w:numId w:val="2"/>
        </w:numPr>
        <w:spacing w:after="80"/>
      </w:pPr>
      <w:r>
        <w:t xml:space="preserve">Dashboard compagnie : React</w:t>
      </w:r>
    </w:p>
    <w:p>
      <w:pPr>
        <w:pStyle w:val="ListParagraph"/>
        <w:numPr>
          <w:ilvl w:val="0"/>
          <w:numId w:val="2"/>
        </w:numPr>
        <w:spacing w:after="80"/>
      </w:pPr>
      <w:r>
        <w:t xml:space="preserve">Hébergement : cloud (Render ou équivalent), architecture scalable horizontalement</w:t>
      </w:r>
    </w:p>
    <w:p>
      <w:pPr>
        <w:pStyle w:val="Heading2"/>
        <w:spacing w:after="150" w:before="300"/>
      </w:pPr>
      <w:r>
        <w:rPr>
          <w:color w:val="0F6E56"/>
        </w:rPr>
        <w:t xml:space="preserve">5.2 Sécurité (by design)</w:t>
      </w:r>
    </w:p>
    <w:p>
      <w:pPr>
        <w:pStyle w:val="ListParagraph"/>
        <w:numPr>
          <w:ilvl w:val="0"/>
          <w:numId w:val="2"/>
        </w:numPr>
        <w:spacing w:after="80"/>
      </w:pPr>
      <w:r>
        <w:t xml:space="preserve">Chiffrement des échanges en transit (TLS)</w:t>
      </w:r>
    </w:p>
    <w:p>
      <w:pPr>
        <w:pStyle w:val="ListParagraph"/>
        <w:numPr>
          <w:ilvl w:val="0"/>
          <w:numId w:val="2"/>
        </w:numPr>
        <w:spacing w:after="80"/>
      </w:pPr>
      <w:r>
        <w:t xml:space="preserve">Numéros de téléphone jamais exposés en clair côté client (hash + session de masquage à durée limitée)</w:t>
      </w:r>
    </w:p>
    <w:p>
      <w:pPr>
        <w:pStyle w:val="ListParagraph"/>
        <w:numPr>
          <w:ilvl w:val="0"/>
          <w:numId w:val="2"/>
        </w:numPr>
        <w:spacing w:after="80"/>
      </w:pPr>
      <w:r>
        <w:t xml:space="preserve">Authentification par jetons courte durée, contrôle d'accès par rôle (compagnie / livreur / client)</w:t>
      </w:r>
    </w:p>
    <w:p>
      <w:pPr>
        <w:pStyle w:val="ListParagraph"/>
        <w:numPr>
          <w:ilvl w:val="0"/>
          <w:numId w:val="2"/>
        </w:numPr>
        <w:spacing w:after="80"/>
      </w:pPr>
      <w:r>
        <w:t xml:space="preserve">Respect des principes OWASP Top 10 sur l'ensemble des API</w:t>
      </w:r>
    </w:p>
    <w:p>
      <w:pPr>
        <w:pStyle w:val="Heading2"/>
        <w:spacing w:after="150" w:before="300"/>
      </w:pPr>
      <w:r>
        <w:rPr>
          <w:color w:val="0F6E56"/>
        </w:rPr>
        <w:t xml:space="preserve">5.3 Contraintes réseau locales</w:t>
      </w:r>
    </w:p>
    <w:p>
      <w:pPr>
        <w:pStyle w:val="ListParagraph"/>
        <w:numPr>
          <w:ilvl w:val="0"/>
          <w:numId w:val="2"/>
        </w:numPr>
        <w:spacing w:after="80"/>
      </w:pPr>
      <w:r>
        <w:t xml:space="preserve">Fonctionnement dégradé en cas de connexion instable (mise en cache locale de la position, envoi différé)</w:t>
      </w:r>
    </w:p>
    <w:p>
      <w:pPr>
        <w:pStyle w:val="ListParagraph"/>
        <w:numPr>
          <w:ilvl w:val="0"/>
          <w:numId w:val="2"/>
        </w:numPr>
        <w:spacing w:after="80"/>
      </w:pPr>
      <w:r>
        <w:t xml:space="preserve">Optimisation de la consommation de données mobiles (fréquence de mise à jour GPS ajustable)</w:t>
      </w:r>
    </w:p>
    <w:p>
      <w:pPr>
        <w:pStyle w:val="Heading1"/>
        <w:spacing w:after="200" w:before="400"/>
      </w:pPr>
      <w:r>
        <w:rPr>
          <w:color w:val="1F3B57"/>
        </w:rPr>
        <w:t xml:space="preserve">6. Modèle économique</w:t>
      </w:r>
    </w:p>
    <w:p>
      <w:pPr>
        <w:spacing w:after="160"/>
      </w:pPr>
      <w:r>
        <w:rPr>
          <w:b/>
          <w:bCs/>
        </w:rPr>
        <w:t xml:space="preserve">Modèle hybride retenu :</w:t>
      </w:r>
    </w:p>
    <w:p>
      <w:pPr>
        <w:pStyle w:val="ListParagraph"/>
        <w:numPr>
          <w:ilvl w:val="0"/>
          <w:numId w:val="2"/>
        </w:numPr>
        <w:spacing w:after="80"/>
      </w:pPr>
      <w:r>
        <w:t xml:space="preserve">Abonnement mensuel par compagnie partenaire, donnant accès au dashboard et à un nombre de livreurs inclus</w:t>
      </w:r>
    </w:p>
    <w:p>
      <w:pPr>
        <w:pStyle w:val="ListParagraph"/>
        <w:numPr>
          <w:ilvl w:val="0"/>
          <w:numId w:val="2"/>
        </w:numPr>
        <w:spacing w:after="80"/>
      </w:pPr>
      <w:r>
        <w:t xml:space="preserve">Commission sur chaque course livrée via la plateforme</w:t>
      </w:r>
    </w:p>
    <w:p>
      <w:pPr>
        <w:spacing w:after="160"/>
      </w:pPr>
      <w:r>
        <w:t xml:space="preserve">Le barème précis (montant de l'abonnement, taux de commission, paliers selon la taille de la flotte) sera défini lors de la phase de validation commerciale auprès des premières compagnies pilotes.</w:t>
      </w:r>
    </w:p>
    <w:p>
      <w:pPr>
        <w:pStyle w:val="Heading1"/>
        <w:spacing w:after="200" w:before="400"/>
      </w:pPr>
      <w:r>
        <w:rPr>
          <w:color w:val="1F3B57"/>
        </w:rPr>
        <w:t xml:space="preserve">7. Exigences non fonctionnelles</w:t>
      </w:r>
    </w:p>
    <w:p>
      <w:pPr>
        <w:pStyle w:val="ListParagraph"/>
        <w:numPr>
          <w:ilvl w:val="0"/>
          <w:numId w:val="2"/>
        </w:numPr>
        <w:spacing w:after="80"/>
      </w:pPr>
      <w:r>
        <w:t xml:space="preserve">Latence de mise à jour de la position affichée côté client : inférieure à 5 secondes</w:t>
      </w:r>
    </w:p>
    <w:p>
      <w:pPr>
        <w:pStyle w:val="ListParagraph"/>
        <w:numPr>
          <w:ilvl w:val="0"/>
          <w:numId w:val="2"/>
        </w:numPr>
        <w:spacing w:after="80"/>
      </w:pPr>
      <w:r>
        <w:t xml:space="preserve">Disponibilité cible du service en dehors des fenêtres de maintenance</w:t>
      </w:r>
    </w:p>
    <w:p>
      <w:pPr>
        <w:pStyle w:val="ListParagraph"/>
        <w:numPr>
          <w:ilvl w:val="0"/>
          <w:numId w:val="2"/>
        </w:numPr>
        <w:spacing w:after="80"/>
      </w:pPr>
      <w:r>
        <w:t xml:space="preserve">Architecture backend scalable horizontalement pour absorber la montée en charge à mesure que de nouvelles compagnies rejoignent la plateforme</w:t>
      </w:r>
    </w:p>
    <w:p>
      <w:pPr>
        <w:pStyle w:val="ListParagraph"/>
        <w:numPr>
          <w:ilvl w:val="0"/>
          <w:numId w:val="2"/>
        </w:numPr>
        <w:spacing w:after="80"/>
      </w:pPr>
      <w:r>
        <w:t xml:space="preserve">Conformité à la réglementation locale en matière de télécommunications pour le service de masquage d'appel</w:t>
      </w:r>
    </w:p>
    <w:p>
      <w:pPr>
        <w:pStyle w:val="Heading1"/>
        <w:spacing w:after="200" w:before="400"/>
      </w:pPr>
      <w:r>
        <w:rPr>
          <w:color w:val="1F3B57"/>
        </w:rPr>
        <w:t xml:space="preserve">8. Feuille de route</w:t>
      </w:r>
    </w:p>
    <w:p>
      <w:pPr>
        <w:pStyle w:val="Heading2"/>
        <w:spacing w:after="150" w:before="300"/>
      </w:pPr>
      <w:r>
        <w:rPr>
          <w:color w:val="0F6E56"/>
        </w:rPr>
        <w:t xml:space="preserve">Phase 1 — MVP</w:t>
      </w:r>
    </w:p>
    <w:p>
      <w:pPr>
        <w:spacing w:after="160"/>
      </w:pPr>
      <w:r>
        <w:t xml:space="preserve">Tracking temps réel, masquage du numéro, gestion complète des commandes (assignation, statuts), app livreur (natif + PWA), dashboard compagnie de base.</w:t>
      </w:r>
    </w:p>
    <w:p>
      <w:pPr>
        <w:pStyle w:val="Heading2"/>
        <w:spacing w:after="150" w:before="300"/>
      </w:pPr>
      <w:r>
        <w:rPr>
          <w:color w:val="0F6E56"/>
        </w:rPr>
        <w:t xml:space="preserve">Phase 2</w:t>
      </w:r>
    </w:p>
    <w:p>
      <w:pPr>
        <w:spacing w:after="160"/>
      </w:pPr>
      <w:r>
        <w:t xml:space="preserve">Paiement intégré (mobile money), attribution automatique des courses aux livreurs disponibles, système de notation livreurs / clients.</w:t>
      </w:r>
    </w:p>
    <w:p>
      <w:pPr>
        <w:pStyle w:val="Heading2"/>
        <w:spacing w:after="150" w:before="300"/>
      </w:pPr>
      <w:r>
        <w:rPr>
          <w:color w:val="0F6E56"/>
        </w:rPr>
        <w:t xml:space="preserve">Phase 3</w:t>
      </w:r>
    </w:p>
    <w:p>
      <w:pPr>
        <w:spacing w:after="160"/>
      </w:pPr>
      <w:r>
        <w:t xml:space="preserve">Fonctionnalités multi-compagnies avancées, tableaux de bord analytiques approfondis, API publique pour intégrations tierces.</w:t>
      </w:r>
    </w:p>
    <w:p>
      <w:pPr>
        <w:pStyle w:val="Heading1"/>
        <w:spacing w:after="200" w:before="400"/>
      </w:pPr>
      <w:r>
        <w:rPr>
          <w:color w:val="1F3B57"/>
        </w:rPr>
        <w:t xml:space="preserve">9. Critères de succès</w:t>
      </w:r>
    </w:p>
    <w:p>
      <w:pPr>
        <w:pStyle w:val="ListParagraph"/>
        <w:numPr>
          <w:ilvl w:val="0"/>
          <w:numId w:val="2"/>
        </w:numPr>
        <w:spacing w:after="80"/>
      </w:pPr>
      <w:r>
        <w:t xml:space="preserve">Nombre de compagnies partenaires actives sur la plateforme</w:t>
      </w:r>
    </w:p>
    <w:p>
      <w:pPr>
        <w:pStyle w:val="ListParagraph"/>
        <w:numPr>
          <w:ilvl w:val="0"/>
          <w:numId w:val="2"/>
        </w:numPr>
        <w:spacing w:after="80"/>
      </w:pPr>
      <w:r>
        <w:t xml:space="preserve">Nombre de livreurs suivis quotidiennement en temps réel</w:t>
      </w:r>
    </w:p>
    <w:p>
      <w:pPr>
        <w:pStyle w:val="ListParagraph"/>
        <w:numPr>
          <w:ilvl w:val="0"/>
          <w:numId w:val="2"/>
        </w:numPr>
        <w:spacing w:after="80"/>
      </w:pPr>
      <w:r>
        <w:t xml:space="preserve">Taux d'utilisation du canal d'appel masqué par rapport aux échanges directs</w:t>
      </w:r>
    </w:p>
    <w:p>
      <w:pPr>
        <w:pStyle w:val="ListParagraph"/>
        <w:numPr>
          <w:ilvl w:val="0"/>
          <w:numId w:val="2"/>
        </w:numPr>
        <w:spacing w:after="80"/>
      </w:pPr>
      <w:r>
        <w:t xml:space="preserve">Délai moyen de livraison observé via la plateforme</w:t>
      </w:r>
    </w:p>
    <w:p>
      <w:pPr>
        <w:pStyle w:val="Heading1"/>
        <w:spacing w:after="200" w:before="400"/>
      </w:pPr>
      <w:r>
        <w:rPr>
          <w:color w:val="1F3B57"/>
        </w:rPr>
        <w:t xml:space="preserve">10. Annexes</w:t>
      </w:r>
    </w:p>
    <w:p>
      <w:pPr>
        <w:pStyle w:val="Heading2"/>
        <w:spacing w:after="150" w:before="300"/>
      </w:pPr>
      <w:r>
        <w:rPr>
          <w:color w:val="0F6E56"/>
        </w:rPr>
        <w:t xml:space="preserve">10.1 Glossaire</w:t>
      </w:r>
    </w:p>
    <w:p>
      <w:pPr>
        <w:pStyle w:val="ListParagraph"/>
        <w:numPr>
          <w:ilvl w:val="0"/>
          <w:numId w:val="2"/>
        </w:numPr>
        <w:spacing w:after="80"/>
      </w:pPr>
      <w:r>
        <w:t xml:space="preserve">Course : trajet unique d'un livreur, du point de retrait au point de livraison, associé à un client et une compagnie</w:t>
      </w:r>
    </w:p>
    <w:p>
      <w:pPr>
        <w:pStyle w:val="ListParagraph"/>
        <w:numPr>
          <w:ilvl w:val="0"/>
          <w:numId w:val="2"/>
        </w:numPr>
        <w:spacing w:after="80"/>
      </w:pPr>
      <w:r>
        <w:t xml:space="preserve">Session de masquage : canal de communication temporaire liant client et livreur pour la durée d'une course, sans échange du numéro réel</w:t>
      </w:r>
    </w:p>
    <w:p>
      <w:pPr>
        <w:pStyle w:val="ListParagraph"/>
        <w:numPr>
          <w:ilvl w:val="0"/>
          <w:numId w:val="2"/>
        </w:numPr>
        <w:spacing w:after="80"/>
      </w:pPr>
      <w:r>
        <w:t xml:space="preserve">Compagnie partenaire : entreprise de livraison cliente de la plateforme, gestionnaire de sa propre flotte de livreurs</w:t>
      </w:r>
    </w:p>
    <w:p>
      <w:pPr>
        <w:pStyle w:val="Heading2"/>
        <w:spacing w:after="150" w:before="300"/>
      </w:pPr>
      <w:r>
        <w:rPr>
          <w:color w:val="0F6E56"/>
        </w:rPr>
        <w:t xml:space="preserve">10.2 Documents liés</w:t>
      </w:r>
    </w:p>
    <w:p>
      <w:pPr>
        <w:spacing w:after="160"/>
      </w:pPr>
      <w:r>
        <w:t xml:space="preserve">Le schéma d'architecture technique détaillé (flux de tracking et de masquage) fait l'objet d'un document séparé et pourra être annexé à la version finale de ce cahier des charges.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r>
    <w:r>
      <w:rPr>
        <w:color w:val="5F5E5A"/>
        <w:sz w:val="18"/>
        <w:szCs w:val="18"/>
      </w:rPr>
      <w:fldChar w:fldCharType="begin"/>
      <w:instrText xml:space="preserve">PAGE</w:instrText>
      <w:fldChar w:fldCharType="separate"/>
      <w:fldChar w:fldCharType="end"/>
    </w:r>
    <w:r>
      <w:rPr>
        <w:color w:val="5F5E5A"/>
        <w:sz w:val="18"/>
        <w:szCs w:val="18"/>
      </w:rPr>
      <w:t xml:space="preserve"> / </w:t>
    </w:r>
    <w:r>
      <w:rPr>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2026-07-31T21:09:56.998Z</dcterms:created>
  <dcterms:modified xsi:type="dcterms:W3CDTF">2026-07-31T21:09:57.013Z</dcterms:modified>
</cp:coreProperties>
</file>

<file path=docProps/custom.xml><?xml version="1.0" encoding="utf-8"?>
<Properties xmlns="http://schemas.openxmlformats.org/officeDocument/2006/custom-properties" xmlns:vt="http://schemas.openxmlformats.org/officeDocument/2006/docPropsVTypes"/>
</file>