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 d'Utilisation du Système : Gestion de la Plateforme Aquaponique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Acteurs Principaux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Client du Public Général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Marchand Aquaponique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Administrateur Système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Préconditions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Le système est opérationnel.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Les utilisateurs sont authentifiés selon leur rôle (acheteur, vendeur, administrateur).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Scénario Principal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Le cas d'utilisation démarre lorsque l'utilisateur se connecte à la plateforme aquaponique.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Le système affiche l'écran d'accueil avec des options de mode (Acheteur, Vendeur, Administrateur).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L'utilisateur sélectionne le mode correspondant à son rôle (Acheteur, Vendeur, Administrateur).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Si Acheteur, le système affiche les fonctionnalités liées aux clients du public général.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Si Vendeur, le système affiche les fonctionnalités liées aux marchands aquaponiques.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Si Administrateur, le système affiche les fonctionnalités liées à l'administration de la plateforme.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Le cas d'utilisation se divise en sous-cas d'utilisation spécifiques à chaque acteur, tels que "Passer des Commandes" pour les acheteurs, "Ajouter des Produits" pour les marchands, et "Gérer les Utilisateurs" pour les administrateurs.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Chaque sous-cas d'utilisation est traité en fonction du rôle de l'utilisateur, avec des interactions spécifiques à chaque fonctionnalité.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À tout moment, l'utilisateur peut se déconnecter, terminant ainsi le cas d'utilisation.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Extensions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En cas d'erreur d'authentification, le système affiche un message d'erreur et permet à l'utilisateur de réessayer ou de récupérer son mot de passe.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Lors de la gestion des commandes, si un marchand rejette une commande, le système peut envoyer une notification au client et proposer des options alternatives.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Les administrateurs peuvent effectuer des tâches spécifiques telles que la gestion des marchands, la modification des paramètres du système, etc.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Postconditions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Les actions effectuées par les utilisateurs sont enregistrées dans la base de données.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Les données des utilisateurs, des marchands et des commandes sont mises à jour en temps réel.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Les notifications appropriées sont envoyées aux utilisateurs en cas de changements dans le système.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