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3c1fd750a16ea0958f12b1c08b42a3c223f9667"/>
    <w:p>
      <w:pPr>
        <w:spacing w:line="480" w:lineRule="auto" w:before="0" w:after="0"/>
        <w:ind w:firstLine="0"/>
      </w:pPr>
    </w:p>
    <w:p>
      <w:pPr>
        <w:spacing w:line="480" w:lineRule="auto" w:before="0" w:after="0"/>
        <w:ind w:firstLine="0"/>
      </w:pPr>
    </w:p>
    <w:p>
      <w:pPr>
        <w:spacing w:line="480" w:lineRule="auto" w:before="0" w:after="0"/>
        <w:ind w:firstLine="0" w:left="0" w:right="0"/>
        <w:jc w:val="center"/>
      </w:pPr>
      <w:r>
        <w:rPr>
          <w:rFonts w:ascii="Times New Roman" w:hAnsi="Times New Roman" w:eastAsia="Times New Roman" w:cs="Times New Roman"/>
          <w:b/>
          <w:sz w:val="24"/>
        </w:rPr>
        <w:t>Discovering Common Ground – Frosmear Legacy Modernization</w:t>
      </w:r>
    </w:p>
    <w:p>
      <w:pPr>
        <w:spacing w:line="480" w:lineRule="auto" w:before="0" w:after="0"/>
        <w:ind w:firstLine="0" w:left="0" w:right="0"/>
        <w:jc w:val="center"/>
      </w:pPr>
      <w:r>
        <w:rPr>
          <w:rFonts w:ascii="Times New Roman" w:hAnsi="Times New Roman" w:eastAsia="Times New Roman" w:cs="Times New Roman"/>
          <w:b w:val="0"/>
          <w:sz w:val="24"/>
        </w:rPr>
        <w:t>Mike Hudson</w:t>
      </w:r>
    </w:p>
    <w:p>
      <w:pPr>
        <w:spacing w:line="480" w:lineRule="auto" w:before="0" w:after="0"/>
        <w:ind w:firstLine="0" w:left="0" w:right="0"/>
        <w:jc w:val="center"/>
      </w:pPr>
      <w:r>
        <w:rPr>
          <w:rFonts w:ascii="Times New Roman" w:hAnsi="Times New Roman" w:eastAsia="Times New Roman" w:cs="Times New Roman"/>
          <w:b w:val="0"/>
          <w:sz w:val="24"/>
        </w:rPr>
        <w:t>Colorado State University Global</w:t>
      </w:r>
    </w:p>
    <w:p>
      <w:pPr>
        <w:spacing w:line="480" w:lineRule="auto" w:before="0" w:after="0"/>
        <w:ind w:firstLine="0" w:left="0" w:right="0"/>
        <w:jc w:val="center"/>
      </w:pPr>
      <w:r>
        <w:rPr>
          <w:rFonts w:ascii="Times New Roman" w:hAnsi="Times New Roman" w:eastAsia="Times New Roman" w:cs="Times New Roman"/>
          <w:b w:val="0"/>
          <w:sz w:val="24"/>
        </w:rPr>
        <w:t>CSC501 Management for the Computer Science Professional</w:t>
      </w:r>
    </w:p>
    <w:p>
      <w:pPr>
        <w:spacing w:line="480" w:lineRule="auto" w:before="0" w:after="0"/>
        <w:ind w:firstLine="0" w:left="0" w:right="0"/>
        <w:jc w:val="center"/>
      </w:pPr>
      <w:r>
        <w:rPr>
          <w:rFonts w:ascii="Times New Roman" w:hAnsi="Times New Roman" w:eastAsia="Times New Roman" w:cs="Times New Roman"/>
          <w:b w:val="0"/>
          <w:sz w:val="24"/>
        </w:rPr>
        <w:t>Douglas Mujeye</w:t>
      </w:r>
    </w:p>
    <w:p>
      <w:pPr>
        <w:spacing w:line="480" w:lineRule="auto" w:before="0" w:after="0"/>
        <w:ind w:firstLine="0" w:left="0" w:right="0"/>
        <w:jc w:val="center"/>
      </w:pPr>
      <w:r>
        <w:rPr>
          <w:rFonts w:ascii="Times New Roman" w:hAnsi="Times New Roman" w:eastAsia="Times New Roman" w:cs="Times New Roman"/>
          <w:b w:val="0"/>
          <w:sz w:val="24"/>
        </w:rPr>
        <w:t>November 8, 2026</w:t>
      </w:r>
    </w:p>
    <w:p>
      <w:r>
        <w:br w:type="page"/>
      </w:r>
    </w:p>
    <w:p>
      <w:pPr>
        <w:jc w:val="center"/>
        <w:spacing w:line="480" w:lineRule="auto" w:before="0" w:after="0"/>
      </w:pPr>
      <w:r>
        <w:rPr>
          <w:rFonts w:ascii="Times New Roman" w:hAnsi="Times New Roman"/>
          <w:sz w:val="24"/>
          <w:b/>
        </w:rPr>
        <w:t>Discovering Common Ground – Frosmear Legacy Modernization</w:t>
      </w:r>
    </w:p>
    <w:p>
      <w:pPr>
        <w:pStyle w:val="FirstParagraph"/>
        <w:spacing w:line="480" w:lineRule="auto" w:before="0" w:after="0"/>
        <w:ind w:firstLine="720"/>
      </w:pPr>
      <w:r>
        <w:rPr>
          <w:rFonts w:ascii="Times New Roman" w:hAnsi="Times New Roman"/>
          <w:sz w:val="24"/>
        </w:rPr>
        <w:t xml:space="preserve">Schumann Hudson Acquisition &amp; Technology (SHAT) is modernizing the legacy Frosmear application by integrating authentication with Darfcloud. A conflict has developed between the Legacy Application Maintenance Engineering (LAME) team and the Protection, Integrity, Threat Assessments (PITA) team over authentication token handoff requirements. LAME wants to preserve compatibility with the existing PHP application and avoid delays, while PITA prioritizes protection against unauthorized access and token misuse. Both teams support the project, but their competing priorities could affect cost, schedule, and quality.</w:t>
      </w:r>
    </w:p>
    <w:bookmarkStart w:id="18" w:name="conflict-and-dialogue-scenario"/>
    <w:p>
      <w:pPr>
        <w:pStyle w:val="Heading2"/>
        <w:keepNext/>
        <w:spacing w:line="480" w:lineRule="auto" w:before="0" w:after="0"/>
        <w:ind w:firstLine="0"/>
      </w:pPr>
      <w:r>
        <w:rPr>
          <w:rFonts w:ascii="Times New Roman" w:hAnsi="Times New Roman"/>
          <w:sz w:val="24"/>
        </w:rPr>
        <w:t xml:space="preserve">Conflict and Dialogue Scenario</w:t>
      </w:r>
    </w:p>
    <w:p>
      <w:pPr>
        <w:pStyle w:val="FirstParagraph"/>
        <w:spacing w:line="480" w:lineRule="auto" w:before="0" w:after="0"/>
        <w:ind w:firstLine="720"/>
      </w:pPr>
      <w:r>
        <w:rPr>
          <w:rFonts w:ascii="Times New Roman" w:hAnsi="Times New Roman"/>
          <w:sz w:val="24"/>
        </w:rPr>
        <w:t xml:space="preserve">The project manager (PM) asks both teams to explain their concerns:</w:t>
      </w:r>
    </w:p>
    <w:p>
      <w:pPr>
        <w:pStyle w:val="BodyText"/>
        <w:spacing w:line="480" w:lineRule="auto" w:before="0" w:after="0"/>
        <w:ind w:firstLine="720"/>
      </w:pPr>
      <w:r>
        <w:rPr>
          <w:rFonts w:ascii="Times New Roman" w:hAnsi="Times New Roman"/>
          <w:b/>
          <w:bCs/>
          <w:sz w:val="24"/>
        </w:rPr>
        <w:t xml:space="preserve">LAME Lead:</w:t>
      </w:r>
      <w:r>
        <w:rPr>
          <w:rFonts w:ascii="Times New Roman" w:hAnsi="Times New Roman"/>
          <w:sz w:val="24"/>
        </w:rPr>
        <w:t xml:space="preserve"> </w:t>
      </w:r>
      <w:r>
        <w:rPr>
          <w:rFonts w:ascii="Times New Roman" w:hAnsi="Times New Roman"/>
          <w:sz w:val="24"/>
        </w:rPr>
        <w:t xml:space="preserve">“Additional handoff requirements could require legacy code changes and testing beyond our original estimate. We need a solution that works with the existing application without unnecessary delays.”</w:t>
      </w:r>
    </w:p>
    <w:p>
      <w:pPr>
        <w:pStyle w:val="BodyText"/>
        <w:spacing w:line="480" w:lineRule="auto" w:before="0" w:after="0"/>
        <w:ind w:firstLine="720"/>
      </w:pPr>
      <w:r>
        <w:rPr>
          <w:rFonts w:ascii="Times New Roman" w:hAnsi="Times New Roman"/>
          <w:b/>
          <w:bCs/>
          <w:sz w:val="24"/>
        </w:rPr>
        <w:t xml:space="preserve">PITA Lead:</w:t>
      </w:r>
      <w:r>
        <w:rPr>
          <w:rFonts w:ascii="Times New Roman" w:hAnsi="Times New Roman"/>
          <w:sz w:val="24"/>
        </w:rPr>
        <w:t xml:space="preserve"> </w:t>
      </w:r>
      <w:r>
        <w:rPr>
          <w:rFonts w:ascii="Times New Roman" w:hAnsi="Times New Roman"/>
          <w:sz w:val="24"/>
        </w:rPr>
        <w:t xml:space="preserve">“We cannot approve the handoff without appropriate protections. Tokens must be difficult to misuse, and the process must prevent unauthorized access. Skipping these controls could create more expensive problems later.”</w:t>
      </w:r>
    </w:p>
    <w:p>
      <w:pPr>
        <w:pStyle w:val="BodyText"/>
        <w:spacing w:line="480" w:lineRule="auto" w:before="0" w:after="0"/>
        <w:ind w:firstLine="720"/>
      </w:pPr>
      <w:r>
        <w:rPr>
          <w:rFonts w:ascii="Times New Roman" w:hAnsi="Times New Roman"/>
          <w:b/>
          <w:bCs/>
          <w:sz w:val="24"/>
        </w:rPr>
        <w:t xml:space="preserve">PM:</w:t>
      </w:r>
      <w:r>
        <w:rPr>
          <w:rFonts w:ascii="Times New Roman" w:hAnsi="Times New Roman"/>
          <w:sz w:val="24"/>
        </w:rPr>
        <w:t xml:space="preserve"> </w:t>
      </w:r>
      <w:r>
        <w:rPr>
          <w:rFonts w:ascii="Times New Roman" w:hAnsi="Times New Roman"/>
          <w:sz w:val="24"/>
        </w:rPr>
        <w:t xml:space="preserve">“Both concerns are valid. Instead of treating compatibility and security as competing goals, we need requirements that satisfy both teams. Let us document the risks, estimate the work, and agree on acceptance criteria before deciding whether the schedule needs to change.”</w:t>
      </w:r>
    </w:p>
    <w:p>
      <w:pPr>
        <w:pStyle w:val="BodyText"/>
        <w:spacing w:line="480" w:lineRule="auto" w:before="0" w:after="0"/>
        <w:ind w:firstLine="720"/>
      </w:pPr>
      <w:r>
        <w:rPr>
          <w:rFonts w:ascii="Times New Roman" w:hAnsi="Times New Roman"/>
          <w:sz w:val="24"/>
        </w:rPr>
        <w:t xml:space="preserve">The PM would facilitate a review of token expiration, single-use enforcement, secure transmission, access authorization, failure handling, and testing. The teams would distinguish essential security controls from implementation preferences and identify impacts on cost and schedule.</w:t>
      </w:r>
    </w:p>
    <w:bookmarkEnd w:id="18"/>
    <w:bookmarkStart w:id="19" w:name="negotiation-and-conflict-resolution"/>
    <w:p>
      <w:pPr>
        <w:pStyle w:val="Heading2"/>
        <w:keepNext/>
        <w:spacing w:line="480" w:lineRule="auto" w:before="0" w:after="0"/>
        <w:ind w:firstLine="0"/>
      </w:pPr>
      <w:r>
        <w:rPr>
          <w:rFonts w:ascii="Times New Roman" w:hAnsi="Times New Roman"/>
          <w:sz w:val="24"/>
        </w:rPr>
        <w:t xml:space="preserve">Negotiation and Conflict Resolution</w:t>
      </w:r>
    </w:p>
    <w:p>
      <w:pPr>
        <w:pStyle w:val="FirstParagraph"/>
        <w:spacing w:line="480" w:lineRule="auto" w:before="0" w:after="0"/>
        <w:ind w:firstLine="720"/>
      </w:pPr>
      <w:r>
        <w:rPr>
          <w:rFonts w:ascii="Times New Roman" w:hAnsi="Times New Roman"/>
          <w:sz w:val="24"/>
        </w:rPr>
        <w:t xml:space="preserve">We would use collaborative, interest-based negotiation to find common ground. Rather than allowing either department to dictate the solution, the PM would identify shared interests: reliable authentication, protection of user accounts, and delivery within reasonable project constraints. Peters (2002) discusses planning strategies for delivering quality projects, supporting the need to evaluate requirements, risks, and resources before committing to a delivery plan.</w:t>
      </w:r>
    </w:p>
    <w:p>
      <w:pPr>
        <w:pStyle w:val="BodyText"/>
        <w:spacing w:line="480" w:lineRule="auto" w:before="0" w:after="0"/>
        <w:ind w:firstLine="720"/>
      </w:pPr>
      <w:r>
        <w:rPr>
          <w:rFonts w:ascii="Times New Roman" w:hAnsi="Times New Roman"/>
          <w:sz w:val="24"/>
        </w:rPr>
        <w:t xml:space="preserve">The PM would use objective criteria to evaluate proposed solutions. Both teams could agree that tokens must be transmitted securely, accepted only once, expire after a defined period, and be rejected when users lack authorization. LAME could recommend an approach compatible with the existing application, while PITA verifies that it meets the agreed controls.</w:t>
      </w:r>
    </w:p>
    <w:p>
      <w:pPr>
        <w:pStyle w:val="BodyText"/>
        <w:spacing w:line="480" w:lineRule="auto" w:before="0" w:after="0"/>
        <w:ind w:firstLine="720"/>
      </w:pPr>
      <w:r>
        <w:rPr>
          <w:rFonts w:ascii="Times New Roman" w:hAnsi="Times New Roman"/>
          <w:sz w:val="24"/>
        </w:rPr>
        <w:t xml:space="preserve">Rasmussen and Niles (2019) provide an infrastructure-focused perspective on coordinating technical requirements and project execution. Applying this approach, the PM should assess dependencies and implementation risks before approving changes. If testing exceeds available resources, the PM should present the schedule and cost implications to stakeholders rather than reduce security requirements.</w:t>
      </w:r>
    </w:p>
    <w:bookmarkEnd w:id="19"/>
    <w:bookmarkStart w:id="20" w:name="recommendations-and-conclusion"/>
    <w:p>
      <w:pPr>
        <w:pStyle w:val="Heading2"/>
        <w:keepNext/>
        <w:spacing w:line="480" w:lineRule="auto" w:before="0" w:after="0"/>
        <w:ind w:firstLine="0"/>
      </w:pPr>
      <w:r>
        <w:rPr>
          <w:rFonts w:ascii="Times New Roman" w:hAnsi="Times New Roman"/>
          <w:sz w:val="24"/>
        </w:rPr>
        <w:t xml:space="preserve">Recommendations and Conclusion</w:t>
      </w:r>
    </w:p>
    <w:p>
      <w:pPr>
        <w:pStyle w:val="FirstParagraph"/>
        <w:spacing w:line="480" w:lineRule="auto" w:before="0" w:after="0"/>
        <w:ind w:firstLine="720"/>
      </w:pPr>
      <w:r>
        <w:rPr>
          <w:rFonts w:ascii="Times New Roman" w:hAnsi="Times New Roman"/>
          <w:sz w:val="24"/>
        </w:rPr>
        <w:t xml:space="preserve">We would document the negotiated requirements, assign responsibility for implementation and security testing, and establish measurable acceptance criteria. A test environment would verify successful handoffs, expired and reused tokens, unauthorized users, and failure scenarios before deployment. If testing identifies significant risks, the PM would coordinate corrective work and communicate schedule impacts to stakeholders.</w:t>
      </w:r>
    </w:p>
    <w:p>
      <w:pPr>
        <w:pStyle w:val="BodyText"/>
        <w:spacing w:line="480" w:lineRule="auto" w:before="0" w:after="0"/>
        <w:ind w:firstLine="720"/>
      </w:pPr>
      <w:r>
        <w:rPr>
          <w:rFonts w:ascii="Times New Roman" w:hAnsi="Times New Roman"/>
          <w:sz w:val="24"/>
        </w:rPr>
        <w:t xml:space="preserve">This approach is</w:t>
      </w:r>
      <w:r>
        <w:rPr>
          <w:rFonts w:ascii="Times New Roman" w:hAnsi="Times New Roman"/>
          <w:sz w:val="24"/>
        </w:rPr>
        <w:t xml:space="preserve"> </w:t>
      </w:r>
      <w:r>
        <w:rPr>
          <w:rFonts w:ascii="Times New Roman" w:hAnsi="Times New Roman"/>
          <w:sz w:val="24"/>
        </w:rPr>
        <w:t xml:space="preserve">“win-win”</w:t>
      </w:r>
      <w:r>
        <w:rPr>
          <w:rFonts w:ascii="Times New Roman" w:hAnsi="Times New Roman"/>
          <w:sz w:val="24"/>
        </w:rPr>
        <w:t xml:space="preserve"> </w:t>
      </w:r>
      <w:r>
        <w:rPr>
          <w:rFonts w:ascii="Times New Roman" w:hAnsi="Times New Roman"/>
          <w:sz w:val="24"/>
        </w:rPr>
        <w:t xml:space="preserve">as it balances security, compatibility, cost, and schedule requirements. Collaborative negotiation, objective acceptance criteria, and risk-based planning can turn disagreement into shared decision-making. The result would be a secure, maintainable authentication handoff that supports the modernization vision.</w:t>
      </w:r>
    </w:p>
    <w:bookmarkEnd w:id="20"/>
    <w:bookmarkStart w:id="21" w:name="references"/>
    <w:p>
      <w:pPr>
        <w:pStyle w:val="Heading2"/>
        <w:keepNext/>
        <w:spacing w:line="480" w:lineRule="auto" w:before="0" w:after="0"/>
        <w:ind w:firstLine="0" w:left="0"/>
        <w:jc w:val="center"/>
      </w:pPr>
      <w:r>
        <w:rPr>
          <w:rFonts w:ascii="Times New Roman" w:hAnsi="Times New Roman"/>
          <w:b/>
          <w:sz w:val="24"/>
        </w:rPr>
        <w:t xml:space="preserve">References</w:t>
      </w:r>
    </w:p>
    <w:p>
      <w:pPr>
        <w:pStyle w:val="FirstParagraph"/>
        <w:spacing w:line="480" w:lineRule="auto" w:before="0" w:after="0"/>
        <w:ind w:left="720" w:hanging="720"/>
      </w:pPr>
      <w:r>
        <w:rPr>
          <w:rFonts w:ascii="Times New Roman" w:hAnsi="Times New Roman"/>
          <w:sz w:val="24"/>
        </w:rPr>
        <w:t xml:space="preserve">Peters, L. A. (2002).</w:t>
      </w:r>
      <w:r>
        <w:rPr>
          <w:rFonts w:ascii="Times New Roman" w:hAnsi="Times New Roman"/>
          <w:sz w:val="24"/>
        </w:rPr>
        <w:t xml:space="preserve"> </w:t>
      </w:r>
      <w:r>
        <w:rPr>
          <w:rFonts w:ascii="Times New Roman" w:hAnsi="Times New Roman"/>
          <w:i/>
          <w:iCs/>
          <w:sz w:val="24"/>
        </w:rPr>
        <w:t xml:space="preserve">Eight planning strategies for delivering quality projects</w:t>
      </w:r>
      <w:r>
        <w:rPr>
          <w:rFonts w:ascii="Times New Roman" w:hAnsi="Times New Roman"/>
          <w:sz w:val="24"/>
        </w:rPr>
        <w:t xml:space="preserve">. Project Management Institute. https://www.pmi.org/learning/library/planning-strategies-delivering-quality-projects-1052</w:t>
      </w:r>
    </w:p>
    <w:p>
      <w:pPr>
        <w:pStyle w:val="BodyText"/>
        <w:spacing w:line="480" w:lineRule="auto" w:before="0" w:after="0"/>
        <w:ind w:left="720" w:hanging="720"/>
      </w:pPr>
      <w:r>
        <w:rPr>
          <w:rFonts w:ascii="Times New Roman" w:hAnsi="Times New Roman"/>
          <w:sz w:val="24"/>
        </w:rPr>
        <w:t xml:space="preserve">Rasmussen, N., &amp; Niles, S. (2019).</w:t>
      </w:r>
      <w:r>
        <w:rPr>
          <w:rFonts w:ascii="Times New Roman" w:hAnsi="Times New Roman"/>
          <w:sz w:val="24"/>
        </w:rPr>
        <w:t xml:space="preserve"> </w:t>
      </w:r>
      <w:r>
        <w:rPr>
          <w:rFonts w:ascii="Times New Roman" w:hAnsi="Times New Roman"/>
          <w:i/>
          <w:iCs/>
          <w:sz w:val="24"/>
        </w:rPr>
        <w:t xml:space="preserve">Data center projects: Project management</w:t>
      </w:r>
      <w:r>
        <w:rPr>
          <w:rFonts w:ascii="Times New Roman" w:hAnsi="Times New Roman"/>
          <w:sz w:val="24"/>
        </w:rPr>
        <w:t xml:space="preserve">. Schneider Electric, Data Center Science Center. https://www.facilitiesnet.com/whitepapers/pdfs/APC_083011.pdf</w:t>
      </w:r>
    </w:p>
    <w:bookmarkEnd w:id="21"/>
    <w:bookmarkEnd w:id="22"/>
    <w:sectPr>
      <w:headerReference r:id="rId9" w:type="default"/>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24"/>
      </w:rPr>
      <w:fldChar w:fldCharType="begin"/>
      <w:instrText xml:space="preserve"> PAGE </w:instrText>
      <w:fldChar w:fldCharType="separate"/>
      <w:t>1</w: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pPr>
    <w:rPr>
      <w:rFonts w:ascii="Times New Roman" w:cs="Times New Roman" w:eastAsia="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0" w:before="0" w:line="480" w:lineRule="auto"/>
      <w:ind w:firstLine="0"/>
      <w:contextualSpacing/>
      <w:jc w:val="center"/>
    </w:pPr>
    <w:rPr>
      <w:rFonts w:ascii="Times New Roman" w:asciiTheme="majorHAnsi" w:cs="Times New Roman" w:cstheme="majorBidi" w:eastAsia="Times New Roman"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ind w:firstLine="0"/>
      <w:jc w:val="center"/>
      <w:outlineLvl w:val="0"/>
    </w:pPr>
    <w:rPr>
      <w:rFonts w:ascii="Times New Roman" w:asciiTheme="majorHAnsi" w:cs="Times New Roman" w:cstheme="majorBidi" w:eastAsia="Times New Roman"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ind w:firstLine="0"/>
      <w:jc w:val="left"/>
      <w:outlineLvl w:val="1"/>
    </w:pPr>
    <w:rPr>
      <w:rFonts w:ascii="Times New Roman" w:asciiTheme="majorHAnsi" w:cs="Times New Roman" w:cstheme="majorBidi" w:eastAsia="Times New Roman"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ind w:firstLine="0"/>
      <w:jc w:val="left"/>
      <w:outlineLvl w:val="2"/>
    </w:pPr>
    <w:rPr>
      <w:rFonts w:ascii="Times New Roman" w:cs="Times New Roman" w:cstheme="majorBidi" w:eastAsia="Times New Roman" w:eastAsiaTheme="majorEastAsia" w:hAnsi="Times New Roman"/>
      <w:b/>
      <w:i/>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ind w:firstLine="0" w:left="720"/>
      <w:outlineLvl w:val="3"/>
    </w:pPr>
    <w:rPr>
      <w:rFonts w:ascii="Times New Roman" w:cs="Times New Roman" w:cstheme="majorBidi" w:eastAsia="Times New Roman"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0" w:before="0" w:line="480" w:lineRule="auto"/>
      <w:ind w:firstLine="0" w:left="720"/>
      <w:outlineLvl w:val="4"/>
    </w:pPr>
    <w:rPr>
      <w:rFonts w:ascii="Times New Roman" w:cs="Times New Roman" w:cstheme="majorBidi" w:eastAsia="Times New Roman" w:eastAsiaTheme="majorEastAsia" w:hAnsi="Times New Roman"/>
      <w:b/>
      <w:i/>
      <w:color w:themeColor="accent1" w:themeShade="BF" w:val="0F4761"/>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ferences" w:type="paragraph">
    <w:name w:val="References"/>
    <w:pPr>
      <w:spacing w:after="0" w:before="0" w:line="480" w:lineRule="auto"/>
      <w:ind w:hanging="720" w:left="720"/>
    </w:pPr>
    <w:rPr>
      <w:rFonts w:ascii="Times New Roman" w:cs="Times New Roman" w:eastAsia="Times New Roman"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2026-10-23T20:55:02Z</dcterms:created>
  <dcterms:modified xsi:type="dcterms:W3CDTF">2026-10-23T20:55:02Z</dcterms:modified>
</cp:coreProperties>
</file>

<file path=docProps/custom.xml><?xml version="1.0" encoding="utf-8"?>
<Properties xmlns="http://schemas.openxmlformats.org/officeDocument/2006/custom-properties" xmlns:vt="http://schemas.openxmlformats.org/officeDocument/2006/docPropsVTypes"/>
</file>