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/>
        <w:jc w:val="center"/>
      </w:pPr>
      <w:r>
        <w:rPr>
          <w:b/>
          <w:bCs/>
          <w:i w:val="false"/>
          <w:iCs w:val="false"/>
          <w:color w:val="1A2E1A"/>
          <w:sz w:val="56"/>
          <w:szCs w:val="56"/>
        </w:rPr>
        <w:t xml:space="preserve">VELLI</w:t>
      </w:r>
    </w:p>
    <w:p>
      <w:pPr>
        <w:spacing w:after="500"/>
        <w:jc w:val="center"/>
      </w:pPr>
      <w:r>
        <w:rPr>
          <w:b w:val="false"/>
          <w:bCs w:val="false"/>
          <w:i/>
          <w:iCs/>
          <w:color w:val="2D5A27"/>
          <w:sz w:val="24"/>
          <w:szCs w:val="24"/>
        </w:rPr>
        <w:t xml:space="preserve">Inteligencia capilar a tu alcance</w:t>
      </w:r>
    </w:p>
    <w:p>
      <w:pPr>
        <w:pBdr>
          <w:bottom w:val="single" w:color="2D5A27" w:sz="8" w:space="8"/>
        </w:pBdr>
        <w:spacing w:after="200"/>
        <w:jc w:val="center"/>
      </w:pPr>
      <w:r>
        <w:rPr>
          <w:b/>
          <w:bCs/>
          <w:color w:val="1A2E1A"/>
          <w:sz w:val="34"/>
          <w:szCs w:val="34"/>
        </w:rPr>
        <w:t xml:space="preserve">BASE DE CONOCIMIENTO CAPILAR — FASE 3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sz w:val="26"/>
          <w:szCs w:val="26"/>
        </w:rPr>
        <w:t xml:space="preserve">Entrega 3 · Fundamentos de colorimetría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6B6B6B"/>
          <w:sz w:val="22"/>
          <w:szCs w:val="22"/>
        </w:rPr>
        <w:t xml:space="preserve">Sistema universal, reglas de formulación, seguridad y especificación de la calculadora</w:t>
      </w:r>
    </w:p>
    <w:p>
      <w:pPr>
        <w:spacing w:after="120"/>
        <w:jc w:val="center"/>
      </w:pPr>
      <w:r>
        <w:rPr>
          <w:b/>
          <w:bCs/>
          <w:i w:val="false"/>
          <w:iCs w:val="false"/>
          <w:color w:val="C9956B"/>
          <w:sz w:val="24"/>
          <w:szCs w:val="24"/>
        </w:rPr>
        <w:t xml:space="preserve">BORRADOR v0.1 — PARA VALIDACIÓN PROFESIONAL</w:t>
      </w:r>
    </w:p>
    <w:p>
      <w:pPr>
        <w:spacing w:after="60"/>
        <w:jc w:val="center"/>
      </w:pPr>
      <w:r>
        <w:rPr>
          <w:b w:val="false"/>
          <w:bCs w:val="false"/>
          <w:i w:val="false"/>
          <w:iCs w:val="false"/>
          <w:color w:val="6B6B6B"/>
          <w:sz w:val="21"/>
          <w:szCs w:val="21"/>
        </w:rPr>
        <w:t xml:space="preserve">Referencia técnica para estilistas formadas. La aplicación de procesos químicos es responsabilidad del profesional; las fórmulas finales provienen siempre de las cartas técnicas oficiales de cada marca.</w:t>
      </w:r>
    </w:p>
    <w:p>
      <w:pPr>
        <w:spacing w:after="500"/>
        <w:jc w:val="center"/>
      </w:pPr>
      <w:r>
        <w:rPr>
          <w:b w:val="false"/>
          <w:bCs w:val="false"/>
          <w:i w:val="false"/>
          <w:iCs w:val="false"/>
          <w:color w:val="6B6B6B"/>
          <w:sz w:val="21"/>
          <w:szCs w:val="21"/>
        </w:rPr>
        <w:t xml:space="preserve">Redactado con asistencia de IA (Claude). Ninguna regla se publica en Velli sin la validación de Keila Moreno.</w:t>
      </w:r>
    </w:p>
    <w:p>
      <w:pPr>
        <w:spacing w:after="140"/>
        <w:jc w:val="center"/>
      </w:pPr>
      <w:r>
        <w:rPr>
          <w:b w:val="false"/>
          <w:bCs w:val="false"/>
          <w:i w:val="false"/>
          <w:iCs w:val="false"/>
          <w:color w:val="6B6B6B"/>
          <w:sz w:val="20"/>
          <w:szCs w:val="20"/>
        </w:rPr>
        <w:t xml:space="preserve">Villavicencio, Colombia · Junio 2026 · Confidencial</w:t>
      </w:r>
    </w:p>
    <w:p>
      <w:r>
        <w:br w:type="page"/>
      </w:r>
    </w:p>
    <w:p>
      <w:pPr>
        <w:pStyle w:val="Heading1"/>
      </w:pPr>
      <w:r>
        <w:t xml:space="preserve">1. Cómo usar este documento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Mismo método de las Entregas 1 y 2: cada regla se marca APROBADA, CORREGIR o ELIMINAR. La particularidad de esta entrega es su separación en dos mundos: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 UNIVERSAL (secciones 3 a 5): la física y la lógica del color — niveles, fondo de aclaración, neutralización, oxidantes. Es conocimiento de escuela, estable entre marcas. Aquí tu validación ajusta matices y terminología.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 DE MARCA (sección 6): notaciones, proporciones, tiempos y tablas propias de cada fabricante. Esto NO se redacta: se carga al panel desde la carta técnica oficial de cada marca, con su versión y fecha. Si no está en una carta oficial, no entra al sistema.</w:t>
      </w:r>
    </w:p>
    <w:p>
      <w:pPr>
        <w:spacing w:after="120"/>
      </w:pPr>
    </w:p>
    <w:p>
      <w:pPr>
        <w:spacing w:after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principio rector de esta entrega:</w:t>
      </w:r>
    </w:p>
    <w:p>
      <w:pPr>
        <w:spacing w:after="140"/>
      </w:pPr>
      <w:r>
        <w:rPr>
          <w:b/>
          <w:bCs/>
          <w:i w:val="false"/>
          <w:iCs w:val="false"/>
          <w:color w:val="2D5A27"/>
          <w:sz w:val="22"/>
          <w:szCs w:val="22"/>
        </w:rPr>
        <w:t xml:space="preserve">Velli orienta la formulación; la estilista decide y ejecuta. La calculadora muestra el razonamiento (niveles, fondo, neutralización) y la guía de la marca cargada — nunca reemplaza el criterio profesional ni las instrucciones del fabricante.</w:t>
      </w:r>
    </w:p>
    <w:p>
      <w:pPr>
        <w:spacing w:after="120"/>
      </w:pPr>
    </w:p>
    <w:p>
      <w:pPr>
        <w:pStyle w:val="Heading1"/>
      </w:pPr>
      <w:r>
        <w:t xml:space="preserve">2. Nota de arquitectura: el diagnóstico como puerta de seguridad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módulo de color no vive aislado: consume el diagnóstico capilar existente como guardarraíl. Antes de proponer cualquier proceso, el motor verifica el estado de la fibra y aplica bloqueos automáticos: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Elasticidad BAJA → bloqueo de decoloración y de cualquier proceso de aclaración. El sistema propone primero REP-2 (Entrega 1) y reevaluación a las 4 semanas.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Porosidad ALTA → advertencia de resultado: el cabello poroso absorbe en exceso los reflejos fríos y los pierde rápido; el motor ajusta la expectativa y sugiere tratamiento previo.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Señal de bandera roja activa (Entrega 2) o cuero cabelludo con lesiones → bloqueo total de procesos químicos: aplica la regla A-06.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Historial con henna o cosméticos con sales metálicas → bloqueo de peróxido hasta descartar incompatibilidad (ver CO-09).</w:t>
      </w:r>
    </w:p>
    <w:p>
      <w:pPr>
        <w:spacing w:after="140"/>
      </w:pPr>
      <w:r>
        <w:rPr>
          <w:b w:val="false"/>
          <w:bCs w:val="false"/>
          <w:i/>
          <w:iCs/>
          <w:sz w:val="22"/>
          <w:szCs w:val="22"/>
        </w:rPr>
        <w:t xml:space="preserve">Esta integración es el diferenciador frente a cualquier app de fórmulas: Velli no calcula sobre un cabello imaginario, calcula sobre EL cabello de la clienta, con su historial completo.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El sistema universal del color</w:t>
      </w:r>
    </w:p>
    <w:p>
      <w:pPr>
        <w:pStyle w:val="Heading2"/>
      </w:pPr>
      <w:r>
        <w:t xml:space="preserve">3.1 Altura de tono: la escala internacional 1–10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5160"/>
      </w:tblGrid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Nivel</w:t>
            </w:r>
          </w:p>
        </w:tc>
        <w:tc>
          <w:tcPr>
            <w:tcW w:type="dxa" w:w="3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Nombre</w:t>
            </w:r>
          </w:p>
        </w:tc>
        <w:tc>
          <w:tcPr>
            <w:tcW w:type="dxa" w:w="5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Referencia visual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3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Negro</w:t>
            </w:r>
          </w:p>
        </w:tc>
        <w:tc>
          <w:tcPr>
            <w:tcW w:type="dxa" w:w="5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Negro profundo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3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Moreno muy oscuro</w:t>
            </w:r>
          </w:p>
        </w:tc>
        <w:tc>
          <w:tcPr>
            <w:tcW w:type="dxa" w:w="5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Casi negro a contraluz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3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Castaño oscuro</w:t>
            </w:r>
          </w:p>
        </w:tc>
        <w:tc>
          <w:tcPr>
            <w:tcW w:type="dxa" w:w="5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Café oscuro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3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Castaño medio</w:t>
            </w:r>
          </w:p>
        </w:tc>
        <w:tc>
          <w:tcPr>
            <w:tcW w:type="dxa" w:w="5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Café clásico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3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Castaño claro</w:t>
            </w:r>
          </w:p>
        </w:tc>
        <w:tc>
          <w:tcPr>
            <w:tcW w:type="dxa" w:w="5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Café con destellos cálidos a la luz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3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Rubio oscuro</w:t>
            </w:r>
          </w:p>
        </w:tc>
        <w:tc>
          <w:tcPr>
            <w:tcW w:type="dxa" w:w="5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Frontera castaño-rubio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3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Rubio medio</w:t>
            </w:r>
          </w:p>
        </w:tc>
        <w:tc>
          <w:tcPr>
            <w:tcW w:type="dxa" w:w="5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Rubio evidente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3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Rubio claro</w:t>
            </w:r>
          </w:p>
        </w:tc>
        <w:tc>
          <w:tcPr>
            <w:tcW w:type="dxa" w:w="5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Rubio luminoso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3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Rubio muy claro</w:t>
            </w:r>
          </w:p>
        </w:tc>
        <w:tc>
          <w:tcPr>
            <w:tcW w:type="dxa" w:w="5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Rubio casi pálido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tcW w:type="dxa" w:w="3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Rubio clarísimo</w:t>
            </w:r>
          </w:p>
        </w:tc>
        <w:tc>
          <w:tcPr>
            <w:tcW w:type="dxa" w:w="5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Plataforma del platino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primera lectura de todo diagnóstico de color es doble: el nivel NATURAL de la raíz y el nivel ACTUAL de medios y puntas si hay pigmento artificial. Son dos cabezas en una y se formulan por separado.</w:t>
      </w:r>
    </w:p>
    <w:p>
      <w:pPr>
        <w:spacing w:after="160"/>
      </w:pPr>
    </w:p>
    <w:p>
      <w:pPr>
        <w:pStyle w:val="Heading2"/>
      </w:pPr>
      <w:r>
        <w:t xml:space="preserve">3.2 Fondo de aclaración: lo que aflora al aclarar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 elevar el nivel, el pigmento natural se degrada en orden — del rojo al amarillo. Ese pigmento residual es el “fondo de aclaración”, y conocerlo es saber qué habrá que neutralizar o aprovechar al llegar al nivel deseado.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Nivel alcanzado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Pigmento que aflora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 neutraliza con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1 – 3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Rojo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Verde (matiz mate)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Rojo anaranjado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Verde azulado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Anaranjado rojizo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Azul verdoso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Anaranjado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Azul (ceniza)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Anaranjado amarillento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Azul violáceo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Amarillo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Violeta (irisado)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Amarillo claro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Violeta suave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Amarillo muy pálido</w:t>
            </w:r>
          </w:p>
        </w:tc>
        <w:tc>
          <w:tcPr>
            <w:tcW w:type="dxa" w:w="34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Violeta muy suave (matización)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 w:val="false"/>
          <w:bCs w:val="false"/>
          <w:i/>
          <w:iCs/>
          <w:color w:val="6B6B6B"/>
          <w:sz w:val="20"/>
          <w:szCs w:val="20"/>
        </w:rPr>
        <w:t xml:space="preserve">Las cartas de escuela varían ligeramente en los niveles 4–7: esta versión queda marcada para que la ajustes a la escala que tú enseñas y aplicas.</w:t>
      </w:r>
    </w:p>
    <w:p>
      <w:pPr>
        <w:spacing w:after="160"/>
      </w:pPr>
    </w:p>
    <w:p>
      <w:pPr>
        <w:pStyle w:val="Heading2"/>
      </w:pPr>
      <w:r>
        <w:t xml:space="preserve">3.3 La rueda: pares de neutralización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Pigmento no deseado</w:t>
            </w:r>
          </w:p>
        </w:tc>
        <w:tc>
          <w:tcPr>
            <w:tcW w:type="dxa" w:w="46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 neutraliza con</w:t>
            </w:r>
          </w:p>
        </w:tc>
      </w:tr>
      <w:tr>
        <w:tc>
          <w:tcPr>
            <w:tcW w:type="dxa" w:w="46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Amarillo</w:t>
            </w:r>
          </w:p>
        </w:tc>
        <w:tc>
          <w:tcPr>
            <w:tcW w:type="dxa" w:w="46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Violeta</w:t>
            </w:r>
          </w:p>
        </w:tc>
      </w:tr>
      <w:tr>
        <w:tc>
          <w:tcPr>
            <w:tcW w:type="dxa" w:w="46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Anaranjado</w:t>
            </w:r>
          </w:p>
        </w:tc>
        <w:tc>
          <w:tcPr>
            <w:tcW w:type="dxa" w:w="46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Azul</w:t>
            </w:r>
          </w:p>
        </w:tc>
      </w:tr>
      <w:tr>
        <w:tc>
          <w:tcPr>
            <w:tcW w:type="dxa" w:w="46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Rojo</w:t>
            </w:r>
          </w:p>
        </w:tc>
        <w:tc>
          <w:tcPr>
            <w:tcW w:type="dxa" w:w="46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Verde</w:t>
            </w:r>
          </w:p>
        </w:tc>
      </w:tr>
      <w:tr>
        <w:tc>
          <w:tcPr>
            <w:tcW w:type="dxa" w:w="46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Verdoso (accidente frecuente)</w:t>
            </w:r>
          </w:p>
        </w:tc>
        <w:tc>
          <w:tcPr>
            <w:tcW w:type="dxa" w:w="46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Rojo / caoba suave</w:t>
            </w:r>
          </w:p>
        </w:tc>
      </w:tr>
      <w:tr>
        <w:tc>
          <w:tcPr>
            <w:tcW w:type="dxa" w:w="46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Amarillo anaranjado</w:t>
            </w:r>
          </w:p>
        </w:tc>
        <w:tc>
          <w:tcPr>
            <w:tcW w:type="dxa" w:w="468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Azul violáceo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Regla mental: el neutralizante vive al frente en la rueda. Neutralizar apaga; reforzar el vecino aviva. Toda matización es dosificación: neutralizante de más = reflejo fantasma (el clásico lila en canas o el verdoso en castaños).</w:t>
      </w:r>
    </w:p>
    <w:p>
      <w:pPr>
        <w:spacing w:after="160"/>
      </w:pPr>
    </w:p>
    <w:p>
      <w:pPr>
        <w:pStyle w:val="Heading2"/>
      </w:pPr>
      <w:r>
        <w:t xml:space="preserve">3.4 Reflejos y notación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número entero es la altura; los decimales son los reflejos: el primero domina, el segundo acompaña. Lectura de un 7.43: altura 7 (rubio medio), reflejo dominante cobrizo (.4), secundario dorado (.3) — un rubio cobrizo dorado. La base común entre marcas: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400"/>
        <w:gridCol w:w="3460"/>
      </w:tblGrid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Dígito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Reflejo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Pigmento</w:t>
            </w:r>
          </w:p>
        </w:tc>
        <w:tc>
          <w:tcPr>
            <w:tcW w:type="dxa" w:w="34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Nota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.1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Ceniza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Azul / azul-violeta</w:t>
            </w:r>
          </w:p>
        </w:tc>
        <w:tc>
          <w:tcPr>
            <w:tcW w:type="dxa" w:w="34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neutralizante del anaranjado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.2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Irisado / perla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Violeta</w:t>
            </w:r>
          </w:p>
        </w:tc>
        <w:tc>
          <w:tcPr>
            <w:tcW w:type="dxa" w:w="34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neutralizante del amarillo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.3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Dorado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Amarillo</w:t>
            </w:r>
          </w:p>
        </w:tc>
        <w:tc>
          <w:tcPr>
            <w:tcW w:type="dxa" w:w="34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Calidez luminosa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.4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Cobrizo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Anaranjado</w:t>
            </w:r>
          </w:p>
        </w:tc>
        <w:tc>
          <w:tcPr>
            <w:tcW w:type="dxa" w:w="34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Calidez intensa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.5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Caoba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Rojo violáceo</w:t>
            </w:r>
          </w:p>
        </w:tc>
        <w:tc>
          <w:tcPr>
            <w:tcW w:type="dxa" w:w="34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Profundidad cálida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.6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Rojo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Rojo</w:t>
            </w:r>
          </w:p>
        </w:tc>
        <w:tc>
          <w:tcPr>
            <w:tcW w:type="dxa" w:w="34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Máxima intensidad cálida</w:t>
            </w:r>
          </w:p>
        </w:tc>
      </w:tr>
      <w:tr>
        <w:tc>
          <w:tcPr>
            <w:tcW w:type="dxa" w:w="11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.7 en adelante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VARÍA POR MARCA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Mate, marrón, beige o metálicos según fabricante: se carga desde la carta técnica de cada marca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notación también varía: punto (6.1), coma (6,1), guion o barra (6/1) según fabricante. El panel guarda la notación propia de cada marca para que la estilista vea las fórmulas en el idioma de sus tubos.</w:t>
      </w:r>
    </w:p>
    <w:p>
      <w:pPr>
        <w:spacing w:after="160"/>
      </w:pPr>
    </w:p>
    <w:p>
      <w:pPr>
        <w:pStyle w:val="Heading2"/>
      </w:pPr>
      <w:r>
        <w:t xml:space="preserve">3.5 Oxidantes: volúmenes y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800"/>
        <w:gridCol w:w="3360"/>
      </w:tblGrid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Volumen</w:t>
            </w:r>
          </w:p>
        </w:tc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Concentración</w:t>
            </w:r>
          </w:p>
        </w:tc>
        <w:tc>
          <w:tcPr>
            <w:tcW w:type="dxa" w:w="28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Capacidad orientativa</w:t>
            </w:r>
          </w:p>
        </w:tc>
        <w:tc>
          <w:tcPr>
            <w:tcW w:type="dxa" w:w="33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Uso típico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10 vol</w:t>
            </w:r>
          </w:p>
        </w:tc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3 %</w:t>
            </w:r>
          </w:p>
        </w:tc>
        <w:tc>
          <w:tcPr>
            <w:tcW w:type="dxa" w:w="28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Deposita; aclara 0–1 nivel</w:t>
            </w:r>
          </w:p>
        </w:tc>
        <w:tc>
          <w:tcPr>
            <w:tcW w:type="dxa" w:w="33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Tono sobre tono, oscurecer, matizar, baño de color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20 vol</w:t>
            </w:r>
          </w:p>
        </w:tc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6 %</w:t>
            </w:r>
          </w:p>
        </w:tc>
        <w:tc>
          <w:tcPr>
            <w:tcW w:type="dxa" w:w="28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Aclara 1–2 niveles</w:t>
            </w:r>
          </w:p>
        </w:tc>
        <w:tc>
          <w:tcPr>
            <w:tcW w:type="dxa" w:w="33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Cobertura de canas, coloración estándar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30 vol</w:t>
            </w:r>
          </w:p>
        </w:tc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9 %</w:t>
            </w:r>
          </w:p>
        </w:tc>
        <w:tc>
          <w:tcPr>
            <w:tcW w:type="dxa" w:w="28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Aclara 2–3 niveles</w:t>
            </w:r>
          </w:p>
        </w:tc>
        <w:tc>
          <w:tcPr>
            <w:tcW w:type="dxa" w:w="33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Aclaraciones medias sobre cabello natural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40 vol</w:t>
            </w:r>
          </w:p>
        </w:tc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12 %</w:t>
            </w:r>
          </w:p>
        </w:tc>
        <w:tc>
          <w:tcPr>
            <w:tcW w:type="dxa" w:w="28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Aclara 3–4 niveles</w:t>
            </w:r>
          </w:p>
        </w:tc>
        <w:tc>
          <w:tcPr>
            <w:tcW w:type="dxa" w:w="33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Uso restringido: máxima agresión. Ampliamente desaconsejado en aplicación directa sobre cuero cabelludo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Dos leyes que el motor hace cumplir: nunca más volumen del necesario para los niveles a mover, y la decoloración sigue SIEMPRE la tabla y los tiempos del fabricante del polvo — jamás la intuición.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Reglas de oro de formulación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Diez principios que el motor aplica como lógica de cálculo y guardarraíles. Formato: principio → por qué → cómo lo aplica el motor.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CO-01 · El tinte no aclara tinte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coloración por oxidación aclara pigmento NATURAL, nunca pigmento ARTIFICIAL ya depositado. Para subir niveles sobre cabello teñido se requiere decapado o decoloración.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Por qué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colorante artificial no responde al proceso de aclaración del tinte: aplicar un tinte más claro sobre uno oscuro solo deposita más pigmento (y a veces ensucia).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Si nivel objetivo &gt; nivel actual y la zona tiene pigmento artificial → la calculadora descarta la vía “tinte” y propone plan con decapado/decoloración + guardarraíles de fibra (sección 2).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CO-02 · Diagnóstico antes de fórmula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Toda fórmula nace de cuatro datos: nivel natural de raíz, nivel y estado de medios-puntas, porcentaje de canas y porosidad.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Por qué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Una misma fórmula se comporta distinto en raíz virgen, largos teñidos y hebra porosa. Formular sin diagnóstico es adivinar.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calculadora no se abre “en blanco”: precarga el diagnóstico vigente de la clienta y exige completar los campos de color que falten.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CO-03 · El volumen lo deciden los niveles a mover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Primero se calcula cuántos niveles hay entre la base y el objetivo; ese número (y la tabla de la marca) determina el oxidante.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Por qué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Volumen de más castiga la fibra y el cuero cabelludo sin mejorar el resultado; volumen de menos no llega y obliga a reprocesar.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Cálculo automático de la diferencia de niveles → sugerencia de volumen según la tabla cargada de la marca, con techo de seguridad (40 vol siempre con advertencia reforzada).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CO-04 · Neutralizar (o aprovechar) el fondo de aclaración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Al llegar al nivel deseado, el fondo de aclaración de ese nivel decide el reflejo: se neutraliza para resultados fríos o se aprovecha para cálidos.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Por qué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Ignorar el fondo es la causa n.º 1 de “quedó naranja” y “quedó amarillo”: el pigmento residual siempre habla.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calculadora muestra el fondo esperado del nivel objetivo (tabla 3.2) y propone el reflejo neutralizante o de refuerzo según el objetivo declarado (frío / neutro / cálido).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CO-05 · Cobertura de canas: la base manda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cana cubre con tono base (la serie natural, .0/N) en la mezcla. Práctica extendida: con más del 50 % de canas, al menos la mitad de la fórmula es base natural; los reflejos puros no cubren.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Por qué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hebra blanca no tiene pigmento de fondo que sostenga un reflejo: sin base, el resultado queda translúcido o disparejo.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porcentaje de canas del diagnóstico ajusta automáticamente la proporción de base sugerida; canas marcadas como “resistentes” activan la nota de pre-pigmentación o mordentado según la carta de la marca.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proporción exacta por tramo de canas (25/50/75 %) varía por escuela y por marca: valida la regla general y deja el detalle fino a las cartas técnicas cargadas.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CO-06 · Pre-pigmentación para oscurecer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Para bajar 2 o más niveles sobre cabello muy aclarado, primero se reponen los pigmentos cálidos del nivel intermedio; luego se deposita el tono objetivo.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Por qué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cabello decolorado perdió su fondo: depositar un oscuro frío directo da resultados verdosos, huecos o que se desvanecen en días.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Si nivel objetivo ≤ nivel actual − 2 y hay historial de decoloración → la calculadora inserta el paso de pre-pigmentación en el plan y lo marca como obligatorio.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CO-07 · La porosidad tuerce el resultado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hebra porosa absorbe de más (sobre todo los fríos) y suelta rápido; la de porosidad baja se resiste a tomar.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Por qué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Es la razón de los cenizas que salen grises en puntas y de los colores que “no agarran” en cabello virgen compacto.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Porosidad alta → advertencia de sobre-matización en puntas (sugerencia: rebajar el reflejo frío o proteger puntas) + expectativa de duración ajustada. Porosidad baja → nota de tiempos de pausa completos según fabricante.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CO-08 · La decoloración exige fibra que la aguante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Antes de decolorar: prueba de elasticidad obligatoria, prueba de mechón en zona discreta, y decisión consciente de aplicación con o sin contacto con cuero cabelludo según la técnica y el producto.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Por qué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decoloración es el proceso de mayor riesgo del salón: sobre fibra comprometida produce rotura; sobre piel sensibilizada, irritación o quemadura.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Puerta de seguridad de la sección 2 (elasticidad baja = bloqueo) + checklist previa que la estilista confirma en la app antes de que la calculadora muestre el plan de decoloración.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CO-09 · Incompatibilidades químicas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Henna y productos con sales metálicas son incompatibles con peróxido: la mezcla puede generar calor, rotura y colores impredecibles. Tampoco se superponen procesos agresivos sobre fibra ya comprometida.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Por qué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reacción con residuos metálicos es de las pocas urgencias reales de la química de salón: se previene preguntando, no se corrige aplicando.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Pregunta obligatoria de historial (henna / tintes “naturales” / progresivos de procedencia dudosa). Respuesta afirmativa o dudosa → bloqueo de peróxido + sugerencia de prueba de mechón con protocolo y tiempo de espera.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Validar el protocolo exacto de descarte que enseñas (prueba de mechón con observación) y su redacción en la app.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CO-10 · La sesión honesta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todo objetivo cabe en una sesión. El sistema calcula la distancia real (niveles, estado, historial) y propone plan de una sesión o plan por etapas — con precio y expectativa claros desde el inicio.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Por qué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“platino hoy” sobre base oscura teñida es la receta del desastre técnico y de la clienta decepcionada. La honestidad técnica fideliza más que el sí fácil.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Si el objetivo excede los límites seguros de una sesión → la calculadora genera un plan multi-sesión con hitos, cuidados entre sesiones (cronogramas de la Entrega 1) y registro fotográfico en el Pasaporte Capilar.</w:t>
            </w:r>
          </w:p>
        </w:tc>
      </w:tr>
    </w:tbl>
    <w:p>
      <w:pPr>
        <w:spacing w:after="260"/>
      </w:pPr>
    </w:p>
    <w:p>
      <w:r>
        <w:br w:type="page"/>
      </w:r>
    </w:p>
    <w:p>
      <w:pPr>
        <w:pStyle w:val="Heading1"/>
      </w:pPr>
      <w:r>
        <w:t xml:space="preserve">5. Seguridad innegociable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Estas prácticas se cargan como checklist previa de todo servicio de color en la app — la estilista las confirma antes de que el sistema muestre la fórmula: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Prueba de sensibilidad (parche) según las instrucciones del fabricante — la referencia habitual es 48 horas antes — en toda clienta nueva al color, con cambio de marca o con antecedente de reacción. Las alergias a colorantes pueden ser severas: esto no es opcional.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Prueba de mechón ante cualquier duda: historial incierto, henna, fibra comprometida o resultado crítico.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Cuero cabelludo íntegro: con lesiones, irritación o derivación activa de la Entrega 2, no hay proceso químico (regla A-06).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Tiempos y proporciones del fabricante: la carta técnica manda sobre cualquier costumbre de cabina.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Guantes y ventilación siempre; el producto sobrante mezclado no se guarda.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Registro en el historial: fórmula aplicada, volumen, tiempos y resultado con foto — el activo que convierte el segundo servicio en una ciencia exacta.</w:t>
      </w:r>
    </w:p>
    <w:p>
      <w:pPr>
        <w:spacing w:after="120"/>
      </w:pPr>
    </w:p>
    <w:p>
      <w:pPr>
        <w:spacing w:after="140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Propuesta jurídica para validar: consentimiento informado digital para procesos químicos (decoloración en particular), con registro de la prueba de sensibilidad. Pregunta abierta n.º 3.</w:t>
      </w:r>
    </w:p>
    <w:p>
      <w:pPr>
        <w:spacing w:after="200"/>
      </w:pPr>
    </w:p>
    <w:p>
      <w:pPr>
        <w:pStyle w:val="Heading1"/>
      </w:pPr>
      <w:r>
        <w:t xml:space="preserve">6. Esquema de datos por marca (lo que se carga, no se redacta)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Cada marca entra al panel como un paquete de datos con origen verificable. Campos del esquema: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4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Qué guarda</w:t>
            </w:r>
          </w:p>
        </w:tc>
        <w:tc>
          <w:tcPr>
            <w:tcW w:type="dxa" w:w="2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Ejemplo de contenido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Marca y línea</w:t>
            </w:r>
          </w:p>
        </w:tc>
        <w:tc>
          <w:tcPr>
            <w:tcW w:type="dxa" w:w="4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Identificación del producto</w:t>
            </w:r>
          </w:p>
        </w:tc>
        <w:tc>
          <w:tcPr>
            <w:tcW w:type="dxa" w:w="2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“[Marca] — línea permanente”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Fuente y versión</w:t>
            </w:r>
          </w:p>
        </w:tc>
        <w:tc>
          <w:tcPr>
            <w:tcW w:type="dxa" w:w="4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Carta técnica oficial, año/versión, quién la cargó y cuándo</w:t>
            </w:r>
          </w:p>
        </w:tc>
        <w:tc>
          <w:tcPr>
            <w:tcW w:type="dxa" w:w="2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Carta técnica 2026, cargada por K.M.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Notación de reflejos</w:t>
            </w:r>
          </w:p>
        </w:tc>
        <w:tc>
          <w:tcPr>
            <w:tcW w:type="dxa" w:w="4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Sistema propio: punto, coma, barra; significado de .7 en adelante y dobles dígitos</w:t>
            </w:r>
          </w:p>
        </w:tc>
        <w:tc>
          <w:tcPr>
            <w:tcW w:type="dxa" w:w="2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6/1 = rubio oscuro ceniza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Proporciones de mezcla</w:t>
            </w:r>
          </w:p>
        </w:tc>
        <w:tc>
          <w:tcPr>
            <w:tcW w:type="dxa" w:w="4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Tinte:oxidante por línea (estándar, superaclarante, matizador)</w:t>
            </w:r>
          </w:p>
        </w:tc>
        <w:tc>
          <w:tcPr>
            <w:tcW w:type="dxa" w:w="2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1:1 · 1:1,5 · 1:2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Volúmenes disponibles</w:t>
            </w:r>
          </w:p>
        </w:tc>
        <w:tc>
          <w:tcPr>
            <w:tcW w:type="dxa" w:w="4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Oxidantes propios y sus equivalencias</w:t>
            </w:r>
          </w:p>
        </w:tc>
        <w:tc>
          <w:tcPr>
            <w:tcW w:type="dxa" w:w="2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10/20/30/40 vol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Reglas de canas</w:t>
            </w:r>
          </w:p>
        </w:tc>
        <w:tc>
          <w:tcPr>
            <w:tcW w:type="dxa" w:w="4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Indicaciones del fabricante para cobertura y resistentes</w:t>
            </w:r>
          </w:p>
        </w:tc>
        <w:tc>
          <w:tcPr>
            <w:tcW w:type="dxa" w:w="2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≥50 % canas: mitad de base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Superaclarantes</w:t>
            </w:r>
          </w:p>
        </w:tc>
        <w:tc>
          <w:tcPr>
            <w:tcW w:type="dxa" w:w="4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Serie, niveles de aclaración y restricciones</w:t>
            </w:r>
          </w:p>
        </w:tc>
        <w:tc>
          <w:tcPr>
            <w:tcW w:type="dxa" w:w="2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Serie 900: hasta 4–5 niveles s/ base natural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Tiempos de pausa</w:t>
            </w:r>
          </w:p>
        </w:tc>
        <w:tc>
          <w:tcPr>
            <w:tcW w:type="dxa" w:w="4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Por proceso, según carta</w:t>
            </w:r>
          </w:p>
        </w:tc>
        <w:tc>
          <w:tcPr>
            <w:tcW w:type="dxa" w:w="2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35 min estándar</w:t>
            </w:r>
          </w:p>
        </w:tc>
      </w:tr>
      <w:tr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Particularidades</w:t>
            </w:r>
          </w:p>
        </w:tc>
        <w:tc>
          <w:tcPr>
            <w:tcW w:type="dxa" w:w="4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Fondo de aclaración propio si difiere, pre-pigmentación recomendada, etc.</w:t>
            </w:r>
          </w:p>
        </w:tc>
        <w:tc>
          <w:tcPr>
            <w:tcW w:type="dxa" w:w="2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  <w:i w:val="false"/>
          <w:iCs w:val="false"/>
          <w:sz w:val="21"/>
          <w:szCs w:val="21"/>
        </w:rPr>
        <w:t xml:space="preserve">Regla de gobernanza: si un dato no está en una carta técnica oficial, no se carga. La calculadora distingue siempre entre “lógica universal” y “dato de la marca” en lo que muestra a la estilista.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La calculadora de color (especificación funcional)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Esta sección es, a la vez, contenido para validar y la especificación del Sprint C para desarrollo.</w:t>
      </w:r>
    </w:p>
    <w:p>
      <w:pPr>
        <w:pStyle w:val="Heading2"/>
      </w:pPr>
      <w:r>
        <w:t xml:space="preserve">7.1 Entradas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Del diagnóstico vigente (precargado): porosidad, elasticidad, banderas activas, historial químico (incluida henna/metales), porcentaje de canas.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 la sesión: nivel natural de raíz, nivel actual de medios y puntas (si hay artificial), objetivo (nivel + temperatura: frío/neutro/cálido o reflejo concreto), marca y línea a usar.</w:t>
      </w:r>
    </w:p>
    <w:p>
      <w:pPr>
        <w:pStyle w:val="Heading2"/>
      </w:pPr>
      <w:r>
        <w:t xml:space="preserve">7.2 Lógica (en orden)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Guardarraíles primero (sección 2): elasticidad, banderas, incompatibilidades. Si algo bloquea, la calculadora no muestra fórmula: muestra el camino previo (tratamiento, derivación o prueba).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Vía del proceso: ¿hay pigmento artificial en la zona a aclarar? Sí + subir niveles → decapado/decoloración (CO-01). No → vía tinte.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Distancia: niveles entre base y objetivo → volumen sugerido según la tabla de la marca (CO-03), con techo de seguridad.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Fondo de aclaración del nivel objetivo (tabla 3.2) → reflejo neutralizante o de refuerzo según temperatura pedida (CO-04).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Ajustes del diagnóstico: canas → proporción de base (CO-05); porosidad → advertencias y matices (CO-07); oscurecer 2+ sobre aclarado → paso de pre-pigmentación (CO-06).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Viabilidad: ¿cabe en una sesión segura? No → plan por etapas con hitos y cuidados intermedios (CO-10).</w:t>
      </w:r>
    </w:p>
    <w:p>
      <w:pPr>
        <w:pStyle w:val="Heading2"/>
      </w:pPr>
      <w:r>
        <w:t xml:space="preserve">7.3 Salidas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 razonamiento visible: niveles a mover, fondo esperado, neutralización elegida — la estilista ve el porqué, no solo el qué.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Fórmula esquemática en la notación de la marca cargada + proporción + volumen + tiempo de la carta.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Advertencias activas (porosidad, canas resistentes, multi-sesión) y la checklist de seguridad por confirmar.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Registro automático en el historial al confirmar el servicio: fórmula, proceso y foto del resultado.</w:t>
      </w:r>
    </w:p>
    <w:p>
      <w:pPr>
        <w:spacing w:after="200"/>
      </w:pPr>
    </w:p>
    <w:p>
      <w:pPr>
        <w:pStyle w:val="Heading1"/>
      </w:pPr>
      <w:r>
        <w:t xml:space="preserve">8. Casos pedagógicos resueltos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Tres razonamientos completos para validar el método. Son ejemplos didácticos: la fórmula final exacta sale siempre de la carta de la marca cargada.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1 · De base 6 natural a rubio claro frío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Situación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Clienta nivel 6 natural, sin química previa, porosidad media, elasticidad buena. Quiere un rubio claro frío (objetivo nivel 8, temperatura fría).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Razonamiento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Vía tinte (no hay artificial). Distancia: 6 → 8 = 2 niveles → oxidante de 30 vol según tabla de marca (o 20 vol si la línea aclara 2 con ese volumen). Fondo de aclaración en nivel 8: amarillo → lo neutraliza el violeta (.2) o azul-violeta según carta.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Resultado esquemático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Fórmula tipo 8.2 (o 8.21) con el oxidante indicado por la marca para 2 niveles. Expectativa: rubio claro perlado, sin amarillo.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Advertencias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Porosidad media: tiempos completos de carta. Revisión de matiz a las 3–4 semanas si el agua de la zona es dura (la lógica de C-02 de la Entrega 2 aplica también a rubios fríos).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2 · Cobertura de 70 % de canas en su mismo nivel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Situación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Clienta base 5 con 70 % de canas (módulo de la Entrega 2 activo), quiere verse de su castaño claro natural, cálido suave.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Razonamiento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hay niveles que mover: la misión es cubrir. Con 70 % de canas, la base natural domina la fórmula (CO-05): mayoría de 5.0/5N + un acompañante cálido suave (dorado .3) para evitar un resultado plano. Oxidante de 20 vol: el estándar de cobertura.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Resultado esquemático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Mezcla mayoritaria de base 5 natural + toque de 5.3, proporciones según la regla de canas de la marca cargada; 20 vol; tiempo completo de carta (la cana resistente no perdona pausas cortas).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Advertencias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Canas marcadas “resistentes” en el diagnóstico → nota de pre-pigmentación o mordentado según la marca. Conexión con C-06: este perfil necesita el cronograma de cuidado del cabello teñido maduro.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3 · Teñida de 4 que quiere un 7 (la sesión honesta)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Situación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Clienta con tinte nivel 4 en todo el largo, raíz natural 5, porosidad alta en puntas, elasticidad media. Quiere un nivel 7 cálido.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Razonamiento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CO-01 manda: el tinte no aclara tinte → la vía para el largo es decapado/decoloración, con guardarraíles: elasticidad media permite proceder con cautela; porosidad alta en puntas exige protección y tiempos vigilados. La raíz natural 5 sí puede subir con tinte. Probablemente plan de 1–2 sesiones según respuesta del mechón (CO-08 y CO-10).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Resultado esquemático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Sesión 1: prueba de mechón → decapado/decoloración controlada del largo hasta fondo anaranjado-amarillento (nivel ~7) → tinte 7 cálido aprovechando el fondo (CO-04), unificando con la raíz elevada 2 niveles. Si el mechón sufre: plan de 2 sesiones con REP-1 intermedio.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Advertencias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Checklist de decoloración completa (sección 5). Expectativa explícita a la clienta ANTES de empezar: posible plan por etapas, costo y cuidados. El “no hoy, sí bien” es política Velli.</w:t>
            </w:r>
          </w:p>
        </w:tc>
      </w:tr>
    </w:tbl>
    <w:p>
      <w:pPr>
        <w:spacing w:after="260"/>
      </w:pPr>
    </w:p>
    <w:p>
      <w:r>
        <w:br w:type="page"/>
      </w:r>
    </w:p>
    <w:p>
      <w:pPr>
        <w:pStyle w:val="Heading1"/>
      </w:pPr>
      <w:r>
        <w:t xml:space="preserve">9. Preguntas abiertas para Keila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Ocho decisiones de esta entrega: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Marcas: ¿cuáles maneja o quiere soportar KEYSHOP primero? Define las primeras cartas técnicas a cargar al panel (sugerencia: arrancar con 1–2 marcas bien cargadas antes que 5 a medias).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Gobernanza de cartas: ¿quién carga y certifica cada carta técnica (fecha, versión, fuente)? Propuesta: solo cuentas fundadoras, con doble revisión.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Consentimiento informado digital para procesos químicos (decoloración en particular), con registro de la prueba de sensibilidad en el historial: ¿lo construimos? Redacción tuya, firma en la app.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Nivel de autoridad de la calculadora: ¿muestra “fórmula sugerida” completa o “guía de razonamiento” y la estilista compone? Decisión con peso jurídico además de pedagógico.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Prueba de sensibilidad: ¿la app debe BLOQUEAR el registro de un servicio de color si no hay parche registrado en la ventana del fabricante para clienta nueva, o solo advertir con confirmación explícita?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Escalas: validar la tabla de fondo de aclaración (3.2) y los pares de neutralización contra la escuela que tú enseñas; ajustar nombres de matices a tu vocabulario de cabina.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Gating comercial: la colorimetría con IA está prometida en el plan Pro+IA. ¿La calculadora manual entra en el plan Pro y el análisis por foto queda exclusivo del Pro+IA? Confirmar la línea.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Cortes y rostro: el otro módulo de Fase 3 (catálogo de cortes con recomendación por forma de rostro) ¿lo preparamos como Entrega 4 o esperamos a validar colorimetría primero?</w:t>
      </w:r>
    </w:p>
    <w:p>
      <w:pPr>
        <w:spacing w:after="200"/>
      </w:pPr>
    </w:p>
    <w:p>
      <w:pPr>
        <w:spacing w:after="140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Con esta entrega, la serie de conocimiento cubre las Fases 2 y 3 del documento maestro en su frente de contenido. Lo que sigue depende de la validación: cargar lo aprobado al panel y, si se confirma, la Entrega 4 (catálogo de cortes).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8"/>
        <w:szCs w:val="18"/>
      </w:rPr>
      <w:t xml:space="preserve">Velli · Base de Conocimiento Capilar · Entrega 3 · Borrador v0.1 · Confidencial — Página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5A27" w:sz="6" w:space="4"/>
      </w:pBdr>
      <w:spacing w:after="200" w:before="280"/>
      <w:outlineLvl w:val="0"/>
    </w:pPr>
    <w:rPr>
      <w:rFonts w:ascii="Arial" w:cs="Arial" w:eastAsia="Arial" w:hAnsi="Arial"/>
      <w:b/>
      <w:bCs/>
      <w:color w:val="1A2E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color w:val="1A2E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5A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2026-06-12T13:07:32.878Z</dcterms:created>
  <dcterms:modified xsi:type="dcterms:W3CDTF">2026-06-12T13:07:32.878Z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