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GBP Reviews Pipeline</w:t>
      </w:r>
    </w:p>
    <w:p>
      <w:pPr>
        <w:jc w:val="center"/>
      </w:pPr>
      <w:r>
        <w:rPr>
          <w:color w:val="666666"/>
          <w:sz w:val="28"/>
        </w:rPr>
        <w:t>Project Summary &amp; Status</w:t>
      </w:r>
    </w:p>
    <w:p/>
    <w:p>
      <w:pPr>
        <w:pStyle w:val="Heading1"/>
      </w:pPr>
      <w:r>
        <w:t>What's Been Built</w:t>
      </w:r>
    </w:p>
    <w:p>
      <w:r>
        <w:t>An automated system that collects Google Business Profile reviews across 5 brands and 44 stores, computes performance metrics, and delivers them in two ways:</w:t>
      </w:r>
    </w:p>
    <w:p>
      <w:pPr>
        <w:pStyle w:val="Heading2"/>
      </w:pPr>
      <w:r>
        <w:t>1. Google Sheets (Active)</w:t>
      </w:r>
    </w:p>
    <w:p>
      <w:pPr>
        <w:pStyle w:val="ListBullet"/>
      </w:pPr>
      <w:r>
        <w:t>Online Reviews 2025/2026 tabs — monthly review counts, averages, and star breakdowns per store</w:t>
      </w:r>
    </w:p>
    <w:p>
      <w:pPr>
        <w:pStyle w:val="ListBullet"/>
      </w:pPr>
      <w:r>
        <w:t>Monthly 5★/1★ counts and percentages per month (48 formula columns per year tab)</w:t>
      </w:r>
    </w:p>
    <w:p>
      <w:pPr>
        <w:pStyle w:val="ListBullet"/>
      </w:pPr>
      <w:r>
        <w:t>MOM Shift column — month-over-month average rating change per store</w:t>
      </w:r>
    </w:p>
    <w:p>
      <w:pPr>
        <w:pStyle w:val="ListBullet"/>
      </w:pPr>
      <w:r>
        <w:t>% of stores above 4.5 summary metric (auto-calculated)</w:t>
      </w:r>
    </w:p>
    <w:p>
      <w:pPr>
        <w:pStyle w:val="ListBullet"/>
      </w:pPr>
      <w:r>
        <w:t>Weekly Report tab — per-store weekly metrics with separate Year, Month, and Week columns plus auto-filter dropdowns on every column</w:t>
      </w:r>
    </w:p>
    <w:p>
      <w:pPr>
        <w:pStyle w:val="ListBullet"/>
      </w:pPr>
      <w:r>
        <w:t>All Reviews tab — every review with date, rating, review text, owner response, and a manual Notes column</w:t>
      </w:r>
    </w:p>
    <w:p>
      <w:pPr>
        <w:pStyle w:val="ListBullet"/>
      </w:pPr>
      <w:r>
        <w:t>Needs Attention tab — filtered view of 1★ and 2★ reviews for fast action</w:t>
      </w:r>
    </w:p>
    <w:p>
      <w:pPr>
        <w:pStyle w:val="Heading2"/>
      </w:pPr>
      <w:r>
        <w:t>2. Interactive Dashboard (5 Pages)</w:t>
      </w:r>
    </w:p>
    <w:p>
      <w:pPr>
        <w:pStyle w:val="ListBullet"/>
      </w:pPr>
      <w:r>
        <w:rPr>
          <w:b/>
        </w:rPr>
        <w:t xml:space="preserve">Executive Overview — </w:t>
      </w:r>
      <w:r>
        <w:t>KPI scorecards (Total Stores, Avg Rating, Total Reviews, 5★ %, % Above 4.5, Response Rate), brand comparison charts, star distribution donut, response rate bar chart, and full Store Performance table with MOM Shift column, monthly star toggles, column visibility controls, and CSV export</w:t>
      </w:r>
    </w:p>
    <w:p>
      <w:pPr>
        <w:pStyle w:val="ListBullet"/>
      </w:pPr>
      <w:r>
        <w:rPr>
          <w:b/>
        </w:rPr>
        <w:t xml:space="preserve">Weekly Report — </w:t>
      </w:r>
      <w:r>
        <w:t>Date range picker, brand multiselect, store multiselect, min reviews filter, per-store table with weekly count, avg rating, 5★/1★ counts/%, MTD avg, MTD count, 4 KPI cards, and CSV export</w:t>
      </w:r>
    </w:p>
    <w:p>
      <w:pPr>
        <w:pStyle w:val="ListBullet"/>
      </w:pPr>
      <w:r>
        <w:rPr>
          <w:b/>
        </w:rPr>
        <w:t xml:space="preserve">Monthly Report — </w:t>
      </w:r>
      <w:r>
        <w:t>Year/month pickers, brand/store multiselects, per-store table with color-coded MOM shift (green = positive, red = negative), 5★/1★ breakdowns, 4 KPI cards, and CSV export</w:t>
      </w:r>
    </w:p>
    <w:p>
      <w:pPr>
        <w:pStyle w:val="ListBullet"/>
      </w:pPr>
      <w:r>
        <w:rPr>
          <w:b/>
        </w:rPr>
        <w:t xml:space="preserve">All Reviews — </w:t>
      </w:r>
      <w:r>
        <w:t>Searchable review browser with date, brand, store, rating, review text, and response status</w:t>
      </w:r>
    </w:p>
    <w:p>
      <w:pPr>
        <w:pStyle w:val="ListBullet"/>
      </w:pPr>
      <w:r>
        <w:rPr>
          <w:b/>
        </w:rPr>
        <w:t xml:space="preserve">Needs Attention — </w:t>
      </w:r>
      <w:r>
        <w:t>Focus view for 1★/2★ reviews with response tracking, unresponded reviews counter, and urgency-based formatting</w:t>
      </w:r>
    </w:p>
    <w:p>
      <w:pPr>
        <w:pStyle w:val="Heading1"/>
      </w:pPr>
      <w:r>
        <w:t>How It Works</w:t>
      </w:r>
    </w:p>
    <w:p>
      <w:r>
        <w:t>1. Outscraper API scrapes all Google reviews for 44 store locations</w:t>
      </w:r>
    </w:p>
    <w:p>
      <w:r>
        <w:t>2. New reviews are stored in a local SQLite database (incremental — only new reviews are fetched each run)</w:t>
      </w:r>
    </w:p>
    <w:p>
      <w:r>
        <w:t>3. Reviews are pushed to Google Sheet tabs: All Reviews, Needs Attention, Weekly Report</w:t>
      </w:r>
    </w:p>
    <w:p>
      <w:r>
        <w:t>4. The Online Reviews 2026 tab auto-recalculates via built-in COUNTIFS/AVERAGEIFS formulas — no data is overwritten</w:t>
      </w:r>
    </w:p>
    <w:p>
      <w:r>
        <w:t>5. The dashboard reads from the same database and shows live metrics</w:t>
      </w:r>
    </w:p>
    <w:p/>
    <w:p>
      <w:r>
        <w:rPr>
          <w:b/>
        </w:rPr>
        <w:t>Update Schedule:</w:t>
      </w:r>
    </w:p>
    <w:p>
      <w:pPr>
        <w:pStyle w:val="ListBullet"/>
      </w:pPr>
      <w:r>
        <w:t>Weekly (every Monday) — syncs new reviews, updates All Reviews, Needs Attention, and Weekly Report tabs</w:t>
      </w:r>
    </w:p>
    <w:p>
      <w:pPr>
        <w:pStyle w:val="ListBullet"/>
      </w:pPr>
      <w:r>
        <w:t>Monthly (1st of each month) — full formula refresh including MOM shift recalculation and star breakdowns</w:t>
      </w:r>
    </w:p>
    <w:p>
      <w:pPr>
        <w:pStyle w:val="ListBullet"/>
      </w:pPr>
      <w:r>
        <w:t>Both run automatically with no manual action required</w:t>
      </w:r>
    </w:p>
    <w:p>
      <w:pPr>
        <w:pStyle w:val="Heading1"/>
      </w:pPr>
      <w:r>
        <w:t>Deployment Options for Dashboard Access</w:t>
      </w:r>
    </w:p>
    <w:tbl>
      <w:tblPr>
        <w:tblStyle w:val="LightShading-Accent1"/>
        <w:tblW w:type="auto" w:w="0"/>
        <w:tblLook w:firstColumn="1" w:firstRow="1" w:lastColumn="0" w:lastRow="0" w:noHBand="0" w:noVBand="1" w:val="04A0"/>
      </w:tblPr>
      <w:tblGrid>
        <w:gridCol w:w="2160"/>
        <w:gridCol w:w="7200"/>
      </w:tblGrid>
      <w:tr>
        <w:tc>
          <w:tcPr>
            <w:tcW w:type="dxa" w:w="4320"/>
          </w:tcPr>
          <w:p>
            <w:r>
              <w:rPr>
                <w:b/>
              </w:rPr>
              <w:t>Option</w:t>
            </w:r>
          </w:p>
        </w:tc>
        <w:tc>
          <w:tcPr>
            <w:tcW w:type="dxa" w:w="4320"/>
          </w:tcPr>
          <w:p>
            <w:r>
              <w:rPr>
                <w:b/>
              </w:rPr>
              <w:t>Description</w:t>
            </w:r>
          </w:p>
        </w:tc>
      </w:tr>
      <w:tr>
        <w:tc>
          <w:tcPr>
            <w:tcW w:type="dxa" w:w="4320"/>
          </w:tcPr>
          <w:p>
            <w:r>
              <w:t>A — Sheets Only</w:t>
            </w:r>
          </w:p>
        </w:tc>
        <w:tc>
          <w:tcPr>
            <w:tcW w:type="dxa" w:w="4320"/>
          </w:tcPr>
          <w:p>
            <w:r>
              <w:t>No dashboard. The Sheet continues to update automatically via the pipeline.</w:t>
            </w:r>
          </w:p>
        </w:tc>
      </w:tr>
      <w:tr>
        <w:tc>
          <w:tcPr>
            <w:tcW w:type="dxa" w:w="4320"/>
          </w:tcPr>
          <w:p>
            <w:r>
              <w:t>B — Streamlit Cloud ✓</w:t>
            </w:r>
          </w:p>
        </w:tc>
        <w:tc>
          <w:tcPr>
            <w:tcW w:type="dxa" w:w="4320"/>
          </w:tcPr>
          <w:p>
            <w:r>
              <w:t>Free hosted dashboard. Private URL for browser access anytime. Recommended.</w:t>
            </w:r>
          </w:p>
        </w:tc>
      </w:tr>
      <w:tr>
        <w:tc>
          <w:tcPr>
            <w:tcW w:type="dxa" w:w="4320"/>
          </w:tcPr>
          <w:p>
            <w:r>
              <w:t>C — Managed Cloud</w:t>
            </w:r>
          </w:p>
        </w:tc>
        <w:tc>
          <w:tcPr>
            <w:tcW w:type="dxa" w:w="4320"/>
          </w:tcPr>
          <w:p>
            <w:r>
              <w:t>Always-on deployment with persistent database, custom domain, and password protection.</w:t>
            </w:r>
          </w:p>
        </w:tc>
      </w:tr>
      <w:tr>
        <w:tc>
          <w:tcPr>
            <w:tcW w:type="dxa" w:w="4320"/>
          </w:tcPr>
          <w:p>
            <w:r>
              <w:t>D — Enterprise</w:t>
            </w:r>
          </w:p>
        </w:tc>
        <w:tc>
          <w:tcPr>
            <w:tcW w:type="dxa" w:w="4320"/>
          </w:tcPr>
          <w:p>
            <w:r>
              <w:t>Full deployment on AWS/GCP/Azure with user authentication, backups, and custom branding.</w:t>
            </w:r>
          </w:p>
        </w:tc>
      </w:tr>
    </w:tbl>
    <w:p>
      <w:pPr>
        <w:pStyle w:val="Heading1"/>
      </w:pPr>
      <w:r>
        <w:t>What Happens After Handover</w:t>
      </w:r>
    </w:p>
    <w:tbl>
      <w:tblPr>
        <w:tblStyle w:val="LightShading-Accent1"/>
        <w:tblW w:type="auto" w:w="0"/>
        <w:tblLook w:firstColumn="1" w:firstRow="1" w:lastColumn="0" w:lastRow="0" w:noHBand="0" w:noVBand="1" w:val="04A0"/>
      </w:tblPr>
      <w:tblGrid>
        <w:gridCol w:w="3600"/>
        <w:gridCol w:w="5760"/>
      </w:tblGrid>
      <w:tr>
        <w:tc>
          <w:tcPr>
            <w:tcW w:type="dxa" w:w="4320"/>
          </w:tcPr>
          <w:p>
            <w:r>
              <w:rPr>
                <w:b/>
              </w:rPr>
              <w:t>What</w:t>
            </w:r>
          </w:p>
        </w:tc>
        <w:tc>
          <w:tcPr>
            <w:tcW w:type="dxa" w:w="4320"/>
          </w:tcPr>
          <w:p>
            <w:r>
              <w:rPr>
                <w:b/>
              </w:rPr>
              <w:t>How</w:t>
            </w:r>
          </w:p>
        </w:tc>
      </w:tr>
      <w:tr>
        <w:tc>
          <w:tcPr>
            <w:tcW w:type="dxa" w:w="4320"/>
          </w:tcPr>
          <w:p>
            <w:r>
              <w:t>Weekly review sync</w:t>
            </w:r>
          </w:p>
        </w:tc>
        <w:tc>
          <w:tcPr>
            <w:tcW w:type="dxa" w:w="4320"/>
          </w:tcPr>
          <w:p>
            <w:r>
              <w:t>Runs automatically every Monday — no action needed</w:t>
            </w:r>
          </w:p>
        </w:tc>
      </w:tr>
      <w:tr>
        <w:tc>
          <w:tcPr>
            <w:tcW w:type="dxa" w:w="4320"/>
          </w:tcPr>
          <w:p>
            <w:r>
              <w:t>Monthly report</w:t>
            </w:r>
          </w:p>
        </w:tc>
        <w:tc>
          <w:tcPr>
            <w:tcW w:type="dxa" w:w="4320"/>
          </w:tcPr>
          <w:p>
            <w:r>
              <w:t>Runs automatically on the 1st — no action needed</w:t>
            </w:r>
          </w:p>
        </w:tc>
      </w:tr>
      <w:tr>
        <w:tc>
          <w:tcPr>
            <w:tcW w:type="dxa" w:w="4320"/>
          </w:tcPr>
          <w:p>
            <w:r>
              <w:t>Dashboard access</w:t>
            </w:r>
          </w:p>
        </w:tc>
        <w:tc>
          <w:tcPr>
            <w:tcW w:type="dxa" w:w="4320"/>
          </w:tcPr>
          <w:p>
            <w:r>
              <w:t>Open the URL anytime to see current data</w:t>
            </w:r>
          </w:p>
        </w:tc>
      </w:tr>
      <w:tr>
        <w:tc>
          <w:tcPr>
            <w:tcW w:type="dxa" w:w="4320"/>
          </w:tcPr>
          <w:p>
            <w:r>
              <w:t>Google Sheet</w:t>
            </w:r>
          </w:p>
        </w:tc>
        <w:tc>
          <w:tcPr>
            <w:tcW w:type="dxa" w:w="4320"/>
          </w:tcPr>
          <w:p>
            <w:r>
              <w:t>Updates automatically after each sync</w:t>
            </w:r>
          </w:p>
        </w:tc>
      </w:tr>
      <w:tr>
        <w:tc>
          <w:tcPr>
            <w:tcW w:type="dxa" w:w="4320"/>
          </w:tcPr>
          <w:p>
            <w:r>
              <w:t>Adding/removing stores</w:t>
            </w:r>
          </w:p>
        </w:tc>
        <w:tc>
          <w:tcPr>
            <w:tcW w:type="dxa" w:w="4320"/>
          </w:tcPr>
          <w:p>
            <w:r>
              <w:t>Contact us to update the configuration</w:t>
            </w:r>
          </w:p>
        </w:tc>
      </w:tr>
    </w:tbl>
    <w:p>
      <w:pPr>
        <w:pStyle w:val="Heading1"/>
      </w:pPr>
      <w:r>
        <w:t>Phase 2 Enhancements (Available on Request)</w:t>
      </w:r>
    </w:p>
    <w:tbl>
      <w:tblPr>
        <w:tblStyle w:val="LightShading-Accent1"/>
        <w:tblW w:type="auto" w:w="0"/>
        <w:tblLook w:firstColumn="1" w:firstRow="1" w:lastColumn="0" w:lastRow="0" w:noHBand="0" w:noVBand="1" w:val="04A0"/>
      </w:tblPr>
      <w:tblGrid>
        <w:gridCol w:w="3600"/>
        <w:gridCol w:w="5760"/>
      </w:tblGrid>
      <w:tr>
        <w:tc>
          <w:tcPr>
            <w:tcW w:type="dxa" w:w="4320"/>
          </w:tcPr>
          <w:p>
            <w:r>
              <w:rPr>
                <w:b/>
              </w:rPr>
              <w:t>Enhancement</w:t>
            </w:r>
          </w:p>
        </w:tc>
        <w:tc>
          <w:tcPr>
            <w:tcW w:type="dxa" w:w="4320"/>
          </w:tcPr>
          <w:p>
            <w:r>
              <w:rPr>
                <w:b/>
              </w:rPr>
              <w:t>Description</w:t>
            </w:r>
          </w:p>
        </w:tc>
      </w:tr>
      <w:tr>
        <w:tc>
          <w:tcPr>
            <w:tcW w:type="dxa" w:w="4320"/>
          </w:tcPr>
          <w:p>
            <w:r>
              <w:t>Cloud dashboard deployment</w:t>
            </w:r>
          </w:p>
        </w:tc>
        <w:tc>
          <w:tcPr>
            <w:tcW w:type="dxa" w:w="4320"/>
          </w:tcPr>
          <w:p>
            <w:r>
              <w:t>Deploy to Streamlit Cloud or managed hosting for team-wide access</w:t>
            </w:r>
          </w:p>
        </w:tc>
      </w:tr>
      <w:tr>
        <w:tc>
          <w:tcPr>
            <w:tcW w:type="dxa" w:w="4320"/>
          </w:tcPr>
          <w:p>
            <w:r>
              <w:t>Alerting</w:t>
            </w:r>
          </w:p>
        </w:tc>
        <w:tc>
          <w:tcPr>
            <w:tcW w:type="dxa" w:w="4320"/>
          </w:tcPr>
          <w:p>
            <w:r>
              <w:t>Email or Slack notification when a 1★ review is received</w:t>
            </w:r>
          </w:p>
        </w:tc>
      </w:tr>
      <w:tr>
        <w:tc>
          <w:tcPr>
            <w:tcW w:type="dxa" w:w="4320"/>
          </w:tcPr>
          <w:p>
            <w:r>
              <w:t>Rolling averages</w:t>
            </w:r>
          </w:p>
        </w:tc>
        <w:tc>
          <w:tcPr>
            <w:tcW w:type="dxa" w:w="4320"/>
          </w:tcPr>
          <w:p>
            <w:r>
              <w:t>Trend detection with rolling averages and anomaly alerts</w:t>
            </w:r>
          </w:p>
        </w:tc>
      </w:tr>
      <w:tr>
        <w:tc>
          <w:tcPr>
            <w:tcW w:type="dxa" w:w="4320"/>
          </w:tcPr>
          <w:p>
            <w:r>
              <w:t>Response tracking</w:t>
            </w:r>
          </w:p>
        </w:tc>
        <w:tc>
          <w:tcPr>
            <w:tcW w:type="dxa" w:w="4320"/>
          </w:tcPr>
          <w:p>
            <w:r>
              <w:t>Track owner response rate improvements over time</w:t>
            </w:r>
          </w:p>
        </w:tc>
      </w:tr>
      <w:tr>
        <w:tc>
          <w:tcPr>
            <w:tcW w:type="dxa" w:w="4320"/>
          </w:tcPr>
          <w:p>
            <w:r>
              <w:t>Multi-year comparison</w:t>
            </w:r>
          </w:p>
        </w:tc>
        <w:tc>
          <w:tcPr>
            <w:tcW w:type="dxa" w:w="4320"/>
          </w:tcPr>
          <w:p>
            <w:r>
              <w:t>Side-by-side 2025 vs 2026 performance charts</w:t>
            </w:r>
          </w:p>
        </w:tc>
      </w:tr>
      <w:tr>
        <w:tc>
          <w:tcPr>
            <w:tcW w:type="dxa" w:w="4320"/>
          </w:tcPr>
          <w:p>
            <w:r>
              <w:t>Automated emails</w:t>
            </w:r>
          </w:p>
        </w:tc>
        <w:tc>
          <w:tcPr>
            <w:tcW w:type="dxa" w:w="4320"/>
          </w:tcPr>
          <w:p>
            <w:r>
              <w:t>Formatted weekly summary email sent to stakeholders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