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DE63" w14:textId="77777777" w:rsidR="00AC798D" w:rsidRDefault="00AC798D" w:rsidP="00AC798D">
      <w:pPr>
        <w:jc w:val="center"/>
      </w:pPr>
      <w:r>
        <w:t>**********</w:t>
      </w:r>
    </w:p>
    <w:p w14:paraId="106242A0" w14:textId="2A81DD61" w:rsidR="00AC798D" w:rsidRDefault="00AC798D" w:rsidP="00AC798D">
      <w:pPr>
        <w:jc w:val="center"/>
      </w:pPr>
      <w:r>
        <w:t>Country level file</w:t>
      </w:r>
    </w:p>
    <w:p w14:paraId="24E32ED3" w14:textId="7DB555FB" w:rsidR="00AC798D" w:rsidRDefault="00AC798D" w:rsidP="00AC798D">
      <w:pPr>
        <w:jc w:val="center"/>
      </w:pPr>
      <w:r>
        <w:t>Emigration and immigration rates 2000, 2010 and 2020</w:t>
      </w:r>
    </w:p>
    <w:p w14:paraId="24A2B29E" w14:textId="77777777" w:rsidR="00AC798D" w:rsidRDefault="00AC798D" w:rsidP="00AC798D">
      <w:pPr>
        <w:jc w:val="center"/>
      </w:pPr>
      <w:r>
        <w:t>Code edited for WDR by Narcisse Cha’ngom</w:t>
      </w:r>
    </w:p>
    <w:p w14:paraId="10AB1D9C" w14:textId="77777777" w:rsidR="00AC798D" w:rsidRDefault="00AC798D" w:rsidP="00AC798D">
      <w:pPr>
        <w:jc w:val="center"/>
      </w:pPr>
      <w:r>
        <w:t>**********</w:t>
      </w:r>
    </w:p>
    <w:p w14:paraId="0F9BA4B8" w14:textId="77777777" w:rsidR="00AC798D" w:rsidRDefault="00AC798D" w:rsidP="00AC798D">
      <w:r>
        <w:t>Data Files</w:t>
      </w:r>
    </w:p>
    <w:p w14:paraId="23F19EA9" w14:textId="1BCC9560" w:rsidR="00651929" w:rsidRDefault="00AC798D" w:rsidP="00AC798D">
      <w:r>
        <w:t>The final datafile named “</w:t>
      </w:r>
      <w:r w:rsidRPr="00AC798D">
        <w:rPr>
          <w:color w:val="FF0000"/>
        </w:rPr>
        <w:t>e</w:t>
      </w:r>
      <w:r w:rsidRPr="00AC798D">
        <w:rPr>
          <w:color w:val="FF0000"/>
        </w:rPr>
        <w:t>migration</w:t>
      </w:r>
      <w:r w:rsidRPr="00AC798D">
        <w:rPr>
          <w:color w:val="FF0000"/>
        </w:rPr>
        <w:t>-</w:t>
      </w:r>
      <w:r w:rsidRPr="00AC798D">
        <w:rPr>
          <w:color w:val="FF0000"/>
        </w:rPr>
        <w:t>immigration</w:t>
      </w:r>
      <w:r w:rsidRPr="00AC798D">
        <w:rPr>
          <w:color w:val="FF0000"/>
        </w:rPr>
        <w:t>-</w:t>
      </w:r>
      <w:r w:rsidRPr="00AC798D">
        <w:rPr>
          <w:color w:val="FF0000"/>
        </w:rPr>
        <w:t>rates</w:t>
      </w:r>
      <w:r>
        <w:rPr>
          <w:color w:val="FF0000"/>
        </w:rPr>
        <w:t>.xlsx</w:t>
      </w:r>
      <w:r>
        <w:t xml:space="preserve">” reports </w:t>
      </w:r>
      <w:r>
        <w:t xml:space="preserve">at country level </w:t>
      </w:r>
      <w:r w:rsidR="00651929">
        <w:t xml:space="preserve">the total number of emigrants and immigrants by gender and education level. This </w:t>
      </w:r>
      <w:r w:rsidR="00AF1E62">
        <w:t xml:space="preserve">dataset is restricted to foreign born population aged 15+ and thus disregards </w:t>
      </w:r>
      <w:r w:rsidR="00AD0899">
        <w:t>children</w:t>
      </w:r>
      <w:r w:rsidR="00AF1E62">
        <w:t>.</w:t>
      </w:r>
    </w:p>
    <w:p w14:paraId="198C3EAF" w14:textId="06B44212" w:rsidR="00AD0899" w:rsidRDefault="00E03456" w:rsidP="00AC798D">
      <w:r w:rsidRPr="00E03456">
        <w:rPr>
          <w:b/>
          <w:bCs/>
          <w:i/>
          <w:iCs/>
        </w:rPr>
        <w:t>Important n</w:t>
      </w:r>
      <w:r w:rsidR="00AD0899" w:rsidRPr="00E03456">
        <w:rPr>
          <w:b/>
          <w:bCs/>
          <w:i/>
          <w:iCs/>
        </w:rPr>
        <w:t>ote</w:t>
      </w:r>
      <w:r w:rsidR="00AD0899">
        <w:t xml:space="preserve">: </w:t>
      </w:r>
      <w:r w:rsidR="00337EFF">
        <w:t xml:space="preserve">In 2020, there is </w:t>
      </w:r>
      <w:r w:rsidR="003E6817">
        <w:t>5.7 million more immigrants than emigrants.</w:t>
      </w:r>
      <w:r w:rsidR="008B6061">
        <w:t xml:space="preserve"> This is solely due to the stateless who reside in well specified destination countries </w:t>
      </w:r>
      <w:r w:rsidR="00DF5A29">
        <w:t xml:space="preserve">but do not have a specified origin </w:t>
      </w:r>
      <w:r w:rsidR="006733AA">
        <w:t>country</w:t>
      </w:r>
      <w:r w:rsidR="00DF5A29">
        <w:t xml:space="preserve">. So, they appear </w:t>
      </w:r>
      <w:r w:rsidR="006733AA">
        <w:t>in the destination, but not at the origin</w:t>
      </w:r>
      <w:r w:rsidR="003E6817">
        <w:t>.</w:t>
      </w:r>
      <w:r w:rsidR="006733AA">
        <w:t xml:space="preserve"> The way we circumvent </w:t>
      </w:r>
      <w:r w:rsidR="005122AB">
        <w:t>this issue</w:t>
      </w:r>
      <w:r w:rsidR="006733AA">
        <w:t xml:space="preserve"> in the bilateral migration matrix has been to create a residual origin country called </w:t>
      </w:r>
      <w:r w:rsidR="00564B5B">
        <w:t>“</w:t>
      </w:r>
      <w:r w:rsidR="00564B5B" w:rsidRPr="00564B5B">
        <w:rPr>
          <w:color w:val="FF0000"/>
        </w:rPr>
        <w:t>Other</w:t>
      </w:r>
      <w:r w:rsidR="00564B5B">
        <w:t>” to which we attributed them.</w:t>
      </w:r>
      <w:r w:rsidR="007E5BE1">
        <w:t xml:space="preserve"> Given the primary purpose of country level datafile, </w:t>
      </w:r>
      <w:r>
        <w:t>i.e.,</w:t>
      </w:r>
      <w:r w:rsidR="007E5BE1">
        <w:t xml:space="preserve"> calculate migration rates, </w:t>
      </w:r>
      <w:r w:rsidR="00C8385D">
        <w:t>we decided not to create an origin country called “</w:t>
      </w:r>
      <w:r w:rsidR="00C8385D" w:rsidRPr="00C8385D">
        <w:rPr>
          <w:color w:val="FF0000"/>
        </w:rPr>
        <w:t>Other</w:t>
      </w:r>
      <w:r w:rsidR="00C8385D">
        <w:t>”</w:t>
      </w:r>
      <w:r w:rsidR="00F859C9">
        <w:t xml:space="preserve"> as a population size cannot be attributed to it and consequently </w:t>
      </w:r>
      <w:r>
        <w:t>emigration rates could not be calculated.</w:t>
      </w:r>
    </w:p>
    <w:p w14:paraId="7929C4AA" w14:textId="77777777" w:rsidR="00AC798D" w:rsidRDefault="00AC798D" w:rsidP="00AC798D"/>
    <w:p w14:paraId="526AA1D2" w14:textId="77777777" w:rsidR="00AC798D" w:rsidRDefault="00AC798D" w:rsidP="00AC798D">
      <w:r>
        <w:t xml:space="preserve">Data are combined in the following way: </w:t>
      </w:r>
    </w:p>
    <w:p w14:paraId="1BF411B3" w14:textId="2DA5D1C0" w:rsidR="005776B6" w:rsidRDefault="004D5CEA" w:rsidP="00AC798D">
      <w:pPr>
        <w:pStyle w:val="ListParagraph"/>
        <w:numPr>
          <w:ilvl w:val="0"/>
          <w:numId w:val="1"/>
        </w:numPr>
      </w:pPr>
      <w:r>
        <w:t xml:space="preserve">The first step consists of collecting human capital data </w:t>
      </w:r>
      <w:r w:rsidR="005776B6">
        <w:t xml:space="preserve">for 2000, 2010 and 2020. The </w:t>
      </w:r>
      <w:r w:rsidR="00E80C7B">
        <w:t xml:space="preserve">benchmark data source for human capital (i.e. the </w:t>
      </w:r>
      <w:r w:rsidR="00A2432F">
        <w:t xml:space="preserve">gender specific </w:t>
      </w:r>
      <w:r w:rsidR="00E80C7B">
        <w:t xml:space="preserve">proportion </w:t>
      </w:r>
      <w:r w:rsidR="00A2432F">
        <w:t>of tertiary educated in the population aged 15+</w:t>
      </w:r>
      <w:r w:rsidR="00E80C7B">
        <w:t>)</w:t>
      </w:r>
      <w:r w:rsidR="004A4D45">
        <w:t xml:space="preserve"> is Barro and Lee dataset</w:t>
      </w:r>
      <w:r w:rsidR="00A2432F">
        <w:t>. But as for 2020, Ba</w:t>
      </w:r>
      <w:r w:rsidR="004A4D45">
        <w:t xml:space="preserve">rro and Lee </w:t>
      </w:r>
      <w:r w:rsidR="006921CB">
        <w:t>do</w:t>
      </w:r>
      <w:r w:rsidR="004A4D45">
        <w:t xml:space="preserve"> not exist, we retrieve human capital data </w:t>
      </w:r>
      <w:r w:rsidR="008B298C">
        <w:t xml:space="preserve">from three different sources: 2020 ACS for the US, </w:t>
      </w:r>
      <w:r w:rsidR="00DE0EF7">
        <w:t xml:space="preserve">2020 EULFS for European countries and Wittgenstein Centre </w:t>
      </w:r>
      <w:r w:rsidR="00BE3E6B">
        <w:t xml:space="preserve">for the rest of the countries. </w:t>
      </w:r>
      <w:r w:rsidR="006921CB">
        <w:t xml:space="preserve">It is worth noting that for </w:t>
      </w:r>
      <w:r w:rsidR="00AB5C38">
        <w:t>as for 2000 and 2010, Barro and Lee do not provide data for all countries in the World. So</w:t>
      </w:r>
      <w:r w:rsidR="00204131">
        <w:t>, for</w:t>
      </w:r>
      <w:r w:rsidR="00AB5C38">
        <w:t xml:space="preserve"> countries missing in Barro and Lee</w:t>
      </w:r>
      <w:r w:rsidR="00204131">
        <w:t>, we use</w:t>
      </w:r>
      <w:r w:rsidR="00193120">
        <w:t xml:space="preserve"> data from Wittgenstein Centre. </w:t>
      </w:r>
    </w:p>
    <w:p w14:paraId="14E500B7" w14:textId="77777777" w:rsidR="007F05F6" w:rsidRDefault="007F05F6" w:rsidP="007F05F6">
      <w:pPr>
        <w:pStyle w:val="ListParagraph"/>
      </w:pPr>
    </w:p>
    <w:p w14:paraId="534B76A6" w14:textId="137F20F2" w:rsidR="00414B05" w:rsidRDefault="007F05F6" w:rsidP="00AC798D">
      <w:pPr>
        <w:pStyle w:val="ListParagraph"/>
        <w:numPr>
          <w:ilvl w:val="0"/>
          <w:numId w:val="1"/>
        </w:numPr>
      </w:pPr>
      <w:r>
        <w:t xml:space="preserve">In the second step, </w:t>
      </w:r>
      <w:r w:rsidR="00D36DFA">
        <w:t xml:space="preserve">we gather data on socio-economic and demographic characteristics from </w:t>
      </w:r>
      <w:r w:rsidR="00E7631E">
        <w:t xml:space="preserve">The World Bank World Development Indicators. This </w:t>
      </w:r>
      <w:r w:rsidR="00414B05">
        <w:t>includes</w:t>
      </w:r>
      <w:r w:rsidR="00E7631E">
        <w:t xml:space="preserve"> total populati</w:t>
      </w:r>
      <w:r w:rsidR="00414B05">
        <w:t>on, adult population (15+), children (0-14)</w:t>
      </w:r>
      <w:r w:rsidR="00362E7D">
        <w:t>, income per capita</w:t>
      </w:r>
    </w:p>
    <w:p w14:paraId="11138DBB" w14:textId="77777777" w:rsidR="00414B05" w:rsidRDefault="00414B05" w:rsidP="00414B05">
      <w:pPr>
        <w:pStyle w:val="ListParagraph"/>
      </w:pPr>
    </w:p>
    <w:p w14:paraId="5FCEDD10" w14:textId="47E09833" w:rsidR="00AC798D" w:rsidRDefault="0025366B" w:rsidP="00AC798D">
      <w:pPr>
        <w:pStyle w:val="ListParagraph"/>
        <w:numPr>
          <w:ilvl w:val="0"/>
          <w:numId w:val="1"/>
        </w:numPr>
      </w:pPr>
      <w:r>
        <w:t>In the third step, we c</w:t>
      </w:r>
      <w:r w:rsidR="00B05580">
        <w:t>ombin</w:t>
      </w:r>
      <w:r>
        <w:t>e</w:t>
      </w:r>
      <w:r w:rsidR="00B05580">
        <w:t xml:space="preserve"> the first two steps allow to </w:t>
      </w:r>
      <w:r w:rsidR="00856D17">
        <w:t>compute the gender specific, education specific labor force</w:t>
      </w:r>
      <w:r w:rsidR="00AC798D">
        <w:t>.</w:t>
      </w:r>
    </w:p>
    <w:p w14:paraId="1E039E9C" w14:textId="33BD4683" w:rsidR="00AC798D" w:rsidRDefault="00257D2E" w:rsidP="00AC798D">
      <w:pPr>
        <w:pStyle w:val="ListParagraph"/>
        <w:numPr>
          <w:ilvl w:val="0"/>
          <w:numId w:val="1"/>
        </w:numPr>
      </w:pPr>
      <w:r>
        <w:t>The fourth step consists of aggregating the bilateral migration data along the dimensions described above</w:t>
      </w:r>
      <w:r w:rsidR="00E53178">
        <w:t xml:space="preserve">. The aggregation is done at origin-year level to obtain the number of emigrants by gender and education. It is then done at destination-year level to obtain the number of </w:t>
      </w:r>
      <w:r w:rsidR="00EE2683">
        <w:t>immigrants</w:t>
      </w:r>
      <w:r w:rsidR="003A4D12">
        <w:t>.</w:t>
      </w:r>
    </w:p>
    <w:p w14:paraId="5CEF129B" w14:textId="77777777" w:rsidR="003A4D12" w:rsidRDefault="003A4D12" w:rsidP="003A4D12"/>
    <w:p w14:paraId="0BE87A73" w14:textId="35F2C8A2" w:rsidR="00AC798D" w:rsidRDefault="003A4D12" w:rsidP="00AC798D">
      <w:pPr>
        <w:pStyle w:val="ListParagraph"/>
        <w:numPr>
          <w:ilvl w:val="0"/>
          <w:numId w:val="1"/>
        </w:numPr>
      </w:pPr>
      <w:r>
        <w:lastRenderedPageBreak/>
        <w:t xml:space="preserve">In the fifth step, using steps 3 and 4, we could compute the </w:t>
      </w:r>
      <w:r w:rsidR="00CA565B">
        <w:t>emigration and immigration rates as follow</w:t>
      </w:r>
      <w:r w:rsidR="00AC798D">
        <w:t>.</w:t>
      </w:r>
    </w:p>
    <w:p w14:paraId="7105AFD8" w14:textId="77777777" w:rsidR="00CA565B" w:rsidRDefault="00CA565B" w:rsidP="00CA565B">
      <w:pPr>
        <w:pStyle w:val="ListParagraph"/>
      </w:pPr>
    </w:p>
    <w:p w14:paraId="47751078" w14:textId="45558465" w:rsidR="00CA565B" w:rsidRDefault="00CA565B" w:rsidP="00CA565B">
      <w:pPr>
        <w:ind w:left="720"/>
      </w:pPr>
      <w:r>
        <w:t xml:space="preserve">5.1- </w:t>
      </w:r>
      <w:r w:rsidR="0078729D">
        <w:t>emigration rates</w:t>
      </w:r>
    </w:p>
    <w:p w14:paraId="2BADFEA3" w14:textId="5EB15E10" w:rsidR="0078729D" w:rsidRDefault="0078729D" w:rsidP="00CA565B">
      <w:pPr>
        <w:ind w:left="720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,s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</w:rPr>
              <m:t>,t</m:t>
            </m:r>
          </m:sub>
        </m:sSub>
      </m:oMath>
      <w:r w:rsidR="007271EF">
        <w:rPr>
          <w:rFonts w:eastAsiaTheme="minorEastAsia"/>
        </w:rPr>
        <w:t xml:space="preserve">be the emigration rate </w:t>
      </w:r>
      <w:r w:rsidR="00CA3A3F">
        <w:rPr>
          <w:rFonts w:eastAsiaTheme="minorEastAsia"/>
        </w:rPr>
        <w:t xml:space="preserve">in the sending country </w:t>
      </w:r>
      <m:oMath>
        <m:r>
          <w:rPr>
            <w:rFonts w:ascii="Cambria Math" w:eastAsiaTheme="minorEastAsia" w:hAnsi="Cambria Math"/>
          </w:rPr>
          <m:t xml:space="preserve">o </m:t>
        </m:r>
      </m:oMath>
      <w:r w:rsidR="002922A5">
        <w:rPr>
          <w:rFonts w:eastAsiaTheme="minorEastAsia"/>
        </w:rPr>
        <w:t>for</w:t>
      </w:r>
      <w:r w:rsidR="007271EF">
        <w:rPr>
          <w:rFonts w:eastAsiaTheme="minorEastAsia"/>
        </w:rPr>
        <w:t xml:space="preserve"> </w:t>
      </w:r>
      <w:r w:rsidR="00881212">
        <w:rPr>
          <w:rFonts w:eastAsiaTheme="minorEastAsia"/>
        </w:rPr>
        <w:t xml:space="preserve">education level </w:t>
      </w:r>
      <m:oMath>
        <m:r>
          <w:rPr>
            <w:rFonts w:ascii="Cambria Math" w:eastAsiaTheme="minorEastAsia" w:hAnsi="Cambria Math"/>
          </w:rPr>
          <m:t>s∈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h,l</m:t>
            </m:r>
          </m:e>
        </m:d>
      </m:oMath>
      <w:r w:rsidR="002922A5">
        <w:rPr>
          <w:rFonts w:eastAsiaTheme="minorEastAsia"/>
        </w:rPr>
        <w:t xml:space="preserve">, gender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4D05D0">
        <w:rPr>
          <w:rFonts w:eastAsiaTheme="minorEastAsia"/>
        </w:rPr>
        <w:t xml:space="preserve"> at the year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2000,2010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2020</m:t>
            </m:r>
          </m:e>
        </m:d>
      </m:oMath>
      <w:r w:rsidR="00874904">
        <w:rPr>
          <w:rFonts w:eastAsiaTheme="minorEastAsia"/>
        </w:rPr>
        <w:t>.</w:t>
      </w:r>
    </w:p>
    <w:p w14:paraId="24C5FA66" w14:textId="77777777" w:rsidR="00874904" w:rsidRDefault="00874904" w:rsidP="00CA565B">
      <w:pPr>
        <w:ind w:left="720"/>
        <w:rPr>
          <w:rFonts w:eastAsiaTheme="minorEastAsia"/>
        </w:rPr>
      </w:pPr>
    </w:p>
    <w:p w14:paraId="2AAE6978" w14:textId="723D335B" w:rsidR="00874904" w:rsidRPr="009D289C" w:rsidRDefault="00874904" w:rsidP="00CA565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i,s,g,t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Emigrants</m:t>
                  </m:r>
                </m:e>
                <m:sub>
                  <m:r>
                    <w:rPr>
                      <w:rFonts w:ascii="Cambria Math" w:hAnsi="Cambria Math"/>
                    </w:rPr>
                    <m:t>i,s,g,t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Emigrants</m:t>
                  </m:r>
                </m:e>
                <m:sub>
                  <m:r>
                    <w:rPr>
                      <w:rFonts w:ascii="Cambria Math" w:hAnsi="Cambria Math"/>
                    </w:rPr>
                    <m:t>i,s,g,t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Labor</m:t>
                  </m:r>
                </m:e>
                <m:sub>
                  <m:r>
                    <w:rPr>
                      <w:rFonts w:ascii="Cambria Math" w:hAnsi="Cambria Math"/>
                    </w:rPr>
                    <m:t>i,s,g,t</m:t>
                  </m:r>
                </m:sub>
              </m:sSub>
            </m:den>
          </m:f>
        </m:oMath>
      </m:oMathPara>
    </w:p>
    <w:p w14:paraId="6FF5E3E6" w14:textId="04D42213" w:rsidR="009D289C" w:rsidRDefault="009D289C" w:rsidP="00CA565B">
      <w:pPr>
        <w:ind w:left="720"/>
      </w:pPr>
      <w:r>
        <w:t>Similarly, gender specific immigration rate is obtained as:</w:t>
      </w:r>
    </w:p>
    <w:p w14:paraId="776BE6D9" w14:textId="60434196" w:rsidR="009D289C" w:rsidRPr="009D289C" w:rsidRDefault="009D289C" w:rsidP="009D289C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,g,t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Im</m:t>
                  </m:r>
                  <m:r>
                    <w:rPr>
                      <w:rFonts w:ascii="Cambria Math" w:hAnsi="Cambria Math"/>
                    </w:rPr>
                    <m:t>migrants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,g,t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Labor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,g,t</m:t>
                  </m:r>
                </m:sub>
              </m:sSub>
            </m:den>
          </m:f>
        </m:oMath>
      </m:oMathPara>
    </w:p>
    <w:p w14:paraId="1E7BB10D" w14:textId="23A944C0" w:rsidR="009D289C" w:rsidRDefault="006B12B2" w:rsidP="00CA565B">
      <w:pPr>
        <w:ind w:left="7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i,g,t</m:t>
            </m:r>
          </m:sub>
        </m:sSub>
      </m:oMath>
      <w:r>
        <w:rPr>
          <w:rFonts w:eastAsiaTheme="minorEastAsia"/>
        </w:rPr>
        <w:t xml:space="preserve"> is the immigration rate in destination country </w:t>
      </w:r>
      <m:oMath>
        <m:r>
          <w:rPr>
            <w:rFonts w:ascii="Cambria Math" w:eastAsiaTheme="minorEastAsia" w:hAnsi="Cambria Math"/>
          </w:rPr>
          <m:t>j</m:t>
        </m:r>
      </m:oMath>
      <w:r w:rsidR="00764F45">
        <w:rPr>
          <w:rFonts w:eastAsiaTheme="minorEastAsia"/>
        </w:rPr>
        <w:t xml:space="preserve"> for</w:t>
      </w:r>
      <w:r w:rsidR="00D260BF">
        <w:rPr>
          <w:rFonts w:eastAsiaTheme="minorEastAsia"/>
        </w:rPr>
        <w:t xml:space="preserve"> gender  </w:t>
      </w:r>
      <m:oMath>
        <m:r>
          <w:rPr>
            <w:rFonts w:ascii="Cambria Math" w:eastAsiaTheme="minorEastAsia" w:hAnsi="Cambria Math"/>
          </w:rPr>
          <m:t>g∈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f,m</m:t>
            </m:r>
          </m:e>
        </m:d>
      </m:oMath>
      <w:r w:rsidR="00D260BF">
        <w:rPr>
          <w:rFonts w:eastAsiaTheme="minorEastAsia"/>
        </w:rPr>
        <w:t xml:space="preserve"> at year </w:t>
      </w:r>
      <m:oMath>
        <m:r>
          <w:rPr>
            <w:rFonts w:ascii="Cambria Math" w:eastAsiaTheme="minorEastAsia" w:hAnsi="Cambria Math"/>
          </w:rPr>
          <m:t>t∈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2000,2010,2020</m:t>
            </m:r>
          </m:e>
        </m:d>
      </m:oMath>
      <w:r w:rsidR="004D1C7A">
        <w:rPr>
          <w:rFonts w:eastAsiaTheme="minorEastAsia"/>
        </w:rPr>
        <w:t>.</w:t>
      </w:r>
    </w:p>
    <w:p w14:paraId="3FC551BD" w14:textId="77777777" w:rsidR="00AC798D" w:rsidRDefault="00AC798D" w:rsidP="00AC798D">
      <w:r>
        <w:t>The code should be run in the sequence presented above.</w:t>
      </w:r>
    </w:p>
    <w:p w14:paraId="4108D77F" w14:textId="77777777" w:rsidR="005273F1" w:rsidRDefault="005273F1" w:rsidP="79302FCA"/>
    <w:sectPr w:rsidR="005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403A" w14:textId="77777777" w:rsidR="00513FBC" w:rsidRDefault="00513FBC" w:rsidP="00E27C0A">
      <w:pPr>
        <w:spacing w:after="0" w:line="240" w:lineRule="auto"/>
      </w:pPr>
      <w:r>
        <w:separator/>
      </w:r>
    </w:p>
  </w:endnote>
  <w:endnote w:type="continuationSeparator" w:id="0">
    <w:p w14:paraId="4851D0AF" w14:textId="77777777" w:rsidR="00513FBC" w:rsidRDefault="00513FBC" w:rsidP="00E2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547C" w14:textId="77777777" w:rsidR="00513FBC" w:rsidRDefault="00513FBC" w:rsidP="00E27C0A">
      <w:pPr>
        <w:spacing w:after="0" w:line="240" w:lineRule="auto"/>
      </w:pPr>
      <w:r>
        <w:separator/>
      </w:r>
    </w:p>
  </w:footnote>
  <w:footnote w:type="continuationSeparator" w:id="0">
    <w:p w14:paraId="3ED1F716" w14:textId="77777777" w:rsidR="00513FBC" w:rsidRDefault="00513FBC" w:rsidP="00E27C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132"/>
    <w:multiLevelType w:val="hybridMultilevel"/>
    <w:tmpl w:val="8A36B008"/>
    <w:lvl w:ilvl="0" w:tplc="EDE8893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8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B1199"/>
    <w:rsid w:val="000C34B0"/>
    <w:rsid w:val="000E73BA"/>
    <w:rsid w:val="0011541D"/>
    <w:rsid w:val="00193120"/>
    <w:rsid w:val="00204131"/>
    <w:rsid w:val="0021309C"/>
    <w:rsid w:val="0025366B"/>
    <w:rsid w:val="00257D2E"/>
    <w:rsid w:val="002922A5"/>
    <w:rsid w:val="002E6712"/>
    <w:rsid w:val="00337EFF"/>
    <w:rsid w:val="00362E7D"/>
    <w:rsid w:val="003A4D12"/>
    <w:rsid w:val="003C59B1"/>
    <w:rsid w:val="003E6817"/>
    <w:rsid w:val="00414B05"/>
    <w:rsid w:val="00452B81"/>
    <w:rsid w:val="00455688"/>
    <w:rsid w:val="004A4D45"/>
    <w:rsid w:val="004D05D0"/>
    <w:rsid w:val="004D1C7A"/>
    <w:rsid w:val="004D5CEA"/>
    <w:rsid w:val="005122AB"/>
    <w:rsid w:val="00513FBC"/>
    <w:rsid w:val="00521314"/>
    <w:rsid w:val="005273F1"/>
    <w:rsid w:val="00564B5B"/>
    <w:rsid w:val="005776B6"/>
    <w:rsid w:val="005D0D3E"/>
    <w:rsid w:val="00600B8C"/>
    <w:rsid w:val="0063638D"/>
    <w:rsid w:val="00651929"/>
    <w:rsid w:val="006733AA"/>
    <w:rsid w:val="006921CB"/>
    <w:rsid w:val="006B12B2"/>
    <w:rsid w:val="00724906"/>
    <w:rsid w:val="007271EF"/>
    <w:rsid w:val="0073605B"/>
    <w:rsid w:val="00764F45"/>
    <w:rsid w:val="0078729D"/>
    <w:rsid w:val="00796378"/>
    <w:rsid w:val="00796F76"/>
    <w:rsid w:val="007D24BC"/>
    <w:rsid w:val="007E5BE1"/>
    <w:rsid w:val="007F05F6"/>
    <w:rsid w:val="007F365A"/>
    <w:rsid w:val="00842A94"/>
    <w:rsid w:val="00856D17"/>
    <w:rsid w:val="00874904"/>
    <w:rsid w:val="00881212"/>
    <w:rsid w:val="008B298C"/>
    <w:rsid w:val="008B6061"/>
    <w:rsid w:val="008C3C95"/>
    <w:rsid w:val="008C6925"/>
    <w:rsid w:val="008D4A96"/>
    <w:rsid w:val="009C3F76"/>
    <w:rsid w:val="009D289C"/>
    <w:rsid w:val="00A2432F"/>
    <w:rsid w:val="00AB5C38"/>
    <w:rsid w:val="00AC798D"/>
    <w:rsid w:val="00AD0899"/>
    <w:rsid w:val="00AF1E62"/>
    <w:rsid w:val="00B05580"/>
    <w:rsid w:val="00BC7B93"/>
    <w:rsid w:val="00BE3E6B"/>
    <w:rsid w:val="00C17F93"/>
    <w:rsid w:val="00C8385D"/>
    <w:rsid w:val="00C85C53"/>
    <w:rsid w:val="00CA3A3F"/>
    <w:rsid w:val="00CA565B"/>
    <w:rsid w:val="00CB674E"/>
    <w:rsid w:val="00CC7B9F"/>
    <w:rsid w:val="00D260BF"/>
    <w:rsid w:val="00D36DFA"/>
    <w:rsid w:val="00DB5CD9"/>
    <w:rsid w:val="00DE0EF7"/>
    <w:rsid w:val="00DF5A29"/>
    <w:rsid w:val="00E03456"/>
    <w:rsid w:val="00E25A63"/>
    <w:rsid w:val="00E27C0A"/>
    <w:rsid w:val="00E47581"/>
    <w:rsid w:val="00E53178"/>
    <w:rsid w:val="00E5560F"/>
    <w:rsid w:val="00E7631E"/>
    <w:rsid w:val="00E80C7B"/>
    <w:rsid w:val="00ED1FBF"/>
    <w:rsid w:val="00EE2683"/>
    <w:rsid w:val="00F859C9"/>
    <w:rsid w:val="00FA0BED"/>
    <w:rsid w:val="010E17D8"/>
    <w:rsid w:val="0AB134FD"/>
    <w:rsid w:val="0FDE1354"/>
    <w:rsid w:val="130A41F9"/>
    <w:rsid w:val="1364046A"/>
    <w:rsid w:val="16BAA2C0"/>
    <w:rsid w:val="193375EC"/>
    <w:rsid w:val="1A0622FC"/>
    <w:rsid w:val="22C12FD5"/>
    <w:rsid w:val="23947A52"/>
    <w:rsid w:val="27F02F93"/>
    <w:rsid w:val="3EF4A0DC"/>
    <w:rsid w:val="438BA00E"/>
    <w:rsid w:val="43B12ACD"/>
    <w:rsid w:val="49A70CB1"/>
    <w:rsid w:val="4B773E2B"/>
    <w:rsid w:val="4D76E1CB"/>
    <w:rsid w:val="54BB1199"/>
    <w:rsid w:val="5581F3B0"/>
    <w:rsid w:val="5815BD8E"/>
    <w:rsid w:val="66152A3C"/>
    <w:rsid w:val="6D511484"/>
    <w:rsid w:val="70199456"/>
    <w:rsid w:val="73513518"/>
    <w:rsid w:val="7930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1199"/>
  <w15:chartTrackingRefBased/>
  <w15:docId w15:val="{9492672D-DD53-4107-A979-77FF62E6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C0A"/>
    <w:rPr>
      <w:vertAlign w:val="superscript"/>
    </w:rPr>
  </w:style>
  <w:style w:type="character" w:styleId="Strong">
    <w:name w:val="Strong"/>
    <w:basedOn w:val="DefaultParagraphFont"/>
    <w:uiPriority w:val="22"/>
    <w:qFormat/>
    <w:rsid w:val="00E27C0A"/>
    <w:rPr>
      <w:b/>
      <w:bCs/>
    </w:rPr>
  </w:style>
  <w:style w:type="character" w:styleId="Emphasis">
    <w:name w:val="Emphasis"/>
    <w:basedOn w:val="DefaultParagraphFont"/>
    <w:uiPriority w:val="20"/>
    <w:qFormat/>
    <w:rsid w:val="00796378"/>
    <w:rPr>
      <w:i/>
      <w:iCs/>
    </w:rPr>
  </w:style>
  <w:style w:type="paragraph" w:styleId="ListParagraph">
    <w:name w:val="List Paragraph"/>
    <w:basedOn w:val="Normal"/>
    <w:uiPriority w:val="34"/>
    <w:qFormat/>
    <w:rsid w:val="00AC79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4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837dd2-e06b-4699-aba4-574d0f88b8a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285AE7A9A7248A729B21B0EBA677B" ma:contentTypeVersion="14" ma:contentTypeDescription="Create a new document." ma:contentTypeScope="" ma:versionID="a03c21bf659dfc864a8f21a62d94f395">
  <xsd:schema xmlns:xsd="http://www.w3.org/2001/XMLSchema" xmlns:xs="http://www.w3.org/2001/XMLSchema" xmlns:p="http://schemas.microsoft.com/office/2006/metadata/properties" xmlns:ns2="bf837dd2-e06b-4699-aba4-574d0f88b8ab" xmlns:ns3="c655aeb0-c199-4de9-bf1e-4f12cee94f45" targetNamespace="http://schemas.microsoft.com/office/2006/metadata/properties" ma:root="true" ma:fieldsID="d3942b64e687921b74ca9eeffc4682f5" ns2:_="" ns3:_="">
    <xsd:import namespace="bf837dd2-e06b-4699-aba4-574d0f88b8ab"/>
    <xsd:import namespace="c655aeb0-c199-4de9-bf1e-4f12cee94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37dd2-e06b-4699-aba4-574d0f88b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5aeb0-c199-4de9-bf1e-4f12cee94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585DD-A90F-44E8-A2E0-AB16CAF86BF7}">
  <ds:schemaRefs>
    <ds:schemaRef ds:uri="http://schemas.microsoft.com/office/2006/metadata/properties"/>
    <ds:schemaRef ds:uri="http://schemas.microsoft.com/office/infopath/2007/PartnerControls"/>
    <ds:schemaRef ds:uri="bf837dd2-e06b-4699-aba4-574d0f88b8ab"/>
  </ds:schemaRefs>
</ds:datastoreItem>
</file>

<file path=customXml/itemProps2.xml><?xml version="1.0" encoding="utf-8"?>
<ds:datastoreItem xmlns:ds="http://schemas.openxmlformats.org/officeDocument/2006/customXml" ds:itemID="{43039274-1DD3-4916-878F-BCD7C39497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0F542C-2AD5-4B9B-972B-3C6F2ED6B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C8B642-3565-4579-ACCD-A7DDE34BB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37dd2-e06b-4699-aba4-574d0f88b8ab"/>
    <ds:schemaRef ds:uri="c655aeb0-c199-4de9-bf1e-4f12cee94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Chase Martin</dc:creator>
  <cp:keywords/>
  <dc:description/>
  <cp:lastModifiedBy>Narcisse Changom</cp:lastModifiedBy>
  <cp:revision>87</cp:revision>
  <dcterms:created xsi:type="dcterms:W3CDTF">2023-02-16T17:07:00Z</dcterms:created>
  <dcterms:modified xsi:type="dcterms:W3CDTF">2023-04-18T14:03:00Z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0x0101003EC285AE7A9A7248A729B21B0EBA677B</vt:lpwstr>
  </property>
  <property fmtid="{D5CDD505-2E9C-101B-9397-08002B2CF9AE}" pid="3" name="MediaServiceImageTags">
    <vt:lpwstr/>
  </property>
</Properties>
</file>