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CommentReference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(МГТУ им. Н.Э.Баумана)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Нормоконтролер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A84E9B">
      <w:pPr>
        <w:spacing w:line="720" w:lineRule="auto"/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2F1E91AB" w14:textId="635AEF40" w:rsidR="00DC1B3A" w:rsidRPr="00237832" w:rsidRDefault="00237832" w:rsidP="00DC1B3A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="00DC1B3A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.</w:t>
      </w:r>
    </w:p>
    <w:p w14:paraId="410F6E4E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страниц, рисунок,    таблицы,  библиографических источников,   слайда презентации.</w:t>
      </w:r>
    </w:p>
    <w:p w14:paraId="29760A18" w14:textId="77777777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A84E9B">
          <w:pPr>
            <w:pStyle w:val="TOCHeading"/>
            <w:rPr>
              <w:rStyle w:val="Heading1Char"/>
              <w:rFonts w:eastAsiaTheme="majorEastAsia"/>
            </w:rPr>
          </w:pPr>
          <w:r w:rsidRPr="00226BC8">
            <w:rPr>
              <w:rStyle w:val="Heading1Char"/>
              <w:rFonts w:eastAsiaTheme="majorEastAsia"/>
            </w:rPr>
            <w:t>СОДЕРЖАНИЕ</w:t>
          </w:r>
        </w:p>
        <w:p w14:paraId="7D833DEC" w14:textId="77777777" w:rsidR="0018524F" w:rsidRPr="0018524F" w:rsidRDefault="00237832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96736" w:history="1">
            <w:r w:rsidR="0018524F" w:rsidRPr="0018524F">
              <w:rPr>
                <w:rStyle w:val="Hyperlink"/>
                <w:rFonts w:ascii="Times New Roman" w:eastAsia="Arial Unicode MS" w:hAnsi="Times New Roman" w:cs="Times New Roman"/>
                <w:noProof/>
                <w:lang w:eastAsia="ru-RU"/>
              </w:rPr>
              <w:t>НОРМАТИВНЫЕ ССЫЛКИ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_Toc484896736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4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2EEB93FA" w14:textId="77777777" w:rsidR="0018524F" w:rsidRP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7" w:history="1">
            <w:r w:rsidR="0018524F" w:rsidRPr="0018524F">
              <w:rPr>
                <w:rStyle w:val="Hyperlink"/>
                <w:noProof/>
              </w:rPr>
              <w:t>ВВЕДЕНИЕ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_Toc484896737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5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1E98A06F" w14:textId="77777777" w:rsidR="0018524F" w:rsidRP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8" w:history="1">
            <w:r w:rsidR="0018524F" w:rsidRPr="0018524F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 </w:t>
            </w:r>
            <w:r w:rsidR="0018524F" w:rsidRPr="0018524F">
              <w:rPr>
                <w:rStyle w:val="Hyperlink"/>
                <w:rFonts w:asciiTheme="majorHAnsi" w:hAnsiTheme="majorHAnsi" w:cstheme="majorBidi"/>
                <w:noProof/>
                <w:lang w:eastAsia="ru-RU"/>
              </w:rPr>
              <w:t>ПРЕДПРОЕКТНОЕ ОБСЛЕДОВАНИЕ ОБЪЕКТА АВТОМАТИЗАЦИИ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_Toc484896738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6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604F8828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9" w:history="1">
            <w:r w:rsidR="0018524F" w:rsidRPr="0018524F">
              <w:rPr>
                <w:rStyle w:val="Hyperlink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_Toc484896739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6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66274B75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0" w:history="1">
            <w:r w:rsidR="0018524F" w:rsidRPr="0015520F">
              <w:rPr>
                <w:rStyle w:val="Hyperlink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_Toc484896740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7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C86BB0C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1" w:history="1">
            <w:r w:rsidR="0018524F" w:rsidRPr="0015520F">
              <w:rPr>
                <w:rStyle w:val="Hyperlink"/>
                <w:noProof/>
              </w:rPr>
              <w:t>1.3. Анализ состояния, проблемы и пути её решения.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_Toc484896741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8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7C27249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2" w:history="1">
            <w:r w:rsidR="0018524F" w:rsidRPr="0015520F">
              <w:rPr>
                <w:rStyle w:val="Hyperlink"/>
                <w:noProof/>
              </w:rPr>
              <w:t>2. КОНЦЕПТУАЛЬНОЕ ПРОЕКТИРОВАНИЕ СИСТЕМЫ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_Toc484896742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69A71376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3" w:history="1">
            <w:r w:rsidR="0018524F" w:rsidRPr="0015520F">
              <w:rPr>
                <w:rStyle w:val="Hyperlink"/>
                <w:noProof/>
              </w:rPr>
              <w:t>2.1. Выбор общесистемной методологии проектирования.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_Toc484896743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49A297DE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4" w:history="1">
            <w:r w:rsidR="0018524F" w:rsidRPr="0015520F">
              <w:rPr>
                <w:rStyle w:val="Hyperlink"/>
                <w:noProof/>
              </w:rPr>
              <w:t>2.2. Выбор системы аналогов и выделение системы из среды.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_Toc484896744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10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7DA8FF1B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5" w:history="1">
            <w:r w:rsidR="0018524F" w:rsidRPr="0015520F">
              <w:rPr>
                <w:rStyle w:val="Hyperlink"/>
                <w:noProof/>
                <w:lang w:val="en-US"/>
              </w:rPr>
              <w:t xml:space="preserve">2.3. </w:t>
            </w:r>
            <w:r w:rsidR="0018524F" w:rsidRPr="0015520F">
              <w:rPr>
                <w:rStyle w:val="Hyperlink"/>
                <w:noProof/>
              </w:rPr>
              <w:t>Выбор</w:t>
            </w:r>
            <w:r w:rsidR="0018524F" w:rsidRPr="0015520F">
              <w:rPr>
                <w:rStyle w:val="Hyperlink"/>
                <w:noProof/>
                <w:lang w:val="en-US"/>
              </w:rPr>
              <w:t xml:space="preserve"> CASE (cad aided software engineering) </w:t>
            </w:r>
            <w:r w:rsidR="0018524F" w:rsidRPr="0015520F">
              <w:rPr>
                <w:rStyle w:val="Hyperlink"/>
                <w:noProof/>
              </w:rPr>
              <w:t>средства</w:t>
            </w:r>
            <w:r w:rsidR="0018524F" w:rsidRPr="0015520F">
              <w:rPr>
                <w:rStyle w:val="Hyperlink"/>
                <w:noProof/>
                <w:lang w:val="en-US"/>
              </w:rPr>
              <w:t xml:space="preserve"> </w:t>
            </w:r>
            <w:r w:rsidR="0018524F" w:rsidRPr="0015520F">
              <w:rPr>
                <w:rStyle w:val="Hyperlink"/>
                <w:noProof/>
              </w:rPr>
              <w:t>проектирования</w:t>
            </w:r>
            <w:r w:rsidR="0018524F" w:rsidRPr="0015520F">
              <w:rPr>
                <w:rStyle w:val="Hyperlink"/>
                <w:noProof/>
                <w:lang w:val="en-US"/>
              </w:rPr>
              <w:t>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_Toc484896745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11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74F9862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6" w:history="1">
            <w:r w:rsidR="0018524F" w:rsidRPr="0015520F">
              <w:rPr>
                <w:rStyle w:val="Hyperlink"/>
                <w:noProof/>
              </w:rPr>
              <w:t>2.4. Разработка архитектуры и состава системы</w:t>
            </w:r>
            <w:r w:rsidR="0018524F" w:rsidRPr="0015520F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_Toc484896746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12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395BEE5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7" w:history="1">
            <w:r w:rsidR="0018524F" w:rsidRPr="0015520F">
              <w:rPr>
                <w:rStyle w:val="Hyperlink"/>
                <w:noProof/>
              </w:rPr>
              <w:t>2.5. Разработка укрупненной функциональной структуры системы.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_Toc484896747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13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42C9221F" w14:textId="77777777" w:rsidR="0018524F" w:rsidRDefault="000D1526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8" w:history="1">
            <w:r w:rsidR="0018524F" w:rsidRPr="0015520F">
              <w:rPr>
                <w:rStyle w:val="Hyperlink"/>
                <w:noProof/>
              </w:rPr>
              <w:t>2.6. Выбор критерия оценки системы и оценка вариантов.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_Toc484896748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14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392ECB51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9" w:history="1">
            <w:r w:rsidR="0018524F" w:rsidRPr="0015520F">
              <w:rPr>
                <w:rStyle w:val="Hyperlink"/>
                <w:noProof/>
              </w:rPr>
              <w:t>3. РАЗРАБОТКА ТЕХНИЧЕСКОГО ЗАДАНИЯ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_Toc484896749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15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33AA3EA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0" w:history="1">
            <w:r w:rsidR="0018524F" w:rsidRPr="0015520F">
              <w:rPr>
                <w:rStyle w:val="Hyperlink"/>
                <w:noProof/>
              </w:rPr>
              <w:t>4. СТРУКТУРНОЕ ПРОЕКТИРОВАНИЕ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_Toc484896750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16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BAF1869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1" w:history="1">
            <w:r w:rsidR="0018524F" w:rsidRPr="0015520F">
              <w:rPr>
                <w:rStyle w:val="Hyperlink"/>
                <w:noProof/>
              </w:rPr>
              <w:t>5. РАБОЧЕЕ ПРОЕКТИРОВАНИЕ СИСТЕМЫ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_Toc484896751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17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74823CC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2" w:history="1">
            <w:r w:rsidR="0018524F" w:rsidRPr="0015520F">
              <w:rPr>
                <w:rStyle w:val="Hyperlink"/>
                <w:noProof/>
              </w:rPr>
              <w:t>6. АПРОБИРОВАНИЕ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_Toc484896752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18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5923708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3" w:history="1">
            <w:r w:rsidR="0018524F" w:rsidRPr="0015520F">
              <w:rPr>
                <w:rStyle w:val="Hyperlink"/>
                <w:noProof/>
              </w:rPr>
              <w:t>ЗАКЛЮЧЕНИЕ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_Toc484896753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555F34A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4" w:history="1">
            <w:r w:rsidR="0018524F" w:rsidRPr="0015520F">
              <w:rPr>
                <w:rStyle w:val="Hyperlink"/>
                <w:noProof/>
              </w:rPr>
              <w:t>СПИСОК ИСПОЛЬЗОВАННЫХ ИСТОЧНИКОВ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_Toc484896754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20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D633F5D" w14:textId="77777777" w:rsidR="0018524F" w:rsidRDefault="000D1526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5" w:history="1">
            <w:r w:rsidR="0018524F" w:rsidRPr="0015520F">
              <w:rPr>
                <w:rStyle w:val="Hyperlink"/>
                <w:noProof/>
              </w:rPr>
              <w:t>ПРИЛОЖЕНИЕ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_Toc484896755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21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</w:p>
        <w:p w14:paraId="7C352DBF" w14:textId="594210C7" w:rsidR="00237832" w:rsidRPr="00CB46C2" w:rsidRDefault="000D1526" w:rsidP="00A84E9B">
          <w:pPr>
            <w:spacing w:line="360" w:lineRule="auto"/>
            <w:rPr>
              <w:szCs w:val="28"/>
            </w:rPr>
          </w:pPr>
        </w:p>
      </w:sdtContent>
    </w:sdt>
    <w:p w14:paraId="5D1E8C62" w14:textId="236BA108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96736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Сталь сортовая и калиброванная коррозионно-стойкая,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A84E9B">
      <w:pPr>
        <w:pStyle w:val="Heading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Heading1"/>
      </w:pPr>
      <w:bookmarkStart w:id="5" w:name="_Toc484896737"/>
      <w:r>
        <w:lastRenderedPageBreak/>
        <w:t>ВВЕДЕНИЕ</w:t>
      </w:r>
      <w:bookmarkEnd w:id="5"/>
    </w:p>
    <w:p w14:paraId="12BA0ACC" w14:textId="0493E880" w:rsidR="00B516D4" w:rsidRDefault="00245764" w:rsidP="00A84E9B">
      <w:pPr>
        <w:spacing w:line="360" w:lineRule="auto"/>
        <w:ind w:firstLine="709"/>
        <w:jc w:val="both"/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объекте.</w:t>
      </w:r>
    </w:p>
    <w:p w14:paraId="1DC0B2B1" w14:textId="002FDD0F" w:rsidR="00245764" w:rsidRDefault="00245764" w:rsidP="00A84E9B">
      <w:pPr>
        <w:spacing w:line="360" w:lineRule="auto"/>
        <w:ind w:firstLine="709"/>
        <w:jc w:val="both"/>
        <w:rPr>
          <w:lang w:val="en-US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Широкое распространение получило геометрическое моделирование – создание электронных трехмерных моделей тел с помощью компьютера. Модель может быть представлена различными способами, среди которых можно выделить следующие</w:t>
      </w:r>
      <w:r w:rsidR="000D1526" w:rsidRPr="000D1526">
        <w:t>:</w:t>
      </w:r>
    </w:p>
    <w:p w14:paraId="5FB03CA4" w14:textId="329189E6" w:rsidR="000D1526" w:rsidRPr="000D1526" w:rsidRDefault="00A653A0" w:rsidP="00A653A0">
      <w:pPr>
        <w:pStyle w:val="ListParagraph"/>
        <w:numPr>
          <w:ilvl w:val="0"/>
          <w:numId w:val="3"/>
        </w:numPr>
        <w:spacing w:line="360" w:lineRule="auto"/>
        <w:jc w:val="both"/>
      </w:pPr>
      <w:r>
        <w:t>Г</w:t>
      </w:r>
      <w:r w:rsidR="000D1526">
        <w:t>раничное представление</w:t>
      </w:r>
      <w:r w:rsidR="00006D95">
        <w:t xml:space="preserve"> (англ. </w:t>
      </w:r>
      <w:r w:rsidR="00006D95">
        <w:rPr>
          <w:lang w:val="en-US"/>
        </w:rPr>
        <w:t>Boundary</w:t>
      </w:r>
      <w:r w:rsidR="00006D95" w:rsidRPr="00006D95">
        <w:t xml:space="preserve"> </w:t>
      </w:r>
      <w:r w:rsidR="00006D95">
        <w:rPr>
          <w:lang w:val="en-US"/>
        </w:rPr>
        <w:t>REP</w:t>
      </w:r>
      <w:r w:rsidR="00006D95" w:rsidRPr="00006D95">
        <w:tab/>
      </w:r>
      <w:proofErr w:type="spellStart"/>
      <w:r w:rsidR="00006D95">
        <w:rPr>
          <w:lang w:val="en-US"/>
        </w:rPr>
        <w:t>resentation</w:t>
      </w:r>
      <w:proofErr w:type="spellEnd"/>
      <w:r w:rsidR="00006D95" w:rsidRPr="00006D95">
        <w:t xml:space="preserve">, </w:t>
      </w:r>
      <w:r w:rsidR="00006D95">
        <w:rPr>
          <w:lang w:val="en-US"/>
        </w:rPr>
        <w:t>BREP</w:t>
      </w:r>
      <w:r w:rsidR="00006D95" w:rsidRPr="00006D95">
        <w:t>)</w:t>
      </w:r>
      <w:r w:rsidR="000D1526">
        <w:t xml:space="preserve"> – метод представления объёмной фигуры путём описания её границ</w:t>
      </w:r>
      <w:r>
        <w:t xml:space="preserve">. </w:t>
      </w:r>
      <w:r w:rsidRPr="00A653A0">
        <w:t>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Parasolid и ACIS, лежащих в основе многих коммерческих САПР.</w:t>
      </w:r>
    </w:p>
    <w:p w14:paraId="2AB3D2B3" w14:textId="13B8B4AE" w:rsidR="000D1526" w:rsidRDefault="00FD2313" w:rsidP="00FD2313">
      <w:pPr>
        <w:pStyle w:val="ListParagraph"/>
        <w:numPr>
          <w:ilvl w:val="0"/>
          <w:numId w:val="3"/>
        </w:numPr>
        <w:spacing w:line="360" w:lineRule="auto"/>
        <w:jc w:val="both"/>
      </w:pPr>
      <w:r>
        <w:t>Конструктивная геометрия тел</w:t>
      </w:r>
      <w:r w:rsidRPr="00FD2313">
        <w:t xml:space="preserve"> (англ. Constructive Solid Geometry, </w:t>
      </w:r>
      <w:r>
        <w:rPr>
          <w:lang w:val="en-US"/>
        </w:rPr>
        <w:t>CSG</w:t>
      </w:r>
      <w:r>
        <w:t>) –</w:t>
      </w:r>
      <w:r w:rsidRPr="00FD2313">
        <w:t xml:space="preserve">  способ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607E79BC" w14:textId="1B0B0E92" w:rsidR="009F0253" w:rsidRPr="009F0253" w:rsidRDefault="009F0253" w:rsidP="00FD2313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F0253">
        <w:rPr>
          <w:color w:val="FF0000"/>
          <w:lang w:val="en-US"/>
        </w:rPr>
        <w:t>Swept Solid</w:t>
      </w:r>
    </w:p>
    <w:p w14:paraId="2CB2280C" w14:textId="77777777" w:rsidR="00D25687" w:rsidRDefault="00DC1B3A" w:rsidP="005F3B92">
      <w:pPr>
        <w:spacing w:line="360" w:lineRule="auto"/>
        <w:jc w:val="both"/>
      </w:pPr>
      <w:r>
        <w:lastRenderedPageBreak/>
        <w:tab/>
      </w:r>
      <w:r w:rsidR="005F3B92">
        <w:t>Наиболее популярным форматом для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="005F3B92">
        <w:rPr>
          <w:lang w:val="en-US"/>
        </w:rPr>
        <w:t>BIM</w:t>
      </w:r>
      <w:r w:rsidR="005F3B92" w:rsidRPr="005F3B92">
        <w:t>)</w:t>
      </w:r>
      <w:r w:rsidR="00497EAD" w:rsidRPr="00D25687">
        <w:t>,</w:t>
      </w:r>
      <w:r w:rsidR="005F3B92">
        <w:t xml:space="preserve"> является </w:t>
      </w:r>
      <w:r w:rsidR="005F3B92">
        <w:rPr>
          <w:lang w:val="en-US"/>
        </w:rPr>
        <w:t>IFC</w:t>
      </w:r>
      <w:r w:rsidR="00BB5BAC" w:rsidRPr="00BB5BAC">
        <w:t xml:space="preserve"> [</w:t>
      </w:r>
      <w:r w:rsidR="00BB5BAC" w:rsidRPr="00497EAD">
        <w:rPr>
          <w:color w:val="FF0000"/>
        </w:rPr>
        <w:t>ссылка</w:t>
      </w:r>
      <w:r w:rsidR="00BB5BAC" w:rsidRPr="00497EAD">
        <w:t>]</w:t>
      </w:r>
      <w:r w:rsidR="005F3B92" w:rsidRPr="00BB5BAC">
        <w:t>.</w:t>
      </w:r>
    </w:p>
    <w:p w14:paraId="4B880553" w14:textId="2D33939C" w:rsidR="00436F58" w:rsidRPr="00891E37" w:rsidRDefault="00436F58" w:rsidP="005F3B92">
      <w:pPr>
        <w:spacing w:line="360" w:lineRule="auto"/>
        <w:jc w:val="both"/>
      </w:pPr>
      <w:r w:rsidRPr="00A701AA">
        <w:rPr>
          <w:color w:val="FF0000"/>
        </w:rPr>
        <w:tab/>
      </w:r>
      <w:r w:rsidR="00A701AA" w:rsidRPr="00A701AA">
        <w:rPr>
          <w:color w:val="FF0000"/>
        </w:rPr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Swept Solid (тело заметания). </w:t>
      </w:r>
      <w:r w:rsidR="00A701AA">
        <w:rPr>
          <w:color w:val="FF0000"/>
        </w:rPr>
        <w:t xml:space="preserve">При необходимости обработки </w:t>
      </w:r>
      <w:r w:rsidR="00A701AA">
        <w:rPr>
          <w:color w:val="FF0000"/>
          <w:lang w:val="en-US"/>
        </w:rPr>
        <w:t>BIM</w:t>
      </w:r>
      <w:r w:rsidR="00A701AA" w:rsidRPr="00A701AA">
        <w:rPr>
          <w:color w:val="FF0000"/>
        </w:rPr>
        <w:t xml:space="preserve"> </w:t>
      </w:r>
      <w:r w:rsidR="00A701AA">
        <w:rPr>
          <w:color w:val="FF0000"/>
        </w:rPr>
        <w:t xml:space="preserve">моделей системами </w:t>
      </w:r>
      <w:r w:rsidR="00A701AA">
        <w:rPr>
          <w:color w:val="FF0000"/>
          <w:lang w:val="en-US"/>
        </w:rPr>
        <w:t>CAD</w:t>
      </w:r>
      <w:r w:rsidR="00A701AA" w:rsidRPr="00A701AA">
        <w:rPr>
          <w:color w:val="FF0000"/>
        </w:rPr>
        <w:t>/</w:t>
      </w:r>
      <w:r w:rsidR="00A701AA">
        <w:rPr>
          <w:color w:val="FF0000"/>
          <w:lang w:val="en-US"/>
        </w:rPr>
        <w:t>CAE</w:t>
      </w:r>
      <w:r w:rsidR="00A701AA" w:rsidRPr="00A701AA">
        <w:rPr>
          <w:color w:val="FF0000"/>
        </w:rPr>
        <w:t xml:space="preserve">; </w:t>
      </w:r>
      <w:r w:rsidR="00A701AA"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 w:rsidR="00A701AA">
        <w:rPr>
          <w:color w:val="FF0000"/>
          <w:lang w:val="en-US"/>
        </w:rPr>
        <w:t>IFC</w:t>
      </w:r>
      <w:r w:rsidR="00A701AA" w:rsidRPr="00A701AA">
        <w:rPr>
          <w:color w:val="FF0000"/>
        </w:rPr>
        <w:t xml:space="preserve"> </w:t>
      </w:r>
      <w:r w:rsidR="00A701AA"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 w:rsidR="00A701AA">
        <w:rPr>
          <w:color w:val="FF0000"/>
          <w:lang w:val="en-US"/>
        </w:rPr>
        <w:t>BREP</w:t>
      </w:r>
      <w:r w:rsidR="00A701AA" w:rsidRPr="00A701AA">
        <w:rPr>
          <w:color w:val="FF0000"/>
        </w:rPr>
        <w:t>.</w:t>
      </w:r>
      <w:r w:rsidR="00A701AA"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</w:t>
      </w:r>
      <w:r w:rsidR="00A701AA">
        <w:t xml:space="preserve">системы в основном могут интерпретировать модели только представленные с помощью </w:t>
      </w:r>
      <w:r w:rsidR="00A701AA">
        <w:rPr>
          <w:lang w:val="en-US"/>
        </w:rPr>
        <w:t>BREP</w:t>
      </w:r>
      <w:r w:rsidR="00A701AA" w:rsidRPr="00A701AA">
        <w:t>;</w:t>
      </w:r>
      <w:r w:rsidR="00A701AA">
        <w:t xml:space="preserve"> при этом</w:t>
      </w:r>
      <w:r w:rsidR="00A701AA" w:rsidRPr="00A701AA">
        <w:t xml:space="preserve"> </w:t>
      </w:r>
      <w:r w:rsidR="00A701AA" w:rsidRPr="00A701AA">
        <w:rPr>
          <w:color w:val="FF0000"/>
        </w:rPr>
        <w:t>кто-то может писать только</w:t>
      </w:r>
      <w:r w:rsidR="00A701AA">
        <w:t xml:space="preserve"> </w:t>
      </w:r>
      <w:r w:rsidR="00A701AA" w:rsidRPr="00A701AA">
        <w:rPr>
          <w:color w:val="FF0000"/>
          <w:lang w:val="en-US"/>
        </w:rPr>
        <w:t>Swept</w:t>
      </w:r>
      <w:r w:rsidR="00A701AA" w:rsidRPr="00A701AA">
        <w:rPr>
          <w:color w:val="FF0000"/>
        </w:rPr>
        <w:t xml:space="preserve"> </w:t>
      </w:r>
      <w:r w:rsidR="00A701AA" w:rsidRPr="00A701AA">
        <w:rPr>
          <w:color w:val="FF0000"/>
          <w:lang w:val="en-US"/>
        </w:rPr>
        <w:t>Solid</w:t>
      </w:r>
      <w:r w:rsidR="00A701AA">
        <w:rPr>
          <w:color w:val="FF0000"/>
        </w:rPr>
        <w:t xml:space="preserve">. </w:t>
      </w:r>
      <w:r w:rsidR="00891E37" w:rsidRPr="00891E37">
        <w:t xml:space="preserve">Для решения </w:t>
      </w:r>
      <w:r w:rsidR="00B20EF0" w:rsidRPr="00891E37">
        <w:t>данной проблемы интероперабельности</w:t>
      </w:r>
      <w:r w:rsidR="00891E37" w:rsidRPr="00891E37">
        <w:t xml:space="preserve"> вместо написания дополнительного модуля обработки для каждой системы</w:t>
      </w:r>
      <w:r w:rsidR="00B20EF0" w:rsidRPr="00891E37">
        <w:t xml:space="preserve"> </w:t>
      </w:r>
      <w:r w:rsidR="00891E37" w:rsidRPr="00891E37">
        <w:t xml:space="preserve">целесообразно разработать программный продукт, позволяющий </w:t>
      </w:r>
      <w:r w:rsidR="00891E37">
        <w:t>осуществлять преобразование модели</w:t>
      </w:r>
      <w:r w:rsidR="00667274">
        <w:t xml:space="preserve"> </w:t>
      </w:r>
      <w:r w:rsidR="00891E37">
        <w:t>в граничное</w:t>
      </w:r>
      <w:r w:rsidR="00667274">
        <w:t xml:space="preserve"> представление</w:t>
      </w:r>
      <w:r w:rsidR="00891E37">
        <w:t>.</w:t>
      </w:r>
    </w:p>
    <w:p w14:paraId="2545B5DB" w14:textId="071D0ECC" w:rsidR="00D25687" w:rsidRDefault="00D25687" w:rsidP="005F3B92">
      <w:pPr>
        <w:spacing w:line="360" w:lineRule="auto"/>
        <w:jc w:val="both"/>
      </w:pPr>
      <w:r>
        <w:tab/>
      </w:r>
      <w:r w:rsidR="0060619A" w:rsidRPr="00436F58">
        <w:rPr>
          <w:color w:val="FF0000"/>
        </w:rPr>
        <w:t xml:space="preserve">Среди отечественных программных продуктов для </w:t>
      </w:r>
      <w:r w:rsidR="0060619A" w:rsidRPr="00436F58">
        <w:rPr>
          <w:color w:val="FF0000"/>
          <w:lang w:val="en-US"/>
        </w:rPr>
        <w:t>BIM</w:t>
      </w:r>
      <w:r w:rsidR="0060619A"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="0060619A" w:rsidRPr="00436F58">
        <w:rPr>
          <w:color w:val="FF0000"/>
        </w:rPr>
        <w:t>.</w:t>
      </w:r>
      <w:r w:rsidR="0030365E" w:rsidRPr="00436F58">
        <w:rPr>
          <w:color w:val="FF0000"/>
        </w:rPr>
        <w:t xml:space="preserve">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4AAE6B53" w14:textId="77777777" w:rsidR="00D25687" w:rsidRDefault="00D25687" w:rsidP="005F3B92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47AD81F1" w14:textId="0B8EFCC1" w:rsidR="00A159DD" w:rsidRPr="003813D8" w:rsidRDefault="00D25687" w:rsidP="005F3B92">
      <w:pPr>
        <w:spacing w:line="360" w:lineRule="auto"/>
        <w:jc w:val="both"/>
      </w:pPr>
      <w:r>
        <w:tab/>
        <w:t>Цель</w:t>
      </w:r>
      <w:r w:rsidR="00474C6C">
        <w:t>ю</w:t>
      </w:r>
      <w:r>
        <w:t xml:space="preserve"> </w:t>
      </w:r>
      <w:r w:rsidR="007E472C">
        <w:t>выпускной квалификационной работы является разработка программного обеспечения, позволяющего</w:t>
      </w:r>
      <w:r w:rsidR="003F496F">
        <w:t xml:space="preserve"> дополнить</w:t>
      </w:r>
      <w:r w:rsidR="007E472C">
        <w:t xml:space="preserve"> </w:t>
      </w:r>
      <w:r w:rsidR="007E472C">
        <w:rPr>
          <w:lang w:val="en-US"/>
        </w:rPr>
        <w:t>IFC</w:t>
      </w:r>
      <w:r w:rsidR="007E472C" w:rsidRPr="007E472C">
        <w:t>-</w:t>
      </w:r>
      <w:r w:rsidR="00355DEC">
        <w:t>файл с моделями, представленными</w:t>
      </w:r>
      <w:r w:rsidR="003813D8">
        <w:t xml:space="preserve"> в виде тел заметания</w:t>
      </w:r>
      <w:r w:rsidR="003813D8" w:rsidRPr="003813D8">
        <w:t xml:space="preserve">, </w:t>
      </w:r>
      <w:r w:rsidR="003813D8">
        <w:t>граничными представлениями (</w:t>
      </w:r>
      <w:r w:rsidR="003813D8">
        <w:rPr>
          <w:lang w:val="en-US"/>
        </w:rPr>
        <w:t>B</w:t>
      </w:r>
      <w:r w:rsidR="003813D8" w:rsidRPr="003813D8">
        <w:t>-</w:t>
      </w:r>
      <w:r w:rsidR="003813D8">
        <w:rPr>
          <w:lang w:val="en-US"/>
        </w:rPr>
        <w:t>rep</w:t>
      </w:r>
      <w:r w:rsidR="003813D8" w:rsidRPr="003813D8">
        <w:t xml:space="preserve"> </w:t>
      </w:r>
      <w:r w:rsidR="003813D8">
        <w:t xml:space="preserve">или </w:t>
      </w:r>
      <w:r w:rsidR="003813D8">
        <w:rPr>
          <w:lang w:val="en-US"/>
        </w:rPr>
        <w:t>BREP</w:t>
      </w:r>
      <w:r w:rsidR="003813D8" w:rsidRPr="000D1526">
        <w:t>)</w:t>
      </w:r>
      <w:r w:rsidR="003813D8">
        <w:t>.</w:t>
      </w:r>
    </w:p>
    <w:p w14:paraId="78E82738" w14:textId="7045E15F" w:rsidR="00A41EE5" w:rsidRPr="00F9431B" w:rsidRDefault="003813D8" w:rsidP="005F3B92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709045ED" w14:textId="74810B7D" w:rsidR="00CB46C2" w:rsidRPr="003E7CD9" w:rsidRDefault="00A41EE5" w:rsidP="005F3B92">
      <w:pPr>
        <w:spacing w:line="360" w:lineRule="auto"/>
        <w:jc w:val="both"/>
      </w:pPr>
      <w:r>
        <w:lastRenderedPageBreak/>
        <w:tab/>
      </w:r>
      <w:r w:rsidR="003E7CD9">
        <w:t>Работа включает в себя следующие разделы</w:t>
      </w:r>
      <w:r w:rsidR="003E7CD9" w:rsidRPr="003E7CD9">
        <w:t xml:space="preserve">: </w:t>
      </w:r>
      <w:r w:rsidR="003E7CD9">
        <w:t>предпроектное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  <w:bookmarkStart w:id="6" w:name="_GoBack"/>
      <w:bookmarkEnd w:id="6"/>
      <w:r w:rsidR="00CB46C2"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484896738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Heading1Char"/>
          <w:rFonts w:eastAsiaTheme="minorHAnsi"/>
        </w:rPr>
        <w:t>ПРЕДПРОЕКТНОЕ ОБСЛЕДОВАНИЕ ОБЪЕКТА АВТОМАТИЗАЦИИ</w:t>
      </w:r>
      <w:bookmarkEnd w:id="7"/>
    </w:p>
    <w:p w14:paraId="36FABA8B" w14:textId="0704BCBE" w:rsidR="00955A2F" w:rsidRPr="00226BC8" w:rsidRDefault="00955A2F" w:rsidP="00A84E9B">
      <w:pPr>
        <w:pStyle w:val="Heading2"/>
      </w:pPr>
      <w:bookmarkStart w:id="8" w:name="_Toc484896739"/>
      <w:r w:rsidRPr="00226BC8">
        <w:t xml:space="preserve">1.1. </w:t>
      </w:r>
      <w:bookmarkEnd w:id="8"/>
      <w:r w:rsidR="0018524F" w:rsidRPr="00117D39">
        <w:t>Исследование аналогов, проектных решений и методического обеспечения</w:t>
      </w:r>
    </w:p>
    <w:p w14:paraId="662449A2" w14:textId="77777777" w:rsidR="006165AC" w:rsidRDefault="006165AC" w:rsidP="00A84E9B">
      <w:pPr>
        <w:spacing w:line="480" w:lineRule="auto"/>
      </w:pPr>
    </w:p>
    <w:p w14:paraId="5DEA5A1F" w14:textId="4BD33505" w:rsidR="00955A2F" w:rsidRDefault="00955A2F" w:rsidP="00A84E9B">
      <w:pPr>
        <w:pStyle w:val="Heading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1D62F274" w:rsidR="00955A2F" w:rsidRPr="00226BC8" w:rsidRDefault="00955A2F" w:rsidP="00A84E9B">
      <w:pPr>
        <w:pStyle w:val="Heading2"/>
      </w:pPr>
      <w:bookmarkStart w:id="9" w:name="_Toc484896740"/>
      <w:r w:rsidRPr="00226BC8">
        <w:t xml:space="preserve">1.2. </w:t>
      </w:r>
      <w:bookmarkEnd w:id="9"/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FC0A8E" w:rsidR="00955A2F" w:rsidRPr="00955A2F" w:rsidRDefault="00955A2F" w:rsidP="00A84E9B">
      <w:pPr>
        <w:pStyle w:val="Heading2"/>
      </w:pPr>
      <w:bookmarkStart w:id="10" w:name="_Toc484896741"/>
      <w:r w:rsidRPr="00955A2F">
        <w:lastRenderedPageBreak/>
        <w:t xml:space="preserve">1.3. Анализ состояния, проблемы и пути её </w:t>
      </w:r>
      <w:commentRangeStart w:id="11"/>
      <w:r w:rsidRPr="00955A2F">
        <w:t>решения</w:t>
      </w:r>
      <w:commentRangeEnd w:id="11"/>
      <w:r w:rsidR="003D4A4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1"/>
      </w:r>
      <w:bookmarkEnd w:id="10"/>
    </w:p>
    <w:p w14:paraId="239A03A1" w14:textId="4AA4C877" w:rsidR="00955A2F" w:rsidRDefault="00955A2F" w:rsidP="00A84E9B">
      <w:pPr>
        <w:pStyle w:val="Heading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Heading1"/>
      </w:pPr>
      <w:bookmarkStart w:id="12" w:name="_Toc484896742"/>
      <w:r w:rsidRPr="00226BC8">
        <w:lastRenderedPageBreak/>
        <w:t xml:space="preserve">2. КОНЦЕПТУАЛЬНОЕ ПРОЕКТИРОВАНИЕ </w:t>
      </w:r>
      <w:commentRangeStart w:id="13"/>
      <w:r w:rsidRPr="00226BC8">
        <w:t>СИСТЕМЫ</w:t>
      </w:r>
      <w:commentRangeEnd w:id="13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3"/>
      </w:r>
      <w:bookmarkEnd w:id="12"/>
    </w:p>
    <w:p w14:paraId="4F24D90B" w14:textId="17F54A26" w:rsidR="00955A2F" w:rsidRPr="00955A2F" w:rsidRDefault="00226BC8" w:rsidP="00A84E9B">
      <w:pPr>
        <w:pStyle w:val="Heading2"/>
      </w:pPr>
      <w:bookmarkStart w:id="14" w:name="_Toc484896743"/>
      <w:r>
        <w:t>2.</w:t>
      </w:r>
      <w:r w:rsidR="00955A2F" w:rsidRPr="00955A2F">
        <w:t>1. Выбор общесистемной методологии проектирования.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A84E9B">
      <w:pPr>
        <w:pStyle w:val="Heading2"/>
      </w:pPr>
      <w:bookmarkStart w:id="15" w:name="_Toc484896744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A84E9B">
      <w:pPr>
        <w:pStyle w:val="Heading2"/>
        <w:rPr>
          <w:lang w:val="en-US"/>
        </w:rPr>
      </w:pPr>
      <w:bookmarkStart w:id="16" w:name="_Toc484896745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(cad aided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2B6403" w:rsidRDefault="00226BC8" w:rsidP="00A84E9B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7" w:name="_Toc484896746"/>
      <w:r w:rsidRPr="002B6403">
        <w:rPr>
          <w:rStyle w:val="Heading2Char"/>
          <w:b/>
        </w:rPr>
        <w:lastRenderedPageBreak/>
        <w:t>2.</w:t>
      </w:r>
      <w:r w:rsidR="00955A2F" w:rsidRPr="002B6403">
        <w:rPr>
          <w:rStyle w:val="Heading2Char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A84E9B">
      <w:pPr>
        <w:pStyle w:val="Heading2"/>
      </w:pPr>
      <w:bookmarkStart w:id="18" w:name="_Toc484896747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A84E9B">
      <w:pPr>
        <w:pStyle w:val="Heading2"/>
      </w:pPr>
      <w:bookmarkStart w:id="19" w:name="_Toc484896748"/>
      <w:commentRangeStart w:id="20"/>
      <w:r>
        <w:lastRenderedPageBreak/>
        <w:t>2</w:t>
      </w:r>
      <w:commentRangeEnd w:id="20"/>
      <w:r w:rsidR="008824A6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Heading1"/>
      </w:pPr>
      <w:bookmarkStart w:id="21" w:name="_Toc484896749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550796E1" w14:textId="6552EC46" w:rsidR="00955A2F" w:rsidRDefault="00955A2F" w:rsidP="00A84E9B">
      <w:pPr>
        <w:pStyle w:val="Heading1"/>
      </w:pPr>
      <w:r>
        <w:br w:type="page"/>
      </w:r>
    </w:p>
    <w:p w14:paraId="388B72B3" w14:textId="7E955920" w:rsidR="00955A2F" w:rsidRDefault="00955A2F" w:rsidP="00A84E9B">
      <w:pPr>
        <w:pStyle w:val="Heading1"/>
      </w:pPr>
      <w:bookmarkStart w:id="23" w:name="_Toc484896750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58BC1990" w14:textId="6F883AD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3DCAF085" w:rsidR="00955A2F" w:rsidRPr="00955A2F" w:rsidRDefault="00955A2F" w:rsidP="00A84E9B">
      <w:pPr>
        <w:pStyle w:val="Heading1"/>
      </w:pPr>
      <w:bookmarkStart w:id="25" w:name="_Toc484896751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Heading1"/>
      </w:pPr>
      <w:bookmarkStart w:id="27" w:name="_Toc484896752"/>
      <w:commentRangeStart w:id="28"/>
      <w:r w:rsidRPr="001B3AA0">
        <w:lastRenderedPageBreak/>
        <w:t>6</w:t>
      </w:r>
      <w:commentRangeEnd w:id="28"/>
      <w:r w:rsidR="001B34CD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Heading1"/>
      </w:pPr>
      <w:bookmarkStart w:id="29" w:name="_Toc454176291"/>
      <w:bookmarkStart w:id="30" w:name="_Toc484896753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Heading1"/>
      </w:pPr>
      <w:bookmarkStart w:id="31" w:name="_Toc454176292"/>
      <w:bookmarkStart w:id="32" w:name="_Toc484896754"/>
      <w:r w:rsidRPr="00226BC8">
        <w:lastRenderedPageBreak/>
        <w:t>СПИСОК ИСПОЛЬЗОВАННЫХ ИСТОЧНИКОВ</w:t>
      </w:r>
      <w:bookmarkEnd w:id="31"/>
      <w:bookmarkEnd w:id="32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A84E9B">
      <w:pPr>
        <w:pStyle w:val="Heading1"/>
      </w:pPr>
      <w:bookmarkStart w:id="33" w:name="_Toc484896755"/>
      <w:r>
        <w:lastRenderedPageBreak/>
        <w:t>ПРИЛОЖЕНИЕ</w:t>
      </w:r>
      <w:bookmarkEnd w:id="33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A84E9B">
      <w:pPr>
        <w:pStyle w:val="Heading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185181B8" w14:textId="477249F7" w:rsidR="00462F55" w:rsidRDefault="0018524F" w:rsidP="00A84E9B">
      <w:pPr>
        <w:spacing w:line="720" w:lineRule="auto"/>
        <w:rPr>
          <w:b/>
        </w:rPr>
      </w:pPr>
      <w:r>
        <w:rPr>
          <w:b/>
        </w:rPr>
        <w:lastRenderedPageBreak/>
        <w:t>СПИСОК УСЛОВНЫХ ОБОЗНАЧЕНИЙ</w:t>
      </w:r>
    </w:p>
    <w:p w14:paraId="74DF7E5F" w14:textId="7F2AFF56" w:rsidR="00D709C3" w:rsidRPr="002D379A" w:rsidRDefault="00D709C3" w:rsidP="00A84E9B">
      <w:pPr>
        <w:spacing w:line="360" w:lineRule="auto"/>
      </w:pPr>
      <w:proofErr w:type="gramStart"/>
      <w:r>
        <w:rPr>
          <w:b/>
          <w:lang w:val="en-US"/>
        </w:rPr>
        <w:t>ASCII</w:t>
      </w:r>
      <w:r w:rsidRPr="002B6403">
        <w:rPr>
          <w:b/>
        </w:rPr>
        <w:t xml:space="preserve"> </w:t>
      </w:r>
      <w:r w:rsidR="002D379A" w:rsidRPr="002B6403">
        <w:rPr>
          <w:b/>
        </w:rPr>
        <w:t>–</w:t>
      </w:r>
      <w:r w:rsidRPr="002B6403">
        <w:rPr>
          <w:b/>
        </w:rPr>
        <w:t xml:space="preserve"> </w:t>
      </w:r>
      <w:r w:rsidR="002D379A" w:rsidRPr="002B6403">
        <w:t>(</w:t>
      </w:r>
      <w:r w:rsidR="002D379A">
        <w:t>англ</w:t>
      </w:r>
      <w:r w:rsidR="002D379A" w:rsidRPr="002B6403">
        <w:t>.</w:t>
      </w:r>
      <w:proofErr w:type="gramEnd"/>
      <w:r w:rsidR="002D379A" w:rsidRPr="002B6403">
        <w:t xml:space="preserve">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proofErr w:type="spellStart"/>
      <w:r w:rsidR="002D379A">
        <w:rPr>
          <w:lang w:val="en-US"/>
        </w:rPr>
        <w:t>Interchage</w:t>
      </w:r>
      <w:proofErr w:type="spellEnd"/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A84E9B">
      <w:pPr>
        <w:spacing w:line="360" w:lineRule="auto"/>
        <w:rPr>
          <w:szCs w:val="28"/>
          <w:lang w:eastAsia="ru-RU"/>
        </w:rPr>
      </w:pPr>
      <w:proofErr w:type="gramStart"/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>.</w:t>
      </w:r>
      <w:proofErr w:type="gramEnd"/>
      <w:r w:rsidRPr="002B640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A84E9B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2B6403" w:rsidRDefault="008311FC" w:rsidP="00A84E9B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A84E9B">
      <w:pPr>
        <w:spacing w:line="360" w:lineRule="auto"/>
        <w:rPr>
          <w:szCs w:val="28"/>
          <w:lang w:eastAsia="ru-RU"/>
        </w:rPr>
      </w:pPr>
      <w:proofErr w:type="gramStart"/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>.</w:t>
      </w:r>
      <w:proofErr w:type="gramEnd"/>
      <w:r w:rsidRPr="00927843">
        <w:rPr>
          <w:szCs w:val="28"/>
          <w:lang w:eastAsia="ru-RU"/>
        </w:rPr>
        <w:t xml:space="preserve"> </w:t>
      </w:r>
      <w:proofErr w:type="gramStart"/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proofErr w:type="spellStart"/>
      <w:r w:rsidR="00D709C3">
        <w:rPr>
          <w:szCs w:val="28"/>
          <w:lang w:val="en-US" w:eastAsia="ru-RU"/>
        </w:rPr>
        <w:lastRenderedPageBreak/>
        <w:t>buildingSMART</w:t>
      </w:r>
      <w:proofErr w:type="spellEnd"/>
      <w:r w:rsidR="00D709C3">
        <w:rPr>
          <w:szCs w:val="28"/>
          <w:lang w:eastAsia="ru-RU"/>
        </w:rPr>
        <w:t xml:space="preserve"> для обеспечения интероперабельности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  <w:proofErr w:type="gramEnd"/>
    </w:p>
    <w:p w14:paraId="24DA12BF" w14:textId="6FAFFCCA" w:rsidR="00D709C3" w:rsidRPr="00D709C3" w:rsidRDefault="00D709C3" w:rsidP="00A84E9B">
      <w:pPr>
        <w:spacing w:line="360" w:lineRule="auto"/>
        <w:rPr>
          <w:szCs w:val="28"/>
          <w:lang w:eastAsia="ru-RU"/>
        </w:rPr>
      </w:pPr>
      <w:proofErr w:type="gramStart"/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англ.</w:t>
      </w:r>
      <w:proofErr w:type="gramEnd"/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интероперабельности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>, основанная в 1995 году и объединившая специалистов строительства и создателей программ из 21 страны, занимается разработкой стандартов по Интероперабельности.</w:t>
      </w:r>
    </w:p>
    <w:p w14:paraId="0E3B3B70" w14:textId="4D1AA85E" w:rsidR="00EA6023" w:rsidRDefault="00EA6023" w:rsidP="00A84E9B">
      <w:pPr>
        <w:pStyle w:val="NoSpacing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A84E9B">
      <w:pPr>
        <w:pStyle w:val="NoSpacing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proofErr w:type="gramStart"/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>.</w:t>
      </w:r>
      <w:proofErr w:type="gramEnd"/>
      <w:r>
        <w:t xml:space="preserve"> </w:t>
      </w:r>
    </w:p>
    <w:p w14:paraId="54AC039B" w14:textId="1C518CC9" w:rsidR="00462F55" w:rsidRDefault="00462F55" w:rsidP="00A84E9B">
      <w:pPr>
        <w:pStyle w:val="NoSpacing"/>
        <w:spacing w:line="360" w:lineRule="auto"/>
      </w:pPr>
      <w:proofErr w:type="gramStart"/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>.</w:t>
      </w:r>
      <w:proofErr w:type="gramEnd"/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53636490" w:rsidR="00EA6023" w:rsidRPr="00226BC8" w:rsidRDefault="0018524F" w:rsidP="00A84E9B">
      <w:pPr>
        <w:spacing w:line="360" w:lineRule="auto"/>
        <w:rPr>
          <w:b/>
        </w:rPr>
      </w:pPr>
      <w:r>
        <w:rPr>
          <w:b/>
        </w:rPr>
        <w:t>СПИСОК ТЕРМИНОВ</w:t>
      </w:r>
    </w:p>
    <w:p w14:paraId="7F92C5DF" w14:textId="542CBDD2" w:rsidR="00EA6023" w:rsidRDefault="00EA6023" w:rsidP="00A84E9B">
      <w:pPr>
        <w:pStyle w:val="NoSpacing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A84E9B">
      <w:pPr>
        <w:pStyle w:val="NoSpacing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A84E9B">
      <w:pPr>
        <w:pStyle w:val="NoSpacing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 xml:space="preserve">- свойство соответствующего класса объектов реального мира, которым объекты, соответствующие данной сущности, </w:t>
      </w:r>
      <w:r>
        <w:lastRenderedPageBreak/>
        <w:t>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A84E9B">
      <w:pPr>
        <w:pStyle w:val="NoSpacing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A84E9B">
      <w:pPr>
        <w:pStyle w:val="NoSpacing"/>
        <w:spacing w:line="360" w:lineRule="auto"/>
      </w:pPr>
      <w:r>
        <w:rPr>
          <w:b/>
        </w:rPr>
        <w:t>Интероперабельность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A84E9B">
      <w:pPr>
        <w:spacing w:line="360" w:lineRule="auto"/>
        <w:rPr>
          <w:b/>
          <w:szCs w:val="28"/>
          <w:lang w:eastAsia="ru-RU"/>
        </w:rPr>
      </w:pPr>
      <w:proofErr w:type="gramStart"/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  <w:proofErr w:type="gramEnd"/>
    </w:p>
    <w:p w14:paraId="17689B17" w14:textId="3A3D5AED" w:rsidR="0034000D" w:rsidRPr="00A255AD" w:rsidRDefault="0034000D" w:rsidP="00A84E9B">
      <w:pPr>
        <w:spacing w:line="360" w:lineRule="auto"/>
        <w:rPr>
          <w:szCs w:val="28"/>
          <w:lang w:eastAsia="ru-RU"/>
        </w:rPr>
      </w:pPr>
      <w:proofErr w:type="gramStart"/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  <w:proofErr w:type="gramEnd"/>
    </w:p>
    <w:p w14:paraId="6ED9B0A5" w14:textId="04846AD1" w:rsidR="0034000D" w:rsidRPr="0034000D" w:rsidRDefault="0034000D" w:rsidP="00A84E9B">
      <w:pPr>
        <w:spacing w:line="360" w:lineRule="auto"/>
        <w:rPr>
          <w:b/>
          <w:szCs w:val="28"/>
          <w:lang w:eastAsia="ru-RU"/>
        </w:rPr>
      </w:pPr>
      <w:proofErr w:type="gramStart"/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репозиторий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  <w:proofErr w:type="gramEnd"/>
    </w:p>
    <w:p w14:paraId="39372D78" w14:textId="337764BD" w:rsidR="005A47E5" w:rsidRPr="005A47E5" w:rsidRDefault="005A47E5" w:rsidP="00A84E9B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0962BE78" w:rsidR="0034000D" w:rsidRPr="002B6403" w:rsidRDefault="00A653A0" w:rsidP="002D379A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Дарина Гусева" w:date="2017-05-22T16:34:00Z" w:initials="ДГ">
    <w:p w14:paraId="5B500453" w14:textId="77777777" w:rsidR="000D1526" w:rsidRDefault="000D1526">
      <w:pPr>
        <w:pStyle w:val="CommentText"/>
      </w:pPr>
      <w:r>
        <w:rPr>
          <w:rStyle w:val="CommentReference"/>
        </w:rPr>
        <w:annotationRef/>
      </w:r>
      <w:r>
        <w:t>титульник</w:t>
      </w:r>
    </w:p>
  </w:comment>
  <w:comment w:id="11" w:author="Дарина Гусева" w:date="2017-06-09T20:38:00Z" w:initials="ДГ">
    <w:p w14:paraId="13C46882" w14:textId="71AAD4B0" w:rsidR="000D1526" w:rsidRDefault="000D1526">
      <w:pPr>
        <w:pStyle w:val="CommentText"/>
      </w:pPr>
      <w:r>
        <w:rPr>
          <w:rStyle w:val="CommentReference"/>
        </w:rPr>
        <w:annotationRef/>
      </w:r>
      <w:r>
        <w:t xml:space="preserve">я </w:t>
      </w:r>
      <w:r>
        <w:t>бы написала что в настоящее время существует множество обработчиков геометрии бреп и смысла в создании отдельного обработтчика для каждого типа геометрии нет, а вместо этого удобнее сделать единый конвертер приводящий элементы представленные в «любом» типе геометрии к брепу</w:t>
      </w:r>
    </w:p>
  </w:comment>
  <w:comment w:id="13" w:author="Дарина Гусева" w:date="2017-06-10T22:22:00Z" w:initials="ДГ">
    <w:p w14:paraId="4D980AE5" w14:textId="1CB664B2" w:rsidR="000D1526" w:rsidRDefault="000D1526">
      <w:pPr>
        <w:pStyle w:val="CommentText"/>
      </w:pPr>
      <w:r>
        <w:rPr>
          <w:rStyle w:val="CommentReference"/>
        </w:rPr>
        <w:annotationRef/>
      </w:r>
      <w:r w:rsidRPr="00226BC8">
        <w:t xml:space="preserve">(5-10 </w:t>
      </w:r>
      <w:r w:rsidRPr="00226BC8">
        <w:t>лист, 4-5 слайд)</w:t>
      </w:r>
    </w:p>
  </w:comment>
  <w:comment w:id="20" w:author="Дарина Гусева" w:date="2017-06-09T20:53:00Z" w:initials="ДГ">
    <w:p w14:paraId="71A0C7CD" w14:textId="77777777" w:rsidR="000D1526" w:rsidRDefault="000D1526">
      <w:pPr>
        <w:pStyle w:val="CommentText"/>
      </w:pPr>
      <w:r>
        <w:rPr>
          <w:rStyle w:val="CommentReference"/>
        </w:rPr>
        <w:annotationRef/>
      </w:r>
      <w:r>
        <w:t xml:space="preserve">скорее </w:t>
      </w:r>
      <w:r>
        <w:t xml:space="preserve">всего это функциональность которую система предоставляет (др проги не умеют а моя умеет) </w:t>
      </w:r>
    </w:p>
    <w:p w14:paraId="59EA5C51" w14:textId="77777777" w:rsidR="000D1526" w:rsidRDefault="000D1526">
      <w:pPr>
        <w:pStyle w:val="CommentText"/>
      </w:pPr>
      <w:r>
        <w:t>а еще можно оценить ресурсы которая она потребляет, время и память</w:t>
      </w:r>
    </w:p>
    <w:p w14:paraId="6FFF9553" w14:textId="77777777" w:rsidR="000D1526" w:rsidRDefault="000D1526">
      <w:pPr>
        <w:pStyle w:val="CommentText"/>
      </w:pPr>
      <w:r>
        <w:t xml:space="preserve">на каких ОС может работать по сравнению с аналогами </w:t>
      </w:r>
    </w:p>
    <w:p w14:paraId="0249A867" w14:textId="77777777" w:rsidR="000D1526" w:rsidRDefault="000D1526">
      <w:pPr>
        <w:pStyle w:val="CommentText"/>
      </w:pPr>
      <w:r>
        <w:t>оценить сложность поддержки( есть ли документация, как код написан, язык распространенный, какие библ-ки исп-ся</w:t>
      </w:r>
    </w:p>
    <w:p w14:paraId="26EE7DC1" w14:textId="77777777" w:rsidR="000D1526" w:rsidRDefault="000D1526">
      <w:pPr>
        <w:pStyle w:val="CommentText"/>
      </w:pPr>
      <w:r>
        <w:t>+в кач-ве док-ции еще исп-ся идеф0 и юмл мб</w:t>
      </w:r>
    </w:p>
    <w:p w14:paraId="1FB19F9A" w14:textId="265B22AA" w:rsidR="000D1526" w:rsidRDefault="000D1526">
      <w:pPr>
        <w:pStyle w:val="CommentText"/>
      </w:pPr>
    </w:p>
  </w:comment>
  <w:comment w:id="22" w:author="Дарина Гусева" w:date="2017-06-10T22:22:00Z" w:initials="ДГ">
    <w:p w14:paraId="3311458F" w14:textId="5DC6504A" w:rsidR="000D1526" w:rsidRDefault="000D1526">
      <w:pPr>
        <w:pStyle w:val="CommentText"/>
      </w:pPr>
      <w:r>
        <w:rPr>
          <w:rStyle w:val="CommentReference"/>
        </w:rPr>
        <w:annotationRef/>
      </w:r>
      <w:r w:rsidRPr="00955A2F">
        <w:t xml:space="preserve">(2-5 </w:t>
      </w:r>
      <w:r w:rsidRPr="00955A2F">
        <w:t>лист)</w:t>
      </w:r>
    </w:p>
  </w:comment>
  <w:comment w:id="24" w:author="Дарина Гусева" w:date="2017-06-10T22:22:00Z" w:initials="ДГ">
    <w:p w14:paraId="4289191C" w14:textId="14933C97" w:rsidR="000D1526" w:rsidRDefault="000D1526">
      <w:pPr>
        <w:pStyle w:val="CommentText"/>
      </w:pPr>
      <w:r>
        <w:rPr>
          <w:rStyle w:val="CommentReference"/>
        </w:rPr>
        <w:annotationRef/>
      </w:r>
      <w:r w:rsidRPr="00955A2F">
        <w:t xml:space="preserve">(10-15 </w:t>
      </w:r>
      <w:r w:rsidRPr="00955A2F">
        <w:t>лист, 5-6 слайд)</w:t>
      </w:r>
    </w:p>
  </w:comment>
  <w:comment w:id="26" w:author="Дарина Гусева" w:date="2017-06-10T22:23:00Z" w:initials="ДГ">
    <w:p w14:paraId="068CD059" w14:textId="77777777" w:rsidR="000D1526" w:rsidRPr="00955A2F" w:rsidRDefault="000D1526" w:rsidP="00A84E9B">
      <w:pPr>
        <w:pStyle w:val="Heading1"/>
      </w:pPr>
      <w:r>
        <w:rPr>
          <w:rStyle w:val="CommentReference"/>
        </w:rPr>
        <w:annotationRef/>
      </w:r>
      <w:r w:rsidRPr="00955A2F">
        <w:t xml:space="preserve">(10-15 </w:t>
      </w:r>
      <w:r w:rsidRPr="00955A2F">
        <w:t>лист, 4-5 слайд)</w:t>
      </w:r>
    </w:p>
    <w:p w14:paraId="2D79FADB" w14:textId="3B99638C" w:rsidR="000D1526" w:rsidRDefault="000D1526">
      <w:pPr>
        <w:pStyle w:val="CommentText"/>
      </w:pPr>
    </w:p>
  </w:comment>
  <w:comment w:id="28" w:author="Дарина Гусева" w:date="2017-06-10T13:53:00Z" w:initials="ДГ">
    <w:p w14:paraId="62382D0F" w14:textId="42B2B685" w:rsidR="000D1526" w:rsidRPr="001B34CD" w:rsidRDefault="000D1526">
      <w:pPr>
        <w:pStyle w:val="CommentText"/>
      </w:pPr>
      <w:r>
        <w:rPr>
          <w:rStyle w:val="CommentReference"/>
        </w:rPr>
        <w:annotationRef/>
      </w:r>
      <w:r>
        <w:t xml:space="preserve">Прочитала </w:t>
      </w:r>
      <w:r>
        <w:t xml:space="preserve">файл, был исходный – добавила бреп репрезентейшн. Стены , «я буду продолжать в магистратуре» </w:t>
      </w:r>
      <w:r>
        <w:br/>
        <w:t>что было и что стало - схема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13C46882" w15:done="0"/>
  <w15:commentEx w15:paraId="4D980AE5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D8A62" w14:textId="77777777" w:rsidR="00461224" w:rsidRDefault="00461224" w:rsidP="002D03AA">
      <w:pPr>
        <w:spacing w:after="0" w:line="240" w:lineRule="auto"/>
      </w:pPr>
      <w:r>
        <w:separator/>
      </w:r>
    </w:p>
  </w:endnote>
  <w:endnote w:type="continuationSeparator" w:id="0">
    <w:p w14:paraId="6BAD293C" w14:textId="77777777" w:rsidR="00461224" w:rsidRDefault="00461224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y 9"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0D1526" w:rsidRDefault="000D1526" w:rsidP="002D03AA">
        <w:pPr>
          <w:pStyle w:val="Footer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CD9">
          <w:rPr>
            <w:noProof/>
          </w:rPr>
          <w:t>8</w:t>
        </w:r>
        <w:r>
          <w:fldChar w:fldCharType="end"/>
        </w:r>
      </w:p>
    </w:sdtContent>
  </w:sdt>
  <w:p w14:paraId="5CE3447C" w14:textId="77777777" w:rsidR="000D1526" w:rsidRDefault="000D1526" w:rsidP="002D03AA">
    <w:pPr>
      <w:pStyle w:val="Footer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A8754" w14:textId="7F855352" w:rsidR="000D1526" w:rsidRDefault="000D1526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EE9EE" w14:textId="77777777" w:rsidR="00461224" w:rsidRDefault="00461224" w:rsidP="002D03AA">
      <w:pPr>
        <w:spacing w:after="0" w:line="240" w:lineRule="auto"/>
      </w:pPr>
      <w:r>
        <w:separator/>
      </w:r>
    </w:p>
  </w:footnote>
  <w:footnote w:type="continuationSeparator" w:id="0">
    <w:p w14:paraId="2F99EFC7" w14:textId="77777777" w:rsidR="00461224" w:rsidRDefault="00461224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AA"/>
    <w:rsid w:val="00006D95"/>
    <w:rsid w:val="000903E9"/>
    <w:rsid w:val="000C0CE6"/>
    <w:rsid w:val="000D1526"/>
    <w:rsid w:val="0018524F"/>
    <w:rsid w:val="001B34CD"/>
    <w:rsid w:val="001D29DF"/>
    <w:rsid w:val="00226BC8"/>
    <w:rsid w:val="00237832"/>
    <w:rsid w:val="00245764"/>
    <w:rsid w:val="002B6403"/>
    <w:rsid w:val="002D03AA"/>
    <w:rsid w:val="002D379A"/>
    <w:rsid w:val="0030365E"/>
    <w:rsid w:val="003372BA"/>
    <w:rsid w:val="0034000D"/>
    <w:rsid w:val="00355DEC"/>
    <w:rsid w:val="003813D8"/>
    <w:rsid w:val="003D4A49"/>
    <w:rsid w:val="003E7CD9"/>
    <w:rsid w:val="003F496F"/>
    <w:rsid w:val="00430471"/>
    <w:rsid w:val="004338DF"/>
    <w:rsid w:val="00436F58"/>
    <w:rsid w:val="00461224"/>
    <w:rsid w:val="00462F55"/>
    <w:rsid w:val="00474C6C"/>
    <w:rsid w:val="00497EAD"/>
    <w:rsid w:val="004A21A1"/>
    <w:rsid w:val="005A47E5"/>
    <w:rsid w:val="005F3B92"/>
    <w:rsid w:val="0060619A"/>
    <w:rsid w:val="006165AC"/>
    <w:rsid w:val="00667274"/>
    <w:rsid w:val="006865F8"/>
    <w:rsid w:val="0069044A"/>
    <w:rsid w:val="007139C2"/>
    <w:rsid w:val="00790BBB"/>
    <w:rsid w:val="007D0EB0"/>
    <w:rsid w:val="007E472C"/>
    <w:rsid w:val="007F1247"/>
    <w:rsid w:val="008311FC"/>
    <w:rsid w:val="00840894"/>
    <w:rsid w:val="008824A6"/>
    <w:rsid w:val="00891E37"/>
    <w:rsid w:val="00927843"/>
    <w:rsid w:val="00955A2F"/>
    <w:rsid w:val="00972B64"/>
    <w:rsid w:val="009778FC"/>
    <w:rsid w:val="009F0253"/>
    <w:rsid w:val="00A159DD"/>
    <w:rsid w:val="00A255AD"/>
    <w:rsid w:val="00A41EE5"/>
    <w:rsid w:val="00A653A0"/>
    <w:rsid w:val="00A701AA"/>
    <w:rsid w:val="00A84E9B"/>
    <w:rsid w:val="00AB76AD"/>
    <w:rsid w:val="00B20EF0"/>
    <w:rsid w:val="00B325B9"/>
    <w:rsid w:val="00B516D4"/>
    <w:rsid w:val="00BB5BAC"/>
    <w:rsid w:val="00C72DE3"/>
    <w:rsid w:val="00CB46C2"/>
    <w:rsid w:val="00D25687"/>
    <w:rsid w:val="00D709C3"/>
    <w:rsid w:val="00D865DA"/>
    <w:rsid w:val="00DC1B3A"/>
    <w:rsid w:val="00E11830"/>
    <w:rsid w:val="00E20245"/>
    <w:rsid w:val="00EA6023"/>
    <w:rsid w:val="00F01F1E"/>
    <w:rsid w:val="00F6160C"/>
    <w:rsid w:val="00F8574B"/>
    <w:rsid w:val="00F9431B"/>
    <w:rsid w:val="00FD2313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55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4E9B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AA"/>
  </w:style>
  <w:style w:type="paragraph" w:styleId="Footer">
    <w:name w:val="footer"/>
    <w:basedOn w:val="Normal"/>
    <w:link w:val="FooterChar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AA"/>
  </w:style>
  <w:style w:type="character" w:styleId="CommentReference">
    <w:name w:val="annotation reference"/>
    <w:basedOn w:val="DefaultParagraphFont"/>
    <w:uiPriority w:val="99"/>
    <w:semiHidden/>
    <w:unhideWhenUsed/>
    <w:rsid w:val="002D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62F55"/>
  </w:style>
  <w:style w:type="character" w:styleId="Hyperlink">
    <w:name w:val="Hyperlink"/>
    <w:basedOn w:val="DefaultParagraphFont"/>
    <w:uiPriority w:val="99"/>
    <w:unhideWhenUsed/>
    <w:rsid w:val="00462F55"/>
    <w:rPr>
      <w:color w:val="0000FF"/>
      <w:u w:val="single"/>
    </w:rPr>
  </w:style>
  <w:style w:type="paragraph" w:styleId="NoSpacing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37832"/>
    <w:pPr>
      <w:spacing w:after="100"/>
    </w:pPr>
  </w:style>
  <w:style w:type="paragraph" w:customStyle="1" w:styleId="a">
    <w:name w:val="для рефератов"/>
    <w:basedOn w:val="Normal"/>
    <w:link w:val="a0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0">
    <w:name w:val="для рефератов Знак"/>
    <w:basedOn w:val="DefaultParagraphFont"/>
    <w:link w:val="a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26BC8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0D1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55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4E9B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AA"/>
  </w:style>
  <w:style w:type="paragraph" w:styleId="Footer">
    <w:name w:val="footer"/>
    <w:basedOn w:val="Normal"/>
    <w:link w:val="FooterChar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AA"/>
  </w:style>
  <w:style w:type="character" w:styleId="CommentReference">
    <w:name w:val="annotation reference"/>
    <w:basedOn w:val="DefaultParagraphFont"/>
    <w:uiPriority w:val="99"/>
    <w:semiHidden/>
    <w:unhideWhenUsed/>
    <w:rsid w:val="002D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62F55"/>
  </w:style>
  <w:style w:type="character" w:styleId="Hyperlink">
    <w:name w:val="Hyperlink"/>
    <w:basedOn w:val="DefaultParagraphFont"/>
    <w:uiPriority w:val="99"/>
    <w:unhideWhenUsed/>
    <w:rsid w:val="00462F55"/>
    <w:rPr>
      <w:color w:val="0000FF"/>
      <w:u w:val="single"/>
    </w:rPr>
  </w:style>
  <w:style w:type="paragraph" w:styleId="NoSpacing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37832"/>
    <w:pPr>
      <w:spacing w:after="100"/>
    </w:pPr>
  </w:style>
  <w:style w:type="paragraph" w:customStyle="1" w:styleId="a">
    <w:name w:val="для рефератов"/>
    <w:basedOn w:val="Normal"/>
    <w:link w:val="a0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0">
    <w:name w:val="для рефератов Знак"/>
    <w:basedOn w:val="DefaultParagraphFont"/>
    <w:link w:val="a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26BC8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0D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0B69A49-5406-4AF3-91F1-5780FF5C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30</Pages>
  <Words>2262</Words>
  <Characters>12898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pavel</cp:lastModifiedBy>
  <cp:revision>27</cp:revision>
  <dcterms:created xsi:type="dcterms:W3CDTF">2017-06-07T14:45:00Z</dcterms:created>
  <dcterms:modified xsi:type="dcterms:W3CDTF">2017-06-13T14:34:00Z</dcterms:modified>
</cp:coreProperties>
</file>