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C846" w14:textId="77777777" w:rsidR="00156977" w:rsidRDefault="00A83DB6" w:rsidP="00A83DB6">
      <w:pPr>
        <w:pStyle w:val="Heading1"/>
        <w:rPr>
          <w:color w:val="auto"/>
        </w:rPr>
      </w:pPr>
      <w:r w:rsidRPr="00A83DB6">
        <w:rPr>
          <w:color w:val="auto"/>
        </w:rPr>
        <w:t xml:space="preserve">A Bayesian </w:t>
      </w:r>
      <w:r w:rsidR="009B048C">
        <w:rPr>
          <w:color w:val="auto"/>
        </w:rPr>
        <w:t>Emulator</w:t>
      </w:r>
      <w:r w:rsidR="00502331">
        <w:rPr>
          <w:color w:val="auto"/>
        </w:rPr>
        <w:t xml:space="preserve"> </w:t>
      </w:r>
      <w:r w:rsidR="00156977">
        <w:rPr>
          <w:color w:val="auto"/>
        </w:rPr>
        <w:t xml:space="preserve">Methodology </w:t>
      </w:r>
      <w:r w:rsidR="00502331">
        <w:rPr>
          <w:color w:val="auto"/>
        </w:rPr>
        <w:t xml:space="preserve">to Support Evidence-Based </w:t>
      </w:r>
      <w:r w:rsidR="009B048C">
        <w:rPr>
          <w:color w:val="auto"/>
        </w:rPr>
        <w:t>Building Energy Model Parameterisation</w:t>
      </w:r>
      <w:r w:rsidR="0086133C">
        <w:rPr>
          <w:color w:val="auto"/>
        </w:rPr>
        <w:t xml:space="preserve"> and </w:t>
      </w:r>
      <w:r w:rsidR="009B048C">
        <w:rPr>
          <w:color w:val="auto"/>
        </w:rPr>
        <w:t>U</w:t>
      </w:r>
      <w:r w:rsidRPr="00A83DB6">
        <w:rPr>
          <w:color w:val="auto"/>
        </w:rPr>
        <w:t xml:space="preserve">ncertainty </w:t>
      </w:r>
      <w:r w:rsidR="009B048C">
        <w:rPr>
          <w:color w:val="auto"/>
        </w:rPr>
        <w:t>A</w:t>
      </w:r>
      <w:r w:rsidRPr="00A83DB6">
        <w:rPr>
          <w:color w:val="auto"/>
        </w:rPr>
        <w:t>nalysis</w:t>
      </w:r>
    </w:p>
    <w:p w14:paraId="7F696319" w14:textId="689C11A5" w:rsidR="002D5443" w:rsidRDefault="00CE2B97" w:rsidP="00A83DB6">
      <w:pPr>
        <w:pStyle w:val="Heading1"/>
        <w:rPr>
          <w:color w:val="auto"/>
        </w:rPr>
      </w:pPr>
      <w:r>
        <w:rPr>
          <w:color w:val="auto"/>
        </w:rPr>
        <w:t xml:space="preserve"> </w:t>
      </w:r>
    </w:p>
    <w:p w14:paraId="231D4C18" w14:textId="75E7FFE3" w:rsidR="003F2AAE" w:rsidRDefault="003F2AAE" w:rsidP="003F2AAE">
      <w:pPr>
        <w:pStyle w:val="PlainText"/>
        <w:rPr>
          <w:vertAlign w:val="superscript"/>
        </w:rPr>
      </w:pPr>
      <w:r>
        <w:t>Mohammad Royapoor</w:t>
      </w:r>
      <w:r w:rsidR="00CE2B97" w:rsidRPr="00CE2B97">
        <w:rPr>
          <w:vertAlign w:val="superscript"/>
        </w:rPr>
        <w:t>a</w:t>
      </w:r>
      <w:r>
        <w:t>,</w:t>
      </w:r>
      <w:r w:rsidR="00F072DF">
        <w:t xml:space="preserve"> Dario Domingo</w:t>
      </w:r>
      <w:r w:rsidR="00F072DF" w:rsidRPr="00CE2B97">
        <w:rPr>
          <w:vertAlign w:val="superscript"/>
        </w:rPr>
        <w:t>b</w:t>
      </w:r>
      <w:r w:rsidR="00F072DF">
        <w:t>,</w:t>
      </w:r>
      <w:r w:rsidR="00210B8E">
        <w:t xml:space="preserve"> </w:t>
      </w:r>
      <w:r>
        <w:t xml:space="preserve">Hailiang </w:t>
      </w:r>
      <w:r w:rsidR="00CE2B97">
        <w:t>Du</w:t>
      </w:r>
      <w:r w:rsidR="00CE2B97" w:rsidRPr="00CE2B97">
        <w:rPr>
          <w:vertAlign w:val="superscript"/>
        </w:rPr>
        <w:t>b</w:t>
      </w:r>
      <w:r w:rsidR="00CE2B97">
        <w:t>, Aaron Boranian</w:t>
      </w:r>
      <w:r w:rsidR="00CE2B97" w:rsidRPr="00CE2B97">
        <w:rPr>
          <w:vertAlign w:val="superscript"/>
        </w:rPr>
        <w:t>c</w:t>
      </w:r>
      <w:r w:rsidR="00CE2B97">
        <w:t>, Sara</w:t>
      </w:r>
      <w:r>
        <w:t xml:space="preserve"> Walker</w:t>
      </w:r>
      <w:r w:rsidR="00CE2B97" w:rsidRPr="00CE2B97">
        <w:rPr>
          <w:vertAlign w:val="superscript"/>
        </w:rPr>
        <w:t>a</w:t>
      </w:r>
      <w:r>
        <w:t>, Michael G</w:t>
      </w:r>
      <w:r w:rsidRPr="003F2AAE">
        <w:t>oldstein</w:t>
      </w:r>
      <w:r w:rsidR="00CE2B97" w:rsidRPr="00CE2B97">
        <w:rPr>
          <w:vertAlign w:val="superscript"/>
        </w:rPr>
        <w:t>b</w:t>
      </w:r>
    </w:p>
    <w:p w14:paraId="67DBCE3B" w14:textId="77777777" w:rsidR="00CE2B97" w:rsidRPr="00CE2B97" w:rsidRDefault="00CE2B97" w:rsidP="003F2AAE">
      <w:pPr>
        <w:pStyle w:val="PlainText"/>
      </w:pPr>
    </w:p>
    <w:p w14:paraId="7683AB3C" w14:textId="643323B1" w:rsidR="00CE2B97" w:rsidRPr="001769CF" w:rsidRDefault="00CE2B97" w:rsidP="003F2AAE">
      <w:pPr>
        <w:pStyle w:val="PlainText"/>
        <w:rPr>
          <w:sz w:val="18"/>
          <w:szCs w:val="18"/>
        </w:rPr>
      </w:pPr>
      <w:r w:rsidRPr="001769CF">
        <w:rPr>
          <w:sz w:val="18"/>
          <w:szCs w:val="18"/>
        </w:rPr>
        <w:t>[a] School of Engineering, Newcastle University, Newcastle upon Tyne, NE1 7RU</w:t>
      </w:r>
    </w:p>
    <w:p w14:paraId="344D1C07" w14:textId="6517FC33" w:rsidR="00CE2B97" w:rsidRPr="001769CF" w:rsidRDefault="00CE2B97" w:rsidP="003F2AAE">
      <w:pPr>
        <w:pStyle w:val="PlainText"/>
        <w:rPr>
          <w:sz w:val="18"/>
          <w:szCs w:val="18"/>
        </w:rPr>
      </w:pPr>
      <w:r w:rsidRPr="001769CF">
        <w:rPr>
          <w:sz w:val="18"/>
          <w:szCs w:val="18"/>
        </w:rPr>
        <w:t>[b</w:t>
      </w:r>
      <w:r w:rsidR="001769CF" w:rsidRPr="001769CF">
        <w:rPr>
          <w:sz w:val="18"/>
          <w:szCs w:val="18"/>
        </w:rPr>
        <w:t>] Department</w:t>
      </w:r>
      <w:r w:rsidRPr="001769CF">
        <w:rPr>
          <w:sz w:val="18"/>
          <w:szCs w:val="18"/>
        </w:rPr>
        <w:t xml:space="preserve"> of Mathematical Sciences, Durham University, Durham, DH1 3LE</w:t>
      </w:r>
    </w:p>
    <w:p w14:paraId="160D683E" w14:textId="0247F22A" w:rsidR="008C1E0F" w:rsidRPr="001769CF" w:rsidRDefault="00CE2B97" w:rsidP="008C1E0F">
      <w:pPr>
        <w:pStyle w:val="PlainText"/>
        <w:rPr>
          <w:sz w:val="18"/>
          <w:szCs w:val="18"/>
        </w:rPr>
      </w:pPr>
      <w:r w:rsidRPr="001769CF">
        <w:rPr>
          <w:sz w:val="18"/>
          <w:szCs w:val="18"/>
        </w:rPr>
        <w:t>[c</w:t>
      </w:r>
      <w:r w:rsidR="001769CF" w:rsidRPr="001769CF">
        <w:rPr>
          <w:sz w:val="18"/>
          <w:szCs w:val="18"/>
        </w:rPr>
        <w:t>] Big</w:t>
      </w:r>
      <w:r w:rsidR="008C1E0F" w:rsidRPr="001769CF">
        <w:rPr>
          <w:sz w:val="18"/>
          <w:szCs w:val="18"/>
        </w:rPr>
        <w:t xml:space="preserve"> Ladder Software LLC, Denver, CO 80202</w:t>
      </w:r>
    </w:p>
    <w:p w14:paraId="0E78D037" w14:textId="79852E58" w:rsidR="008C1E0F" w:rsidRPr="008C1E0F" w:rsidRDefault="008C1E0F" w:rsidP="008C1E0F">
      <w:pPr>
        <w:pStyle w:val="PlainText"/>
        <w:rPr>
          <w:sz w:val="14"/>
          <w:szCs w:val="14"/>
        </w:rPr>
      </w:pPr>
    </w:p>
    <w:p w14:paraId="0653181E" w14:textId="049F3A06" w:rsidR="000058B1" w:rsidRDefault="000058B1" w:rsidP="003F2AAE">
      <w:pPr>
        <w:pStyle w:val="PlainText"/>
        <w:rPr>
          <w:b/>
          <w:sz w:val="14"/>
          <w:szCs w:val="14"/>
        </w:rPr>
      </w:pPr>
      <w:r>
        <w:rPr>
          <w:b/>
          <w:sz w:val="14"/>
          <w:szCs w:val="14"/>
        </w:rPr>
        <w:t>How many CV(RMS</w:t>
      </w:r>
      <w:r w:rsidR="009C5504">
        <w:rPr>
          <w:b/>
          <w:sz w:val="14"/>
          <w:szCs w:val="14"/>
        </w:rPr>
        <w:t xml:space="preserve">E) and MBE are </w:t>
      </w:r>
      <w:r w:rsidR="008B39E7">
        <w:rPr>
          <w:b/>
          <w:sz w:val="14"/>
          <w:szCs w:val="14"/>
        </w:rPr>
        <w:t>in each</w:t>
      </w:r>
      <w:r w:rsidR="009C5504">
        <w:rPr>
          <w:b/>
          <w:sz w:val="14"/>
          <w:szCs w:val="14"/>
        </w:rPr>
        <w:t xml:space="preserve"> energy s</w:t>
      </w:r>
      <w:r>
        <w:rPr>
          <w:b/>
          <w:sz w:val="14"/>
          <w:szCs w:val="14"/>
        </w:rPr>
        <w:t>ubcat that qualify as calibrated model.</w:t>
      </w:r>
      <w:r w:rsidR="00F01A9C">
        <w:rPr>
          <w:b/>
          <w:sz w:val="14"/>
          <w:szCs w:val="14"/>
        </w:rPr>
        <w:t xml:space="preserve"> Could it be that we chose a smaller </w:t>
      </w:r>
      <w:r w:rsidR="00685615">
        <w:rPr>
          <w:b/>
          <w:sz w:val="14"/>
          <w:szCs w:val="14"/>
        </w:rPr>
        <w:t>parameter space that the emulator did not have enough information to be able to completely define the uncertainty space.</w:t>
      </w:r>
      <w:r w:rsidR="005F19D9">
        <w:rPr>
          <w:b/>
          <w:sz w:val="14"/>
          <w:szCs w:val="14"/>
        </w:rPr>
        <w:t xml:space="preserve"> Run and emulate over a bigger parameter space</w:t>
      </w:r>
      <w:r w:rsidR="00490E8C">
        <w:rPr>
          <w:b/>
          <w:sz w:val="14"/>
          <w:szCs w:val="14"/>
        </w:rPr>
        <w:t xml:space="preserve">: </w:t>
      </w:r>
    </w:p>
    <w:p w14:paraId="5031D8CA" w14:textId="57A85CEE" w:rsidR="00490E8C" w:rsidRDefault="00383C01" w:rsidP="003F2AAE">
      <w:pPr>
        <w:pStyle w:val="PlainText"/>
        <w:rPr>
          <w:b/>
          <w:sz w:val="14"/>
          <w:szCs w:val="14"/>
        </w:rPr>
      </w:pPr>
      <w:r>
        <w:rPr>
          <w:b/>
          <w:sz w:val="14"/>
          <w:szCs w:val="14"/>
        </w:rPr>
        <w:t>However,</w:t>
      </w:r>
      <w:r w:rsidR="0045493F">
        <w:rPr>
          <w:b/>
          <w:sz w:val="14"/>
          <w:szCs w:val="14"/>
        </w:rPr>
        <w:t xml:space="preserve"> as the number of spaces increase the </w:t>
      </w:r>
    </w:p>
    <w:p w14:paraId="6504D8C7" w14:textId="05FD3E83" w:rsidR="00CB2F08" w:rsidRDefault="00CB2F08" w:rsidP="003F2AAE">
      <w:pPr>
        <w:pStyle w:val="PlainText"/>
        <w:rPr>
          <w:b/>
          <w:sz w:val="14"/>
          <w:szCs w:val="14"/>
        </w:rPr>
      </w:pPr>
    </w:p>
    <w:p w14:paraId="5F53D080" w14:textId="2BF8B5B0" w:rsidR="00CB2F08" w:rsidRPr="00B03871" w:rsidRDefault="009D45F5" w:rsidP="003F2AAE">
      <w:pPr>
        <w:pStyle w:val="PlainText"/>
        <w:rPr>
          <w:b/>
          <w:sz w:val="14"/>
          <w:szCs w:val="14"/>
        </w:rPr>
      </w:pPr>
      <w:r>
        <w:rPr>
          <w:b/>
          <w:sz w:val="14"/>
          <w:szCs w:val="14"/>
        </w:rPr>
        <w:t xml:space="preserve">Cut out the parameters that are not </w:t>
      </w:r>
      <w:r w:rsidR="0010560F">
        <w:rPr>
          <w:b/>
          <w:sz w:val="14"/>
          <w:szCs w:val="14"/>
        </w:rPr>
        <w:t>efficient</w:t>
      </w:r>
      <w:r>
        <w:rPr>
          <w:b/>
          <w:sz w:val="14"/>
          <w:szCs w:val="14"/>
        </w:rPr>
        <w:t xml:space="preserve"> in enabling expensive models to history match successfully, </w:t>
      </w:r>
    </w:p>
    <w:p w14:paraId="35FCF801" w14:textId="77777777" w:rsidR="008C31C1" w:rsidRPr="00740357" w:rsidRDefault="008C31C1" w:rsidP="008C31C1">
      <w:pPr>
        <w:pStyle w:val="Heading1"/>
        <w:keepNext w:val="0"/>
        <w:keepLines w:val="0"/>
        <w:spacing w:before="300" w:after="40" w:line="276" w:lineRule="auto"/>
        <w:rPr>
          <w:rFonts w:asciiTheme="minorHAnsi" w:eastAsiaTheme="minorEastAsia" w:hAnsiTheme="minorHAnsi" w:cstheme="minorBidi"/>
          <w:b/>
          <w:smallCaps/>
          <w:color w:val="auto"/>
          <w:spacing w:val="5"/>
          <w:sz w:val="26"/>
          <w:lang w:bidi="en-US"/>
        </w:rPr>
      </w:pPr>
      <w:commentRangeStart w:id="0"/>
      <w:r>
        <w:rPr>
          <w:rFonts w:asciiTheme="minorHAnsi" w:eastAsiaTheme="minorEastAsia" w:hAnsiTheme="minorHAnsi" w:cstheme="minorBidi"/>
          <w:b/>
          <w:smallCaps/>
          <w:color w:val="auto"/>
          <w:spacing w:val="5"/>
          <w:sz w:val="26"/>
          <w:lang w:bidi="en-US"/>
        </w:rPr>
        <w:t>Abstract</w:t>
      </w:r>
      <w:commentRangeEnd w:id="0"/>
      <w:r w:rsidR="00D43D2A">
        <w:rPr>
          <w:rStyle w:val="CommentReference"/>
          <w:rFonts w:asciiTheme="minorHAnsi" w:eastAsiaTheme="minorHAnsi" w:hAnsiTheme="minorHAnsi" w:cstheme="minorBidi"/>
          <w:color w:val="auto"/>
        </w:rPr>
        <w:commentReference w:id="0"/>
      </w:r>
    </w:p>
    <w:p w14:paraId="34C566FB" w14:textId="42E58F2D" w:rsidR="0039196C" w:rsidRDefault="005F7E3C" w:rsidP="008C31C1">
      <w:r w:rsidRPr="00260073">
        <w:rPr>
          <w:highlight w:val="yellow"/>
        </w:rPr>
        <w:t xml:space="preserve">This work uses a systematic, </w:t>
      </w:r>
      <w:r w:rsidR="00260073" w:rsidRPr="00260073">
        <w:rPr>
          <w:highlight w:val="yellow"/>
        </w:rPr>
        <w:t>evidence-based</w:t>
      </w:r>
      <w:r w:rsidRPr="00260073">
        <w:rPr>
          <w:highlight w:val="yellow"/>
        </w:rPr>
        <w:t xml:space="preserve"> </w:t>
      </w:r>
      <w:r w:rsidR="00FD16D1" w:rsidRPr="00260073">
        <w:rPr>
          <w:highlight w:val="yellow"/>
        </w:rPr>
        <w:t xml:space="preserve">approach to parameterise a building energy model </w:t>
      </w:r>
      <w:r w:rsidR="003B6E86">
        <w:rPr>
          <w:highlight w:val="yellow"/>
        </w:rPr>
        <w:t xml:space="preserve">to be calibrated </w:t>
      </w:r>
      <w:r w:rsidR="002A1624">
        <w:rPr>
          <w:highlight w:val="yellow"/>
        </w:rPr>
        <w:t>against</w:t>
      </w:r>
      <w:r w:rsidR="00FD16D1" w:rsidRPr="00260073">
        <w:rPr>
          <w:highlight w:val="yellow"/>
        </w:rPr>
        <w:t xml:space="preserve"> </w:t>
      </w:r>
      <w:r w:rsidR="00C97ADE" w:rsidRPr="00260073">
        <w:rPr>
          <w:highlight w:val="yellow"/>
        </w:rPr>
        <w:t>monthly gas and electricity data and hourly temperature</w:t>
      </w:r>
      <w:r w:rsidR="002A1624">
        <w:rPr>
          <w:highlight w:val="yellow"/>
        </w:rPr>
        <w:t>s</w:t>
      </w:r>
      <w:r w:rsidR="00642BE3" w:rsidRPr="00260073">
        <w:rPr>
          <w:highlight w:val="yellow"/>
        </w:rPr>
        <w:t>. The empha</w:t>
      </w:r>
      <w:r w:rsidR="00AA3C88" w:rsidRPr="00260073">
        <w:rPr>
          <w:highlight w:val="yellow"/>
        </w:rPr>
        <w:t xml:space="preserve">sis is to avoid tuning the model is an ad-hoc manner and </w:t>
      </w:r>
      <w:r w:rsidR="00A23E00" w:rsidRPr="00260073">
        <w:rPr>
          <w:highlight w:val="yellow"/>
        </w:rPr>
        <w:t xml:space="preserve">retain input parameters within the </w:t>
      </w:r>
      <w:r w:rsidR="00253B37" w:rsidRPr="00260073">
        <w:rPr>
          <w:highlight w:val="yellow"/>
        </w:rPr>
        <w:t xml:space="preserve">bounds of </w:t>
      </w:r>
      <w:r w:rsidR="00260073" w:rsidRPr="00260073">
        <w:rPr>
          <w:highlight w:val="yellow"/>
        </w:rPr>
        <w:t xml:space="preserve">actual </w:t>
      </w:r>
      <w:r w:rsidR="002E18E7">
        <w:rPr>
          <w:highlight w:val="yellow"/>
        </w:rPr>
        <w:t xml:space="preserve">energy and </w:t>
      </w:r>
      <w:r w:rsidR="00D17C58">
        <w:rPr>
          <w:highlight w:val="yellow"/>
        </w:rPr>
        <w:t>temperature</w:t>
      </w:r>
      <w:r w:rsidR="00260073" w:rsidRPr="00260073">
        <w:rPr>
          <w:highlight w:val="yellow"/>
        </w:rPr>
        <w:t xml:space="preserve"> data</w:t>
      </w:r>
      <w:r w:rsidR="00285D6C">
        <w:rPr>
          <w:highlight w:val="yellow"/>
        </w:rPr>
        <w:t xml:space="preserve">, </w:t>
      </w:r>
      <w:r w:rsidR="00260073" w:rsidRPr="00260073">
        <w:rPr>
          <w:highlight w:val="yellow"/>
        </w:rPr>
        <w:t xml:space="preserve">building </w:t>
      </w:r>
      <w:r w:rsidR="00D17C58">
        <w:rPr>
          <w:highlight w:val="yellow"/>
        </w:rPr>
        <w:t xml:space="preserve">thermophysical </w:t>
      </w:r>
      <w:r w:rsidR="00260073" w:rsidRPr="00260073">
        <w:rPr>
          <w:highlight w:val="yellow"/>
        </w:rPr>
        <w:t>information</w:t>
      </w:r>
      <w:r w:rsidR="00285D6C">
        <w:rPr>
          <w:highlight w:val="yellow"/>
        </w:rPr>
        <w:t xml:space="preserve"> and </w:t>
      </w:r>
      <w:r w:rsidR="0094000E">
        <w:rPr>
          <w:highlight w:val="yellow"/>
        </w:rPr>
        <w:t>observed occupant activities</w:t>
      </w:r>
      <w:r w:rsidR="00260073" w:rsidRPr="00260073">
        <w:rPr>
          <w:highlight w:val="yellow"/>
        </w:rPr>
        <w:t>.</w:t>
      </w:r>
      <w:r w:rsidR="00253B37">
        <w:t xml:space="preserve"> </w:t>
      </w:r>
      <w:r w:rsidR="007B2F4B">
        <w:t>Expert judgement and product specifications are used to introduce</w:t>
      </w:r>
      <w:r w:rsidR="008D44BC">
        <w:t xml:space="preserve"> uncertainty</w:t>
      </w:r>
      <w:r w:rsidR="001244B3">
        <w:t xml:space="preserve"> bands</w:t>
      </w:r>
      <w:r w:rsidR="008D44BC">
        <w:t xml:space="preserve"> </w:t>
      </w:r>
      <w:r w:rsidR="009F019D">
        <w:t>t</w:t>
      </w:r>
      <w:r w:rsidR="00FD005D">
        <w:t>o</w:t>
      </w:r>
      <w:r w:rsidR="007F18A4">
        <w:t xml:space="preserve"> train a Bayesian emulator</w:t>
      </w:r>
      <w:r w:rsidR="008D44BC">
        <w:t xml:space="preserve"> </w:t>
      </w:r>
      <w:r w:rsidR="00E72AF5">
        <w:t>in two annual waves of s</w:t>
      </w:r>
      <w:r w:rsidR="008D44BC">
        <w:t xml:space="preserve">imulation </w:t>
      </w:r>
      <w:r w:rsidR="001244B3">
        <w:t>each involving 1000 runs</w:t>
      </w:r>
      <w:r w:rsidR="007F18A4">
        <w:t xml:space="preserve">. </w:t>
      </w:r>
    </w:p>
    <w:p w14:paraId="025DA27A" w14:textId="2536D99F" w:rsidR="0039196C" w:rsidRDefault="0039196C" w:rsidP="008C31C1">
      <w:r>
        <w:t xml:space="preserve">The results </w:t>
      </w:r>
      <w:r w:rsidR="00613500">
        <w:t>show</w:t>
      </w:r>
      <w:r w:rsidR="004A5480">
        <w:t>:</w:t>
      </w:r>
    </w:p>
    <w:p w14:paraId="4332B0D1" w14:textId="0A0C5D28" w:rsidR="002335EB" w:rsidRDefault="002335EB" w:rsidP="008C31C1">
      <w:r>
        <w:t>Having put the deterministic occupancy and operation of the building as closely as possible, and having used local weather data, the probable variation in fabric properties and plant efficiencies could only bring 7 out of 12 months into a calibration band of +_15% (CV(RMSE)), with the rest of uncertainties having to be left to micro-climate, weather, stochastic occupant behaviour</w:t>
      </w:r>
      <w:r w:rsidR="00B9562E">
        <w:t>, ???</w:t>
      </w:r>
    </w:p>
    <w:p w14:paraId="0C2B0D11" w14:textId="44BDD892" w:rsidR="00A83DB6" w:rsidRPr="00740357" w:rsidRDefault="00740357" w:rsidP="001666B9">
      <w:pPr>
        <w:pStyle w:val="Heading1"/>
        <w:keepNext w:val="0"/>
        <w:keepLines w:val="0"/>
        <w:numPr>
          <w:ilvl w:val="0"/>
          <w:numId w:val="6"/>
        </w:numPr>
        <w:spacing w:before="300" w:after="40" w:line="276" w:lineRule="auto"/>
        <w:rPr>
          <w:rFonts w:asciiTheme="minorHAnsi" w:eastAsiaTheme="minorEastAsia" w:hAnsiTheme="minorHAnsi" w:cstheme="minorBidi"/>
          <w:b/>
          <w:smallCaps/>
          <w:color w:val="auto"/>
          <w:spacing w:val="5"/>
          <w:sz w:val="26"/>
          <w:lang w:bidi="en-US"/>
        </w:rPr>
      </w:pPr>
      <w:r w:rsidRPr="00740357">
        <w:rPr>
          <w:rFonts w:asciiTheme="minorHAnsi" w:eastAsiaTheme="minorEastAsia" w:hAnsiTheme="minorHAnsi" w:cstheme="minorBidi"/>
          <w:b/>
          <w:smallCaps/>
          <w:color w:val="auto"/>
          <w:spacing w:val="5"/>
          <w:sz w:val="26"/>
          <w:lang w:bidi="en-US"/>
        </w:rPr>
        <w:t>Introduction</w:t>
      </w:r>
    </w:p>
    <w:p w14:paraId="6AA0EF5C" w14:textId="5470D73D" w:rsidR="000936D2" w:rsidRDefault="00C84DF3" w:rsidP="00C84DF3">
      <w:pPr>
        <w:pStyle w:val="ListParagraph"/>
        <w:numPr>
          <w:ilvl w:val="0"/>
          <w:numId w:val="25"/>
        </w:numPr>
      </w:pPr>
      <w:r>
        <w:t>Examples of use of building energy models to assess retrofitting strategies (aiming to reduce energy consumption and CO2 emissions) and other tasks.</w:t>
      </w:r>
    </w:p>
    <w:p w14:paraId="07FE248B" w14:textId="0666475D" w:rsidR="00C84DF3" w:rsidRDefault="00C84DF3" w:rsidP="00C84DF3">
      <w:pPr>
        <w:pStyle w:val="ListParagraph"/>
        <w:numPr>
          <w:ilvl w:val="0"/>
          <w:numId w:val="25"/>
        </w:numPr>
      </w:pPr>
      <w:r>
        <w:t>Importance of model calibration against data. Review of methods, and of current ASHRAE guidelines. Discuss model discrepancy, hence mention problems with the ASHRAE approach (see my 3 points).</w:t>
      </w:r>
    </w:p>
    <w:p w14:paraId="1CCC5F94" w14:textId="5A5BEFA5" w:rsidR="00C84DF3" w:rsidRDefault="00C84DF3" w:rsidP="00C84DF3">
      <w:pPr>
        <w:pStyle w:val="ListParagraph"/>
        <w:numPr>
          <w:ilvl w:val="0"/>
          <w:numId w:val="25"/>
        </w:numPr>
      </w:pPr>
      <w:r>
        <w:t xml:space="preserve">Present aim of the paper: provide a methodology to identify (sets of) parameter values which yield non-implausible matches with observed data. Methodology allows to account </w:t>
      </w:r>
      <w:r w:rsidR="00F54B30">
        <w:t>for different sources of uncertainty in a systematic way.</w:t>
      </w:r>
    </w:p>
    <w:p w14:paraId="7AAF789E" w14:textId="689C8124" w:rsidR="00F54B30" w:rsidRDefault="00F54B30" w:rsidP="00C84DF3">
      <w:pPr>
        <w:pStyle w:val="ListParagraph"/>
        <w:numPr>
          <w:ilvl w:val="0"/>
          <w:numId w:val="25"/>
        </w:numPr>
      </w:pPr>
      <w:r>
        <w:t>Make use of Bayesian statistical surrogate of the model to explore thoroughly the input space.</w:t>
      </w:r>
    </w:p>
    <w:p w14:paraId="57132AFA" w14:textId="2DDC3397" w:rsidR="00F54B30" w:rsidRDefault="00F54B30" w:rsidP="00C84DF3">
      <w:pPr>
        <w:pStyle w:val="ListParagraph"/>
        <w:numPr>
          <w:ilvl w:val="0"/>
          <w:numId w:val="25"/>
        </w:numPr>
      </w:pPr>
      <w:r>
        <w:t>Discuss a case study to illustrate the methodology and results on relevant example.</w:t>
      </w:r>
    </w:p>
    <w:p w14:paraId="1D40DD8B" w14:textId="416A310A" w:rsidR="00F54B30" w:rsidRDefault="00F54B30" w:rsidP="00F54B30"/>
    <w:p w14:paraId="21E8256D" w14:textId="02C60C14" w:rsidR="00F54B30" w:rsidRDefault="00F54B30" w:rsidP="00F54B30">
      <w:pPr>
        <w:pStyle w:val="ListParagraph"/>
        <w:numPr>
          <w:ilvl w:val="0"/>
          <w:numId w:val="6"/>
        </w:numPr>
        <w:rPr>
          <w:b/>
        </w:rPr>
      </w:pPr>
      <w:r w:rsidRPr="00F54B30">
        <w:rPr>
          <w:b/>
        </w:rPr>
        <w:t xml:space="preserve"> METHODOLOGY</w:t>
      </w:r>
    </w:p>
    <w:p w14:paraId="02CA11F8" w14:textId="0C3B2505" w:rsidR="00F54B30" w:rsidRDefault="00F54B30" w:rsidP="00F54B30">
      <w:pPr>
        <w:rPr>
          <w:b/>
        </w:rPr>
      </w:pPr>
    </w:p>
    <w:p w14:paraId="5407E198" w14:textId="77777777" w:rsidR="00F54B30" w:rsidRPr="00F54B30" w:rsidRDefault="00F54B30" w:rsidP="00F54B30">
      <w:pPr>
        <w:rPr>
          <w:b/>
        </w:rPr>
      </w:pPr>
    </w:p>
    <w:p w14:paraId="3A01C878" w14:textId="55D68B3F" w:rsidR="00460076" w:rsidRPr="00F54B30" w:rsidRDefault="00F54B30" w:rsidP="00F54B30">
      <w:pPr>
        <w:pStyle w:val="ListParagraph"/>
        <w:numPr>
          <w:ilvl w:val="0"/>
          <w:numId w:val="6"/>
        </w:numPr>
        <w:rPr>
          <w:rFonts w:ascii="Calibri" w:eastAsia="Times New Roman" w:hAnsi="Calibri" w:cs="Times New Roman"/>
          <w:b/>
          <w:color w:val="000000"/>
          <w:lang w:eastAsia="en-GB"/>
        </w:rPr>
      </w:pPr>
      <w:r w:rsidRPr="00F54B30">
        <w:rPr>
          <w:rFonts w:ascii="Calibri" w:eastAsia="Times New Roman" w:hAnsi="Calibri" w:cs="Times New Roman"/>
          <w:b/>
          <w:color w:val="000000"/>
          <w:lang w:eastAsia="en-GB"/>
        </w:rPr>
        <w:t>C</w:t>
      </w:r>
      <w:r>
        <w:rPr>
          <w:rFonts w:ascii="Calibri" w:eastAsia="Times New Roman" w:hAnsi="Calibri" w:cs="Times New Roman"/>
          <w:b/>
          <w:color w:val="000000"/>
          <w:lang w:eastAsia="en-GB"/>
        </w:rPr>
        <w:t>ASE-</w:t>
      </w:r>
      <w:bookmarkStart w:id="1" w:name="_GoBack"/>
      <w:bookmarkEnd w:id="1"/>
      <w:r w:rsidRPr="00F54B30">
        <w:rPr>
          <w:rFonts w:ascii="Calibri" w:eastAsia="Times New Roman" w:hAnsi="Calibri" w:cs="Times New Roman"/>
          <w:b/>
          <w:color w:val="000000"/>
          <w:lang w:eastAsia="en-GB"/>
        </w:rPr>
        <w:t>STUDY</w:t>
      </w:r>
      <w:r>
        <w:rPr>
          <w:rFonts w:ascii="Calibri" w:eastAsia="Times New Roman" w:hAnsi="Calibri" w:cs="Times New Roman"/>
          <w:b/>
          <w:color w:val="000000"/>
          <w:lang w:eastAsia="en-GB"/>
        </w:rPr>
        <w:t xml:space="preserve"> BUILDING</w:t>
      </w:r>
    </w:p>
    <w:p w14:paraId="58CE9523" w14:textId="77777777" w:rsidR="00242D5E" w:rsidRDefault="00242D5E" w:rsidP="00A83DB6"/>
    <w:p w14:paraId="262B5DEE" w14:textId="351A9B8F" w:rsidR="00BB2876" w:rsidRDefault="00ED3648" w:rsidP="00A83DB6">
      <w:r>
        <w:t>References</w:t>
      </w:r>
    </w:p>
    <w:p w14:paraId="0A0A7E96" w14:textId="77777777" w:rsidR="00C02988" w:rsidRDefault="00C02988" w:rsidP="00BB2876"/>
    <w:p w14:paraId="351EB72C" w14:textId="77777777" w:rsidR="00EE2BAE" w:rsidRPr="00EE2BAE" w:rsidRDefault="00C02988" w:rsidP="00EE2BAE">
      <w:pPr>
        <w:pStyle w:val="EndNoteBibliography"/>
        <w:spacing w:after="0"/>
        <w:ind w:left="720" w:hanging="720"/>
      </w:pPr>
      <w:r>
        <w:fldChar w:fldCharType="begin"/>
      </w:r>
      <w:r>
        <w:instrText xml:space="preserve"> ADDIN EN.REFLIST </w:instrText>
      </w:r>
      <w:r>
        <w:fldChar w:fldCharType="separate"/>
      </w:r>
      <w:r w:rsidR="00EE2BAE" w:rsidRPr="00EE2BAE">
        <w:t>1.</w:t>
      </w:r>
      <w:r w:rsidR="00EE2BAE" w:rsidRPr="00EE2BAE">
        <w:tab/>
        <w:t xml:space="preserve">Imam, S., D.A. Coley, and I. Walker, </w:t>
      </w:r>
      <w:r w:rsidR="00EE2BAE" w:rsidRPr="00EE2BAE">
        <w:rPr>
          <w:i/>
        </w:rPr>
        <w:t>The building performance gap: Are modellers literate?</w:t>
      </w:r>
      <w:r w:rsidR="00EE2BAE" w:rsidRPr="00EE2BAE">
        <w:t xml:space="preserve"> Building Services Engineering Research and Technology, 2017. </w:t>
      </w:r>
      <w:r w:rsidR="00EE2BAE" w:rsidRPr="00EE2BAE">
        <w:rPr>
          <w:b/>
        </w:rPr>
        <w:t>38</w:t>
      </w:r>
      <w:r w:rsidR="00EE2BAE" w:rsidRPr="00EE2BAE">
        <w:t>(3): p. 351-375.</w:t>
      </w:r>
    </w:p>
    <w:p w14:paraId="463B9022" w14:textId="77777777" w:rsidR="00EE2BAE" w:rsidRPr="00EE2BAE" w:rsidRDefault="00EE2BAE" w:rsidP="00EE2BAE">
      <w:pPr>
        <w:pStyle w:val="EndNoteBibliography"/>
        <w:spacing w:after="0"/>
        <w:ind w:left="720" w:hanging="720"/>
      </w:pPr>
      <w:r w:rsidRPr="00EE2BAE">
        <w:t>2.</w:t>
      </w:r>
      <w:r w:rsidRPr="00EE2BAE">
        <w:tab/>
        <w:t xml:space="preserve">Royapoor, M., A. Antony, and T. Roskilly, </w:t>
      </w:r>
      <w:r w:rsidRPr="00EE2BAE">
        <w:rPr>
          <w:i/>
        </w:rPr>
        <w:t>A review of building climate and plant controls, and a survey of industry perspectives.</w:t>
      </w:r>
      <w:r w:rsidRPr="00EE2BAE">
        <w:t xml:space="preserve"> Energy and Buildings, 2017.</w:t>
      </w:r>
    </w:p>
    <w:p w14:paraId="2A28B17F" w14:textId="77777777" w:rsidR="00EE2BAE" w:rsidRPr="00EE2BAE" w:rsidRDefault="00EE2BAE" w:rsidP="00EE2BAE">
      <w:pPr>
        <w:pStyle w:val="EndNoteBibliography"/>
        <w:spacing w:after="0"/>
        <w:ind w:left="720" w:hanging="720"/>
      </w:pPr>
      <w:r w:rsidRPr="00EE2BAE">
        <w:t>3.</w:t>
      </w:r>
      <w:r w:rsidRPr="00EE2BAE">
        <w:tab/>
        <w:t xml:space="preserve">Raftery, P., M. Keane, and J. O’Donnell, </w:t>
      </w:r>
      <w:r w:rsidRPr="00EE2BAE">
        <w:rPr>
          <w:i/>
        </w:rPr>
        <w:t>Calibrating whole building energy models: An evidence-based methodology.</w:t>
      </w:r>
      <w:r w:rsidRPr="00EE2BAE">
        <w:t xml:space="preserve"> Energy and Buildings, 2011. </w:t>
      </w:r>
      <w:r w:rsidRPr="00EE2BAE">
        <w:rPr>
          <w:b/>
        </w:rPr>
        <w:t>43</w:t>
      </w:r>
      <w:r w:rsidRPr="00EE2BAE">
        <w:t>(9): p. 2356-2364.</w:t>
      </w:r>
    </w:p>
    <w:p w14:paraId="138C69E3" w14:textId="77777777" w:rsidR="00EE2BAE" w:rsidRPr="00EE2BAE" w:rsidRDefault="00EE2BAE" w:rsidP="00EE2BAE">
      <w:pPr>
        <w:pStyle w:val="EndNoteBibliography"/>
        <w:spacing w:after="0"/>
        <w:ind w:left="720" w:hanging="720"/>
      </w:pPr>
      <w:r w:rsidRPr="00EE2BAE">
        <w:t>4.</w:t>
      </w:r>
      <w:r w:rsidRPr="00EE2BAE">
        <w:tab/>
        <w:t xml:space="preserve">Daly, D., P. Cooper, and Z. Ma, </w:t>
      </w:r>
      <w:r w:rsidRPr="00EE2BAE">
        <w:rPr>
          <w:i/>
        </w:rPr>
        <w:t>Understanding the risks and uncertainties introduced by common assumptions in energy simulations for Australian commercial buildings.</w:t>
      </w:r>
      <w:r w:rsidRPr="00EE2BAE">
        <w:t xml:space="preserve"> Energy and Buildings, 2014. </w:t>
      </w:r>
      <w:r w:rsidRPr="00EE2BAE">
        <w:rPr>
          <w:b/>
        </w:rPr>
        <w:t>75</w:t>
      </w:r>
      <w:r w:rsidRPr="00EE2BAE">
        <w:t>(Supplement C): p. 382-393.</w:t>
      </w:r>
    </w:p>
    <w:p w14:paraId="1484E1A5" w14:textId="77777777" w:rsidR="00EE2BAE" w:rsidRPr="00EE2BAE" w:rsidRDefault="00EE2BAE" w:rsidP="00EE2BAE">
      <w:pPr>
        <w:pStyle w:val="EndNoteBibliography"/>
        <w:spacing w:after="0"/>
        <w:ind w:left="720" w:hanging="720"/>
      </w:pPr>
      <w:r w:rsidRPr="00EE2BAE">
        <w:t>5.</w:t>
      </w:r>
      <w:r w:rsidRPr="00EE2BAE">
        <w:tab/>
        <w:t xml:space="preserve">International Organization for Standardization, </w:t>
      </w:r>
      <w:r w:rsidRPr="00EE2BAE">
        <w:rPr>
          <w:i/>
        </w:rPr>
        <w:t>ISO 6946:2007: Building components and building elements -- Thermal resistance and thermal transmittance -- Calculation method.</w:t>
      </w:r>
      <w:r w:rsidRPr="00EE2BAE">
        <w:t xml:space="preserve"> 2007.</w:t>
      </w:r>
    </w:p>
    <w:p w14:paraId="2E862D96" w14:textId="77777777" w:rsidR="00EE2BAE" w:rsidRPr="00EE2BAE" w:rsidRDefault="00EE2BAE" w:rsidP="00EE2BAE">
      <w:pPr>
        <w:pStyle w:val="EndNoteBibliography"/>
        <w:spacing w:after="0"/>
        <w:ind w:left="720" w:hanging="720"/>
      </w:pPr>
      <w:r w:rsidRPr="00EE2BAE">
        <w:t>6.</w:t>
      </w:r>
      <w:r w:rsidRPr="00EE2BAE">
        <w:tab/>
        <w:t xml:space="preserve">CIBSE, </w:t>
      </w:r>
      <w:r w:rsidRPr="00EE2BAE">
        <w:rPr>
          <w:i/>
        </w:rPr>
        <w:t>Guide A; Environmental Design</w:t>
      </w:r>
      <w:r w:rsidRPr="00EE2BAE">
        <w:t>. 2015, The Chartered Institution of Building Services Engineers: London.</w:t>
      </w:r>
    </w:p>
    <w:p w14:paraId="5EA04B8F" w14:textId="77777777" w:rsidR="00EE2BAE" w:rsidRPr="00EE2BAE" w:rsidRDefault="00EE2BAE" w:rsidP="00EE2BAE">
      <w:pPr>
        <w:pStyle w:val="EndNoteBibliography"/>
        <w:spacing w:after="0"/>
        <w:ind w:left="720" w:hanging="720"/>
      </w:pPr>
      <w:r w:rsidRPr="00EE2BAE">
        <w:t>7.</w:t>
      </w:r>
      <w:r w:rsidRPr="00EE2BAE">
        <w:tab/>
        <w:t xml:space="preserve">American Society of Heating, R.a.A.-C.E., </w:t>
      </w:r>
      <w:r w:rsidRPr="00EE2BAE">
        <w:rPr>
          <w:i/>
        </w:rPr>
        <w:t>2017 ASHRAE Handbook—Fundamentals</w:t>
      </w:r>
      <w:r w:rsidRPr="00EE2BAE">
        <w:t>. 2017, Atlanta, GA.</w:t>
      </w:r>
    </w:p>
    <w:p w14:paraId="7E4A598A" w14:textId="77777777" w:rsidR="00EE2BAE" w:rsidRPr="00EE2BAE" w:rsidRDefault="00EE2BAE" w:rsidP="00EE2BAE">
      <w:pPr>
        <w:pStyle w:val="EndNoteBibliography"/>
        <w:spacing w:after="0"/>
        <w:ind w:left="720" w:hanging="720"/>
      </w:pPr>
      <w:r w:rsidRPr="00EE2BAE">
        <w:t>8.</w:t>
      </w:r>
      <w:r w:rsidRPr="00EE2BAE">
        <w:tab/>
        <w:t xml:space="preserve">International Organization for Standardization, </w:t>
      </w:r>
      <w:r w:rsidRPr="00EE2BAE">
        <w:rPr>
          <w:i/>
        </w:rPr>
        <w:t>ISO 9869-1:2014: Thermal insulation Building elements (In-situ measurement of thermal resistance and thermal transmittance).</w:t>
      </w:r>
      <w:r w:rsidRPr="00EE2BAE">
        <w:t xml:space="preserve"> 2014.</w:t>
      </w:r>
    </w:p>
    <w:p w14:paraId="6AF69820" w14:textId="77777777" w:rsidR="00EE2BAE" w:rsidRPr="00EE2BAE" w:rsidRDefault="00EE2BAE" w:rsidP="00EE2BAE">
      <w:pPr>
        <w:pStyle w:val="EndNoteBibliography"/>
        <w:spacing w:after="0"/>
        <w:ind w:left="720" w:hanging="720"/>
      </w:pPr>
      <w:r w:rsidRPr="00EE2BAE">
        <w:t>9.</w:t>
      </w:r>
      <w:r w:rsidRPr="00EE2BAE">
        <w:tab/>
        <w:t xml:space="preserve">Rasooli, A., L. Itard, and C.I. Ferreira, </w:t>
      </w:r>
      <w:r w:rsidRPr="00EE2BAE">
        <w:rPr>
          <w:i/>
        </w:rPr>
        <w:t>A response factor-based method for the rapid in-situ determination of wall’s thermal resistance in existing buildings.</w:t>
      </w:r>
      <w:r w:rsidRPr="00EE2BAE">
        <w:t xml:space="preserve"> Energy and Buildings, 2016. </w:t>
      </w:r>
      <w:r w:rsidRPr="00EE2BAE">
        <w:rPr>
          <w:b/>
        </w:rPr>
        <w:t>119</w:t>
      </w:r>
      <w:r w:rsidRPr="00EE2BAE">
        <w:t>(Supplement C): p. 51-61.</w:t>
      </w:r>
    </w:p>
    <w:p w14:paraId="520F191B" w14:textId="77777777" w:rsidR="00EE2BAE" w:rsidRPr="00EE2BAE" w:rsidRDefault="00EE2BAE" w:rsidP="00EE2BAE">
      <w:pPr>
        <w:pStyle w:val="EndNoteBibliography"/>
        <w:spacing w:after="0"/>
        <w:ind w:left="720" w:hanging="720"/>
      </w:pPr>
      <w:r w:rsidRPr="00EE2BAE">
        <w:t>10.</w:t>
      </w:r>
      <w:r w:rsidRPr="00EE2BAE">
        <w:tab/>
        <w:t xml:space="preserve">Deconinck, A.-H. and S. Roels, </w:t>
      </w:r>
      <w:r w:rsidRPr="00EE2BAE">
        <w:rPr>
          <w:i/>
        </w:rPr>
        <w:t>Comparison of characterisation methods determining the thermal resistance of building components from onsite measurements.</w:t>
      </w:r>
      <w:r w:rsidRPr="00EE2BAE">
        <w:t xml:space="preserve"> Energy and Buildings, 2016. </w:t>
      </w:r>
      <w:r w:rsidRPr="00EE2BAE">
        <w:rPr>
          <w:b/>
        </w:rPr>
        <w:t>130</w:t>
      </w:r>
      <w:r w:rsidRPr="00EE2BAE">
        <w:t>(Supplement C): p. 309-320.</w:t>
      </w:r>
    </w:p>
    <w:p w14:paraId="6BFA056E" w14:textId="77777777" w:rsidR="00EE2BAE" w:rsidRPr="00EE2BAE" w:rsidRDefault="00EE2BAE" w:rsidP="00EE2BAE">
      <w:pPr>
        <w:pStyle w:val="EndNoteBibliography"/>
        <w:spacing w:after="0"/>
        <w:ind w:left="720" w:hanging="720"/>
      </w:pPr>
      <w:r w:rsidRPr="00EE2BAE">
        <w:t>11.</w:t>
      </w:r>
      <w:r w:rsidRPr="00EE2BAE">
        <w:tab/>
        <w:t xml:space="preserve">Meng, X., et al., </w:t>
      </w:r>
      <w:r w:rsidRPr="00EE2BAE">
        <w:rPr>
          <w:i/>
        </w:rPr>
        <w:t>Factors affecting the in situ measurement accuracy of the wall heat transfer coefficient using the heat flow meter method.</w:t>
      </w:r>
      <w:r w:rsidRPr="00EE2BAE">
        <w:t xml:space="preserve"> Energy and Buildings, 2015. </w:t>
      </w:r>
      <w:r w:rsidRPr="00EE2BAE">
        <w:rPr>
          <w:b/>
        </w:rPr>
        <w:t>86</w:t>
      </w:r>
      <w:r w:rsidRPr="00EE2BAE">
        <w:t>(Supplement C): p. 754-765.</w:t>
      </w:r>
    </w:p>
    <w:p w14:paraId="789E96B6" w14:textId="77777777" w:rsidR="00EE2BAE" w:rsidRPr="00EE2BAE" w:rsidRDefault="00EE2BAE" w:rsidP="00EE2BAE">
      <w:pPr>
        <w:pStyle w:val="EndNoteBibliography"/>
        <w:spacing w:after="0"/>
        <w:ind w:left="720" w:hanging="720"/>
      </w:pPr>
      <w:r w:rsidRPr="00EE2BAE">
        <w:t>12.</w:t>
      </w:r>
      <w:r w:rsidRPr="00EE2BAE">
        <w:tab/>
        <w:t xml:space="preserve">Ficco, G., et al., </w:t>
      </w:r>
      <w:r w:rsidRPr="00EE2BAE">
        <w:rPr>
          <w:i/>
        </w:rPr>
        <w:t>U-value in situ measurement for energy diagnosis of existing buildings.</w:t>
      </w:r>
      <w:r w:rsidRPr="00EE2BAE">
        <w:t xml:space="preserve"> Energy and Buildings, 2015. </w:t>
      </w:r>
      <w:r w:rsidRPr="00EE2BAE">
        <w:rPr>
          <w:b/>
        </w:rPr>
        <w:t>104</w:t>
      </w:r>
      <w:r w:rsidRPr="00EE2BAE">
        <w:t>(Supplement C): p. 108-121.</w:t>
      </w:r>
    </w:p>
    <w:p w14:paraId="7DECDA1F" w14:textId="77777777" w:rsidR="00EE2BAE" w:rsidRPr="00EE2BAE" w:rsidRDefault="00EE2BAE" w:rsidP="00EE2BAE">
      <w:pPr>
        <w:pStyle w:val="EndNoteBibliography"/>
        <w:spacing w:after="0"/>
        <w:ind w:left="720" w:hanging="720"/>
      </w:pPr>
      <w:r w:rsidRPr="00EE2BAE">
        <w:t>13.</w:t>
      </w:r>
      <w:r w:rsidRPr="00EE2BAE">
        <w:tab/>
        <w:t xml:space="preserve">Gaspar, K., M. Casals, and M. Gangolells, </w:t>
      </w:r>
      <w:r w:rsidRPr="00EE2BAE">
        <w:rPr>
          <w:i/>
        </w:rPr>
        <w:t>A comparison of standardized calculation methods for in situ measurements of façades U-value.</w:t>
      </w:r>
      <w:r w:rsidRPr="00EE2BAE">
        <w:t xml:space="preserve"> Energy and Buildings, 2016. </w:t>
      </w:r>
      <w:r w:rsidRPr="00EE2BAE">
        <w:rPr>
          <w:b/>
        </w:rPr>
        <w:t>130</w:t>
      </w:r>
      <w:r w:rsidRPr="00EE2BAE">
        <w:t>(Supplement C): p. 592-599.</w:t>
      </w:r>
    </w:p>
    <w:p w14:paraId="72A0CE85" w14:textId="77777777" w:rsidR="00EE2BAE" w:rsidRPr="00EE2BAE" w:rsidRDefault="00EE2BAE" w:rsidP="00EE2BAE">
      <w:pPr>
        <w:pStyle w:val="EndNoteBibliography"/>
        <w:spacing w:after="0"/>
        <w:ind w:left="720" w:hanging="720"/>
      </w:pPr>
      <w:r w:rsidRPr="00EE2BAE">
        <w:t>14.</w:t>
      </w:r>
      <w:r w:rsidRPr="00EE2BAE">
        <w:tab/>
        <w:t xml:space="preserve">Desogus, G., S. Mura, and R. Ricciu, </w:t>
      </w:r>
      <w:r w:rsidRPr="00EE2BAE">
        <w:rPr>
          <w:i/>
        </w:rPr>
        <w:t>Comparing different approaches to in situ measurement of building components thermal resistance.</w:t>
      </w:r>
      <w:r w:rsidRPr="00EE2BAE">
        <w:t xml:space="preserve"> Energy and Buildings, 2011. </w:t>
      </w:r>
      <w:r w:rsidRPr="00EE2BAE">
        <w:rPr>
          <w:b/>
        </w:rPr>
        <w:t>43</w:t>
      </w:r>
      <w:r w:rsidRPr="00EE2BAE">
        <w:t>(10): p. 2613-2620.</w:t>
      </w:r>
    </w:p>
    <w:p w14:paraId="08FA1925" w14:textId="77777777" w:rsidR="00EE2BAE" w:rsidRPr="00EE2BAE" w:rsidRDefault="00EE2BAE" w:rsidP="00EE2BAE">
      <w:pPr>
        <w:pStyle w:val="EndNoteBibliography"/>
        <w:spacing w:after="0"/>
        <w:ind w:left="720" w:hanging="720"/>
      </w:pPr>
      <w:r w:rsidRPr="00EE2BAE">
        <w:t>15.</w:t>
      </w:r>
      <w:r w:rsidRPr="00EE2BAE">
        <w:tab/>
        <w:t xml:space="preserve">Hoffmann, C. and A. Geissler, </w:t>
      </w:r>
      <w:r w:rsidRPr="00EE2BAE">
        <w:rPr>
          <w:i/>
        </w:rPr>
        <w:t>The prebound-effect in detail: real indoor temperatures in basements and measured versus calculated U-values.</w:t>
      </w:r>
      <w:r w:rsidRPr="00EE2BAE">
        <w:t xml:space="preserve"> Energy Procedia, 2017. </w:t>
      </w:r>
      <w:r w:rsidRPr="00EE2BAE">
        <w:rPr>
          <w:b/>
        </w:rPr>
        <w:t>122</w:t>
      </w:r>
      <w:r w:rsidRPr="00EE2BAE">
        <w:t>(Supplement C): p. 32-37.</w:t>
      </w:r>
    </w:p>
    <w:p w14:paraId="58C330AA" w14:textId="77777777" w:rsidR="00EE2BAE" w:rsidRPr="00EE2BAE" w:rsidRDefault="00EE2BAE" w:rsidP="00EE2BAE">
      <w:pPr>
        <w:pStyle w:val="EndNoteBibliography"/>
        <w:spacing w:after="0"/>
        <w:ind w:left="720" w:hanging="720"/>
      </w:pPr>
      <w:r w:rsidRPr="00EE2BAE">
        <w:t>16.</w:t>
      </w:r>
      <w:r w:rsidRPr="00EE2BAE">
        <w:tab/>
        <w:t xml:space="preserve">Marshall, A., et al., </w:t>
      </w:r>
      <w:r w:rsidRPr="00EE2BAE">
        <w:rPr>
          <w:i/>
        </w:rPr>
        <w:t>Domestic building fabric performance: Closing the gap between the in situ measured and modelled performance.</w:t>
      </w:r>
      <w:r w:rsidRPr="00EE2BAE">
        <w:t xml:space="preserve"> Energy and Buildings, 2017. </w:t>
      </w:r>
      <w:r w:rsidRPr="00EE2BAE">
        <w:rPr>
          <w:b/>
        </w:rPr>
        <w:t>150</w:t>
      </w:r>
      <w:r w:rsidRPr="00EE2BAE">
        <w:t>(Supplement C): p. 307-317.</w:t>
      </w:r>
    </w:p>
    <w:p w14:paraId="46517C63" w14:textId="77777777" w:rsidR="00EE2BAE" w:rsidRPr="00EE2BAE" w:rsidRDefault="00EE2BAE" w:rsidP="00EE2BAE">
      <w:pPr>
        <w:pStyle w:val="EndNoteBibliography"/>
        <w:spacing w:after="0"/>
        <w:ind w:left="720" w:hanging="720"/>
      </w:pPr>
      <w:r w:rsidRPr="00EE2BAE">
        <w:t>17.</w:t>
      </w:r>
      <w:r w:rsidRPr="00EE2BAE">
        <w:tab/>
        <w:t xml:space="preserve">P. Baker, </w:t>
      </w:r>
      <w:r w:rsidRPr="00EE2BAE">
        <w:rPr>
          <w:i/>
        </w:rPr>
        <w:t xml:space="preserve">U-values and Traditional Buildings, Historic Scotland ConservationGroup, </w:t>
      </w:r>
      <w:r w:rsidRPr="00EE2BAE">
        <w:t>. 2011: Glasgow.</w:t>
      </w:r>
    </w:p>
    <w:p w14:paraId="1F7CCF69" w14:textId="77777777" w:rsidR="00EE2BAE" w:rsidRPr="00EE2BAE" w:rsidRDefault="00EE2BAE" w:rsidP="00EE2BAE">
      <w:pPr>
        <w:pStyle w:val="EndNoteBibliography"/>
        <w:spacing w:after="0"/>
        <w:ind w:left="720" w:hanging="720"/>
      </w:pPr>
      <w:r w:rsidRPr="00EE2BAE">
        <w:lastRenderedPageBreak/>
        <w:t>18.</w:t>
      </w:r>
      <w:r w:rsidRPr="00EE2BAE">
        <w:tab/>
        <w:t xml:space="preserve">Royapoor, M. and T. Roskilly, </w:t>
      </w:r>
      <w:r w:rsidRPr="00EE2BAE">
        <w:rPr>
          <w:i/>
        </w:rPr>
        <w:t>Building model calibration using energy and environmental data.</w:t>
      </w:r>
      <w:r w:rsidRPr="00EE2BAE">
        <w:t xml:space="preserve"> Energy and Buildings, 2015. </w:t>
      </w:r>
      <w:r w:rsidRPr="00EE2BAE">
        <w:rPr>
          <w:b/>
        </w:rPr>
        <w:t>94</w:t>
      </w:r>
      <w:r w:rsidRPr="00EE2BAE">
        <w:t>: p. 109-120.</w:t>
      </w:r>
    </w:p>
    <w:p w14:paraId="7B27F277" w14:textId="77777777" w:rsidR="00EE2BAE" w:rsidRPr="00EE2BAE" w:rsidRDefault="00EE2BAE" w:rsidP="00EE2BAE">
      <w:pPr>
        <w:pStyle w:val="EndNoteBibliography"/>
        <w:spacing w:after="0"/>
        <w:ind w:left="720" w:hanging="720"/>
      </w:pPr>
      <w:r w:rsidRPr="00EE2BAE">
        <w:t>19.</w:t>
      </w:r>
      <w:r w:rsidRPr="00EE2BAE">
        <w:tab/>
        <w:t xml:space="preserve">Yassaghi, H., N. Mostafavi, and S. Hoque, </w:t>
      </w:r>
      <w:r w:rsidRPr="00EE2BAE">
        <w:rPr>
          <w:i/>
        </w:rPr>
        <w:t>Evaluation of current and future hourly weather data intended for building designs: A Philadelphia case study.</w:t>
      </w:r>
      <w:r w:rsidRPr="00EE2BAE">
        <w:t xml:space="preserve"> Energy and Buildings, 2019. </w:t>
      </w:r>
      <w:r w:rsidRPr="00EE2BAE">
        <w:rPr>
          <w:b/>
        </w:rPr>
        <w:t>199</w:t>
      </w:r>
      <w:r w:rsidRPr="00EE2BAE">
        <w:t>: p. 491-511.</w:t>
      </w:r>
    </w:p>
    <w:p w14:paraId="45C524C8" w14:textId="77777777" w:rsidR="00EE2BAE" w:rsidRPr="00EE2BAE" w:rsidRDefault="00EE2BAE" w:rsidP="00EE2BAE">
      <w:pPr>
        <w:pStyle w:val="EndNoteBibliography"/>
        <w:spacing w:after="0"/>
        <w:ind w:left="720" w:hanging="720"/>
      </w:pPr>
      <w:r w:rsidRPr="00EE2BAE">
        <w:t>20.</w:t>
      </w:r>
      <w:r w:rsidRPr="00EE2BAE">
        <w:tab/>
        <w:t xml:space="preserve">Hong, T., et al., </w:t>
      </w:r>
      <w:r w:rsidRPr="00EE2BAE">
        <w:rPr>
          <w:i/>
        </w:rPr>
        <w:t>Advances in research and applications of energy-related occupant behavior in buildings.</w:t>
      </w:r>
      <w:r w:rsidRPr="00EE2BAE">
        <w:t xml:space="preserve"> Energy and Buildings, 2016. </w:t>
      </w:r>
      <w:r w:rsidRPr="00EE2BAE">
        <w:rPr>
          <w:b/>
        </w:rPr>
        <w:t>116</w:t>
      </w:r>
      <w:r w:rsidRPr="00EE2BAE">
        <w:t>: p. 694-702.</w:t>
      </w:r>
    </w:p>
    <w:p w14:paraId="14266469" w14:textId="77777777" w:rsidR="00EE2BAE" w:rsidRPr="00EE2BAE" w:rsidRDefault="00EE2BAE" w:rsidP="00EE2BAE">
      <w:pPr>
        <w:pStyle w:val="EndNoteBibliography"/>
        <w:spacing w:after="0"/>
        <w:ind w:left="720" w:hanging="720"/>
      </w:pPr>
      <w:r w:rsidRPr="00EE2BAE">
        <w:t>21.</w:t>
      </w:r>
      <w:r w:rsidRPr="00EE2BAE">
        <w:tab/>
        <w:t xml:space="preserve">Tian, W., et al., </w:t>
      </w:r>
      <w:r w:rsidRPr="00EE2BAE">
        <w:rPr>
          <w:i/>
        </w:rPr>
        <w:t>A review of uncertainty analysis in building energy assessment.</w:t>
      </w:r>
      <w:r w:rsidRPr="00EE2BAE">
        <w:t xml:space="preserve"> Renewable and Sustainable Energy Reviews, 2018. </w:t>
      </w:r>
      <w:r w:rsidRPr="00EE2BAE">
        <w:rPr>
          <w:b/>
        </w:rPr>
        <w:t>93</w:t>
      </w:r>
      <w:r w:rsidRPr="00EE2BAE">
        <w:t>: p. 285-301.</w:t>
      </w:r>
    </w:p>
    <w:p w14:paraId="75AEB39F" w14:textId="77777777" w:rsidR="00EE2BAE" w:rsidRPr="00EE2BAE" w:rsidRDefault="00EE2BAE" w:rsidP="00EE2BAE">
      <w:pPr>
        <w:pStyle w:val="EndNoteBibliography"/>
        <w:spacing w:after="0"/>
        <w:ind w:left="720" w:hanging="720"/>
      </w:pPr>
      <w:r w:rsidRPr="00EE2BAE">
        <w:t>22.</w:t>
      </w:r>
      <w:r w:rsidRPr="00EE2BAE">
        <w:tab/>
        <w:t xml:space="preserve">Macdonald, I.A., </w:t>
      </w:r>
      <w:r w:rsidRPr="00EE2BAE">
        <w:rPr>
          <w:i/>
        </w:rPr>
        <w:t>Quantifying the effects of uncertainty in building simulation</w:t>
      </w:r>
      <w:r w:rsidRPr="00EE2BAE">
        <w:t>. 2002, University of Strathclyde Glasgow.</w:t>
      </w:r>
    </w:p>
    <w:p w14:paraId="02E7DF46" w14:textId="3CD9260C" w:rsidR="00EE2BAE" w:rsidRPr="00EE2BAE" w:rsidRDefault="00EE2BAE" w:rsidP="00EE2BAE">
      <w:pPr>
        <w:pStyle w:val="EndNoteBibliography"/>
        <w:spacing w:after="0"/>
        <w:ind w:left="720" w:hanging="720"/>
      </w:pPr>
      <w:r w:rsidRPr="00EE2BAE">
        <w:t>23.</w:t>
      </w:r>
      <w:r w:rsidRPr="00EE2BAE">
        <w:tab/>
        <w:t xml:space="preserve">The Office of Gas and Electricity Markets. </w:t>
      </w:r>
      <w:r w:rsidRPr="00EE2BAE">
        <w:rPr>
          <w:i/>
        </w:rPr>
        <w:t>Typical Domestic Consumption Values</w:t>
      </w:r>
      <w:r w:rsidRPr="00EE2BAE">
        <w:t xml:space="preserve">. 2017  [cited 2017 17 November]; Available from: </w:t>
      </w:r>
      <w:hyperlink r:id="rId10" w:history="1">
        <w:r w:rsidRPr="00EE2BAE">
          <w:rPr>
            <w:rStyle w:val="Hyperlink"/>
          </w:rPr>
          <w:t>https://www.ofgem.gov.uk/gas/retail-market/monitoring-data-and-statistics/typical-domestic-consumption-values</w:t>
        </w:r>
      </w:hyperlink>
      <w:r w:rsidRPr="00EE2BAE">
        <w:t>.</w:t>
      </w:r>
    </w:p>
    <w:p w14:paraId="3CF0AAB1" w14:textId="77777777" w:rsidR="00EE2BAE" w:rsidRPr="00EE2BAE" w:rsidRDefault="00EE2BAE" w:rsidP="00EE2BAE">
      <w:pPr>
        <w:pStyle w:val="EndNoteBibliography"/>
        <w:spacing w:after="0"/>
        <w:ind w:left="720" w:hanging="720"/>
      </w:pPr>
      <w:r w:rsidRPr="00EE2BAE">
        <w:t>24.</w:t>
      </w:r>
      <w:r w:rsidRPr="00EE2BAE">
        <w:tab/>
        <w:t xml:space="preserve">Energy Saving Trust, </w:t>
      </w:r>
      <w:r w:rsidRPr="00EE2BAE">
        <w:rPr>
          <w:i/>
        </w:rPr>
        <w:t>At Home with Water</w:t>
      </w:r>
      <w:r w:rsidRPr="00EE2BAE">
        <w:t>. July 2013, Energy Saving Trust: London.</w:t>
      </w:r>
    </w:p>
    <w:p w14:paraId="2D3FCEF1" w14:textId="77777777" w:rsidR="00EE2BAE" w:rsidRPr="00EE2BAE" w:rsidRDefault="00EE2BAE" w:rsidP="00EE2BAE">
      <w:pPr>
        <w:pStyle w:val="EndNoteBibliography"/>
        <w:ind w:left="720" w:hanging="720"/>
      </w:pPr>
      <w:r w:rsidRPr="00EE2BAE">
        <w:t>25.</w:t>
      </w:r>
      <w:r w:rsidRPr="00EE2BAE">
        <w:tab/>
        <w:t xml:space="preserve">Energy Saving Trust, </w:t>
      </w:r>
      <w:r w:rsidRPr="00EE2BAE">
        <w:rPr>
          <w:i/>
        </w:rPr>
        <w:t>Measurement of Domestic Hot Water Consumption in Dwellings</w:t>
      </w:r>
      <w:r w:rsidRPr="00EE2BAE">
        <w:t>. 2008, Department for Environment, Food and Rural Affairs,</w:t>
      </w:r>
    </w:p>
    <w:p w14:paraId="11C76925" w14:textId="77777777" w:rsidR="00EE2BAE" w:rsidRPr="00EE2BAE" w:rsidRDefault="00EE2BAE" w:rsidP="00EE2BAE">
      <w:pPr>
        <w:pStyle w:val="EndNoteBibliography"/>
        <w:spacing w:after="0"/>
        <w:ind w:left="720" w:hanging="720"/>
      </w:pPr>
      <w:r w:rsidRPr="00EE2BAE">
        <w:t>: London.</w:t>
      </w:r>
    </w:p>
    <w:p w14:paraId="72D31FEC" w14:textId="77777777" w:rsidR="00EE2BAE" w:rsidRPr="00EE2BAE" w:rsidRDefault="00EE2BAE" w:rsidP="00EE2BAE">
      <w:pPr>
        <w:pStyle w:val="EndNoteBibliography"/>
        <w:spacing w:after="0"/>
        <w:ind w:left="720" w:hanging="720"/>
      </w:pPr>
      <w:r w:rsidRPr="00EE2BAE">
        <w:t>26.</w:t>
      </w:r>
      <w:r w:rsidRPr="00EE2BAE">
        <w:tab/>
        <w:t xml:space="preserve">Kragh, J., et al., </w:t>
      </w:r>
      <w:r w:rsidRPr="00EE2BAE">
        <w:rPr>
          <w:i/>
        </w:rPr>
        <w:t>Possible explanations for the gap between calculated and measured energy consumption of new houses.</w:t>
      </w:r>
      <w:r w:rsidRPr="00EE2BAE">
        <w:t xml:space="preserve"> Energy Procedia, 2017. </w:t>
      </w:r>
      <w:r w:rsidRPr="00EE2BAE">
        <w:rPr>
          <w:b/>
        </w:rPr>
        <w:t>132</w:t>
      </w:r>
      <w:r w:rsidRPr="00EE2BAE">
        <w:t>(Supplement C): p. 69-74.</w:t>
      </w:r>
    </w:p>
    <w:p w14:paraId="4CF82E62" w14:textId="12069EEA" w:rsidR="00EE2BAE" w:rsidRPr="00EE2BAE" w:rsidRDefault="00EE2BAE" w:rsidP="00EE2BAE">
      <w:pPr>
        <w:pStyle w:val="EndNoteBibliography"/>
        <w:spacing w:after="0"/>
        <w:ind w:left="720" w:hanging="720"/>
      </w:pPr>
      <w:r w:rsidRPr="00EE2BAE">
        <w:t>27.</w:t>
      </w:r>
      <w:r w:rsidRPr="00EE2BAE">
        <w:tab/>
        <w:t xml:space="preserve">Newcastle University Urban Observatory. </w:t>
      </w:r>
      <w:r w:rsidRPr="00EE2BAE">
        <w:rPr>
          <w:i/>
        </w:rPr>
        <w:t>King's Gate weather station</w:t>
      </w:r>
      <w:r w:rsidRPr="00EE2BAE">
        <w:t xml:space="preserve">. Available from: </w:t>
      </w:r>
      <w:hyperlink r:id="rId11" w:history="1">
        <w:r w:rsidRPr="00EE2BAE">
          <w:rPr>
            <w:rStyle w:val="Hyperlink"/>
          </w:rPr>
          <w:t>http://www.urbanobservatory.ac.uk/</w:t>
        </w:r>
      </w:hyperlink>
      <w:r w:rsidRPr="00EE2BAE">
        <w:t>.</w:t>
      </w:r>
    </w:p>
    <w:p w14:paraId="73D9C166" w14:textId="77777777" w:rsidR="00EE2BAE" w:rsidRPr="00EE2BAE" w:rsidRDefault="00EE2BAE" w:rsidP="00EE2BAE">
      <w:pPr>
        <w:pStyle w:val="EndNoteBibliography"/>
        <w:spacing w:after="0"/>
        <w:ind w:left="720" w:hanging="720"/>
      </w:pPr>
      <w:r w:rsidRPr="00EE2BAE">
        <w:t>28.</w:t>
      </w:r>
      <w:r w:rsidRPr="00EE2BAE">
        <w:tab/>
        <w:t xml:space="preserve">ASHRAE, </w:t>
      </w:r>
      <w:r w:rsidRPr="00EE2BAE">
        <w:rPr>
          <w:i/>
        </w:rPr>
        <w:t>ASHRAE Guideline 14-2002: Measurement of Energy and Demand Savings (2002)</w:t>
      </w:r>
      <w:r w:rsidRPr="00EE2BAE">
        <w:t>. 2002.</w:t>
      </w:r>
    </w:p>
    <w:p w14:paraId="434D9A7F" w14:textId="159B49F2" w:rsidR="00EE2BAE" w:rsidRPr="00EE2BAE" w:rsidRDefault="00EE2BAE" w:rsidP="00EE2BAE">
      <w:pPr>
        <w:pStyle w:val="EndNoteBibliography"/>
        <w:spacing w:after="0"/>
        <w:ind w:left="720" w:hanging="720"/>
      </w:pPr>
      <w:r w:rsidRPr="00EE2BAE">
        <w:t>29.</w:t>
      </w:r>
      <w:r w:rsidRPr="00EE2BAE">
        <w:tab/>
        <w:t xml:space="preserve">US Department of Energy. </w:t>
      </w:r>
      <w:r w:rsidRPr="00EE2BAE">
        <w:rPr>
          <w:i/>
        </w:rPr>
        <w:t xml:space="preserve">Air Flow Network Multizone Surface </w:t>
      </w:r>
      <w:r w:rsidRPr="00EE2BAE">
        <w:t xml:space="preserve">2018  [cited 2018 31 Jan]; Available from: </w:t>
      </w:r>
      <w:hyperlink r:id="rId12" w:anchor="airflownetworkmultizonesurface" w:history="1">
        <w:r w:rsidRPr="00EE2BAE">
          <w:rPr>
            <w:rStyle w:val="Hyperlink"/>
          </w:rPr>
          <w:t>https://bigladdersoftware.com/epx/docs/8-5/input-output-reference/group-airflow-network.html#airflownetworkmultizonesurface</w:t>
        </w:r>
      </w:hyperlink>
      <w:r w:rsidRPr="00EE2BAE">
        <w:t xml:space="preserve"> </w:t>
      </w:r>
    </w:p>
    <w:p w14:paraId="39BBB045" w14:textId="77777777" w:rsidR="00EE2BAE" w:rsidRPr="00EE2BAE" w:rsidRDefault="00EE2BAE" w:rsidP="00EE2BAE">
      <w:pPr>
        <w:pStyle w:val="EndNoteBibliography"/>
        <w:spacing w:after="0"/>
        <w:ind w:left="720" w:hanging="720"/>
      </w:pPr>
      <w:r w:rsidRPr="00EE2BAE">
        <w:t>30.</w:t>
      </w:r>
      <w:r w:rsidRPr="00EE2BAE">
        <w:tab/>
        <w:t xml:space="preserve">Jason Palmer; Ian Cooper, </w:t>
      </w:r>
      <w:r w:rsidRPr="00EE2BAE">
        <w:rPr>
          <w:i/>
        </w:rPr>
        <w:t>United Kingdom Housing Energy Fact File</w:t>
      </w:r>
      <w:r w:rsidRPr="00EE2BAE">
        <w:t>. 2013, Department of Energy and Climate Change: United Kingdom (London).</w:t>
      </w:r>
    </w:p>
    <w:p w14:paraId="15B1E7BD" w14:textId="77777777" w:rsidR="00EE2BAE" w:rsidRPr="00EE2BAE" w:rsidRDefault="00EE2BAE" w:rsidP="00EE2BAE">
      <w:pPr>
        <w:pStyle w:val="EndNoteBibliography"/>
        <w:spacing w:after="0"/>
        <w:ind w:left="720" w:hanging="720"/>
      </w:pPr>
      <w:r w:rsidRPr="00EE2BAE">
        <w:t>31.</w:t>
      </w:r>
      <w:r w:rsidRPr="00EE2BAE">
        <w:tab/>
        <w:t xml:space="preserve">Eguaras-Martínez, M., M. Vidaurre-Arbizu, and C. Martín-Gómez, </w:t>
      </w:r>
      <w:r w:rsidRPr="00EE2BAE">
        <w:rPr>
          <w:i/>
        </w:rPr>
        <w:t>Simulation and evaluation of Building Information Modeling in a real pilot site.</w:t>
      </w:r>
      <w:r w:rsidRPr="00EE2BAE">
        <w:t xml:space="preserve"> Applied Energy, 2014. </w:t>
      </w:r>
      <w:r w:rsidRPr="00EE2BAE">
        <w:rPr>
          <w:b/>
        </w:rPr>
        <w:t>114</w:t>
      </w:r>
      <w:r w:rsidRPr="00EE2BAE">
        <w:t>: p. 475-484.</w:t>
      </w:r>
    </w:p>
    <w:p w14:paraId="4A612E84" w14:textId="77777777" w:rsidR="00EE2BAE" w:rsidRPr="00EE2BAE" w:rsidRDefault="00EE2BAE" w:rsidP="00EE2BAE">
      <w:pPr>
        <w:pStyle w:val="EndNoteBibliography"/>
        <w:spacing w:after="0"/>
        <w:ind w:left="720" w:hanging="720"/>
      </w:pPr>
      <w:r w:rsidRPr="00EE2BAE">
        <w:t>32.</w:t>
      </w:r>
      <w:r w:rsidRPr="00EE2BAE">
        <w:tab/>
        <w:t xml:space="preserve">Wei, S., R. Jones, and P. de Wilde, </w:t>
      </w:r>
      <w:r w:rsidRPr="00EE2BAE">
        <w:rPr>
          <w:i/>
        </w:rPr>
        <w:t>Driving factors for occupant-controlled space heating in residential buildings.</w:t>
      </w:r>
      <w:r w:rsidRPr="00EE2BAE">
        <w:t xml:space="preserve"> Energy and Buildings, 2014. </w:t>
      </w:r>
      <w:r w:rsidRPr="00EE2BAE">
        <w:rPr>
          <w:b/>
        </w:rPr>
        <w:t>70</w:t>
      </w:r>
      <w:r w:rsidRPr="00EE2BAE">
        <w:t>: p. 36-44.</w:t>
      </w:r>
    </w:p>
    <w:p w14:paraId="4315509A" w14:textId="77777777" w:rsidR="00EE2BAE" w:rsidRPr="00EE2BAE" w:rsidRDefault="00EE2BAE" w:rsidP="00EE2BAE">
      <w:pPr>
        <w:pStyle w:val="EndNoteBibliography"/>
        <w:spacing w:after="0"/>
        <w:ind w:left="720" w:hanging="720"/>
      </w:pPr>
      <w:r w:rsidRPr="00EE2BAE">
        <w:t>33.</w:t>
      </w:r>
      <w:r w:rsidRPr="00EE2BAE">
        <w:tab/>
        <w:t xml:space="preserve">Rodríguez, G.C., et al., </w:t>
      </w:r>
      <w:r w:rsidRPr="00EE2BAE">
        <w:rPr>
          <w:i/>
        </w:rPr>
        <w:t>Uncertainties and sensitivity analysis in building energy simulation using macroparameters.</w:t>
      </w:r>
      <w:r w:rsidRPr="00EE2BAE">
        <w:t xml:space="preserve"> Energy and Buildings, 2013. </w:t>
      </w:r>
      <w:r w:rsidRPr="00EE2BAE">
        <w:rPr>
          <w:b/>
        </w:rPr>
        <w:t>67</w:t>
      </w:r>
      <w:r w:rsidRPr="00EE2BAE">
        <w:t>: p. 79-87.</w:t>
      </w:r>
    </w:p>
    <w:p w14:paraId="3433566D" w14:textId="77777777" w:rsidR="00EE2BAE" w:rsidRPr="00EE2BAE" w:rsidRDefault="00EE2BAE" w:rsidP="00EE2BAE">
      <w:pPr>
        <w:pStyle w:val="EndNoteBibliography"/>
        <w:spacing w:after="0"/>
        <w:ind w:left="720" w:hanging="720"/>
      </w:pPr>
      <w:r w:rsidRPr="00EE2BAE">
        <w:t>34.</w:t>
      </w:r>
      <w:r w:rsidRPr="00EE2BAE">
        <w:tab/>
        <w:t xml:space="preserve">Guerra Santin, O., L. Itard, and H. Visscher, </w:t>
      </w:r>
      <w:r w:rsidRPr="00EE2BAE">
        <w:rPr>
          <w:i/>
        </w:rPr>
        <w:t>The effect of occupancy and building characteristics on energy use for space and water heating in Dutch residential stock.</w:t>
      </w:r>
      <w:r w:rsidRPr="00EE2BAE">
        <w:t xml:space="preserve"> Energy and Buildings, 2009. </w:t>
      </w:r>
      <w:r w:rsidRPr="00EE2BAE">
        <w:rPr>
          <w:b/>
        </w:rPr>
        <w:t>41</w:t>
      </w:r>
      <w:r w:rsidRPr="00EE2BAE">
        <w:t>(11): p. 1223-1232.</w:t>
      </w:r>
    </w:p>
    <w:p w14:paraId="7D85B56F" w14:textId="77777777" w:rsidR="00EE2BAE" w:rsidRPr="00EE2BAE" w:rsidRDefault="00EE2BAE" w:rsidP="00EE2BAE">
      <w:pPr>
        <w:pStyle w:val="EndNoteBibliography"/>
        <w:spacing w:after="0"/>
        <w:ind w:left="720" w:hanging="720"/>
      </w:pPr>
      <w:r w:rsidRPr="00EE2BAE">
        <w:t>35.</w:t>
      </w:r>
      <w:r w:rsidRPr="00EE2BAE">
        <w:tab/>
        <w:t xml:space="preserve">Huang, P., G. Huang, and Y. Wang, </w:t>
      </w:r>
      <w:r w:rsidRPr="00EE2BAE">
        <w:rPr>
          <w:i/>
        </w:rPr>
        <w:t>HVAC system design under peak load prediction uncertainty using multiple-criterion decision making technique.</w:t>
      </w:r>
      <w:r w:rsidRPr="00EE2BAE">
        <w:t xml:space="preserve"> Energy and Buildings, 2015. </w:t>
      </w:r>
      <w:r w:rsidRPr="00EE2BAE">
        <w:rPr>
          <w:b/>
        </w:rPr>
        <w:t>91</w:t>
      </w:r>
      <w:r w:rsidRPr="00EE2BAE">
        <w:t>: p. 26-36.</w:t>
      </w:r>
    </w:p>
    <w:p w14:paraId="2B0E5DE6" w14:textId="77777777" w:rsidR="00EE2BAE" w:rsidRPr="00EE2BAE" w:rsidRDefault="00EE2BAE" w:rsidP="00EE2BAE">
      <w:pPr>
        <w:pStyle w:val="EndNoteBibliography"/>
        <w:spacing w:after="0"/>
        <w:ind w:left="720" w:hanging="720"/>
      </w:pPr>
      <w:r w:rsidRPr="00EE2BAE">
        <w:t>36.</w:t>
      </w:r>
      <w:r w:rsidRPr="00EE2BAE">
        <w:tab/>
        <w:t xml:space="preserve">Corrado, V. and H.E. Mechri, </w:t>
      </w:r>
      <w:r w:rsidRPr="00EE2BAE">
        <w:rPr>
          <w:i/>
        </w:rPr>
        <w:t>Uncertainty and sensitivity analysis for building energy rating.</w:t>
      </w:r>
      <w:r w:rsidRPr="00EE2BAE">
        <w:t xml:space="preserve"> Journal of Building Physics, 2009. </w:t>
      </w:r>
      <w:r w:rsidRPr="00EE2BAE">
        <w:rPr>
          <w:b/>
        </w:rPr>
        <w:t>33</w:t>
      </w:r>
      <w:r w:rsidRPr="00EE2BAE">
        <w:t>(2): p. 125-156.</w:t>
      </w:r>
    </w:p>
    <w:p w14:paraId="0244BC86" w14:textId="77777777" w:rsidR="00EE2BAE" w:rsidRPr="00EE2BAE" w:rsidRDefault="00EE2BAE" w:rsidP="00EE2BAE">
      <w:pPr>
        <w:pStyle w:val="EndNoteBibliography"/>
        <w:spacing w:after="0"/>
        <w:ind w:left="720" w:hanging="720"/>
      </w:pPr>
      <w:r w:rsidRPr="00EE2BAE">
        <w:t>37.</w:t>
      </w:r>
      <w:r w:rsidRPr="00EE2BAE">
        <w:tab/>
        <w:t xml:space="preserve">Wang, L., P. Mathew, and X. Pang, </w:t>
      </w:r>
      <w:r w:rsidRPr="00EE2BAE">
        <w:rPr>
          <w:i/>
        </w:rPr>
        <w:t>Uncertainties in energy consumption introduced by building operations and weather for a medium-size office building.</w:t>
      </w:r>
      <w:r w:rsidRPr="00EE2BAE">
        <w:t xml:space="preserve"> Energy and Buildings, 2012. </w:t>
      </w:r>
      <w:r w:rsidRPr="00EE2BAE">
        <w:rPr>
          <w:b/>
        </w:rPr>
        <w:t>53</w:t>
      </w:r>
      <w:r w:rsidRPr="00EE2BAE">
        <w:t>: p. 152-158.</w:t>
      </w:r>
    </w:p>
    <w:p w14:paraId="7B967D05" w14:textId="77777777" w:rsidR="00EE2BAE" w:rsidRPr="00EE2BAE" w:rsidRDefault="00EE2BAE" w:rsidP="00EE2BAE">
      <w:pPr>
        <w:pStyle w:val="EndNoteBibliography"/>
        <w:spacing w:after="0"/>
        <w:ind w:left="720" w:hanging="720"/>
      </w:pPr>
      <w:r w:rsidRPr="00EE2BAE">
        <w:t>38.</w:t>
      </w:r>
      <w:r w:rsidRPr="00EE2BAE">
        <w:tab/>
        <w:t xml:space="preserve">de Wilde, P., W. Tian, and G. Augenbroe, </w:t>
      </w:r>
      <w:r w:rsidRPr="00EE2BAE">
        <w:rPr>
          <w:i/>
        </w:rPr>
        <w:t>Longitudinal prediction of the operational energy use of buildings.</w:t>
      </w:r>
      <w:r w:rsidRPr="00EE2BAE">
        <w:t xml:space="preserve"> Building and Environment, 2011. </w:t>
      </w:r>
      <w:r w:rsidRPr="00EE2BAE">
        <w:rPr>
          <w:b/>
        </w:rPr>
        <w:t>46</w:t>
      </w:r>
      <w:r w:rsidRPr="00EE2BAE">
        <w:t>(8): p. 1670-1680.</w:t>
      </w:r>
    </w:p>
    <w:p w14:paraId="5EDE037F" w14:textId="77777777" w:rsidR="00EE2BAE" w:rsidRPr="00EE2BAE" w:rsidRDefault="00EE2BAE" w:rsidP="00EE2BAE">
      <w:pPr>
        <w:pStyle w:val="EndNoteBibliography"/>
        <w:spacing w:after="0"/>
        <w:ind w:left="720" w:hanging="720"/>
      </w:pPr>
      <w:r w:rsidRPr="00EE2BAE">
        <w:t>39.</w:t>
      </w:r>
      <w:r w:rsidRPr="00EE2BAE">
        <w:tab/>
        <w:t xml:space="preserve">Baldi, S., et al., </w:t>
      </w:r>
      <w:r w:rsidRPr="00EE2BAE">
        <w:rPr>
          <w:i/>
        </w:rPr>
        <w:t>Real-time monitoring energy efficiency and performance degradation of condensing boilers.</w:t>
      </w:r>
      <w:r w:rsidRPr="00EE2BAE">
        <w:t xml:space="preserve"> Energy Conversion and Management, 2017. </w:t>
      </w:r>
      <w:r w:rsidRPr="00EE2BAE">
        <w:rPr>
          <w:b/>
        </w:rPr>
        <w:t>136</w:t>
      </w:r>
      <w:r w:rsidRPr="00EE2BAE">
        <w:t>: p. 329-339.</w:t>
      </w:r>
    </w:p>
    <w:p w14:paraId="0A85FE16" w14:textId="77777777" w:rsidR="00EE2BAE" w:rsidRPr="00EE2BAE" w:rsidRDefault="00EE2BAE" w:rsidP="00EE2BAE">
      <w:pPr>
        <w:pStyle w:val="EndNoteBibliography"/>
        <w:spacing w:after="0"/>
        <w:ind w:left="720" w:hanging="720"/>
      </w:pPr>
      <w:r w:rsidRPr="00EE2BAE">
        <w:lastRenderedPageBreak/>
        <w:t>40.</w:t>
      </w:r>
      <w:r w:rsidRPr="00EE2BAE">
        <w:tab/>
        <w:t xml:space="preserve">O’Brien, </w:t>
      </w:r>
      <w:r w:rsidRPr="00EE2BAE">
        <w:rPr>
          <w:i/>
        </w:rPr>
        <w:t xml:space="preserve">Best Practice Guide, Energy Efficiency: Steam, Hot Water and Process Heating Systems </w:t>
      </w:r>
      <w:r w:rsidRPr="00EE2BAE">
        <w:t>(2015), Sustainability Victoria.</w:t>
      </w:r>
    </w:p>
    <w:p w14:paraId="02FE4D33" w14:textId="77777777" w:rsidR="00EE2BAE" w:rsidRPr="00EE2BAE" w:rsidRDefault="00EE2BAE" w:rsidP="00EE2BAE">
      <w:pPr>
        <w:pStyle w:val="EndNoteBibliography"/>
        <w:ind w:left="720" w:hanging="720"/>
      </w:pPr>
      <w:r w:rsidRPr="00EE2BAE">
        <w:t>41.</w:t>
      </w:r>
      <w:r w:rsidRPr="00EE2BAE">
        <w:tab/>
        <w:t xml:space="preserve">Brian Anderson, </w:t>
      </w:r>
      <w:r w:rsidRPr="00EE2BAE">
        <w:rPr>
          <w:i/>
        </w:rPr>
        <w:t>Conventions for U-value calculations</w:t>
      </w:r>
      <w:r w:rsidRPr="00EE2BAE">
        <w:t>. 2006, Building Research Establishment Scotland: BRE Press, Garston, Watford.</w:t>
      </w:r>
    </w:p>
    <w:p w14:paraId="4B51D5F1" w14:textId="611EBDC1" w:rsidR="00EE2BAE" w:rsidRDefault="00C02988" w:rsidP="00BB2876">
      <w:r>
        <w:fldChar w:fldCharType="end"/>
      </w:r>
      <w:r w:rsidR="00B938E3">
        <w:t xml:space="preserve">42. </w:t>
      </w:r>
      <w:r w:rsidR="00B938E3">
        <w:tab/>
        <w:t xml:space="preserve">Hou D., I.G. Hassan, </w:t>
      </w:r>
      <w:r w:rsidR="00772230">
        <w:t xml:space="preserve">and </w:t>
      </w:r>
      <w:r w:rsidR="00B938E3">
        <w:t>L. Wang,</w:t>
      </w:r>
      <w:r w:rsidR="00772230">
        <w:t xml:space="preserve"> </w:t>
      </w:r>
      <w:r w:rsidR="00B938E3" w:rsidRPr="00772230">
        <w:rPr>
          <w:i/>
        </w:rPr>
        <w:t>Review on building energy model calibration by Bayesian inference</w:t>
      </w:r>
      <w:r w:rsidR="00B938E3">
        <w:t>,</w:t>
      </w:r>
      <w:r w:rsidR="00772230">
        <w:t xml:space="preserve"> </w:t>
      </w:r>
      <w:r w:rsidR="00B938E3">
        <w:t>Renewable and Sustainable Energy Reviews,</w:t>
      </w:r>
      <w:r w:rsidR="00772230">
        <w:t xml:space="preserve"> </w:t>
      </w:r>
      <w:r w:rsidR="00B938E3">
        <w:t>2021</w:t>
      </w:r>
      <w:r w:rsidR="00772230">
        <w:t xml:space="preserve">. </w:t>
      </w:r>
      <w:r w:rsidR="00772230" w:rsidRPr="00772230">
        <w:rPr>
          <w:b/>
        </w:rPr>
        <w:t>143</w:t>
      </w:r>
      <w:r w:rsidR="00772230">
        <w:rPr>
          <w:b/>
        </w:rPr>
        <w:t xml:space="preserve">, </w:t>
      </w:r>
      <w:r w:rsidR="00772230" w:rsidRPr="00772230">
        <w:t>110930</w:t>
      </w:r>
      <w:r w:rsidR="00772230">
        <w:t xml:space="preserve">. </w:t>
      </w:r>
      <w:r w:rsidR="00B938E3">
        <w:t>https://doi.org/10.1016/j.rser.2021.110930.</w:t>
      </w:r>
    </w:p>
    <w:p w14:paraId="1D1CBDA5" w14:textId="77777777" w:rsidR="006937B1" w:rsidRDefault="006937B1" w:rsidP="00BB2876">
      <w:pPr>
        <w:sectPr w:rsidR="006937B1">
          <w:footerReference w:type="default" r:id="rId13"/>
          <w:pgSz w:w="11906" w:h="16838"/>
          <w:pgMar w:top="1440" w:right="1440" w:bottom="1440" w:left="1440" w:header="708" w:footer="708" w:gutter="0"/>
          <w:cols w:space="708"/>
          <w:docGrid w:linePitch="360"/>
        </w:sectPr>
      </w:pPr>
    </w:p>
    <w:p w14:paraId="0DAF4455" w14:textId="77777777" w:rsidR="00EE2BAE" w:rsidRDefault="00EE2BAE" w:rsidP="00EE2BAE">
      <w:r w:rsidRPr="0007543D">
        <w:lastRenderedPageBreak/>
        <w:t>Table 1</w:t>
      </w:r>
      <w:r>
        <w:t>:</w:t>
      </w:r>
      <w:r w:rsidRPr="0007543D">
        <w:t xml:space="preserve"> </w:t>
      </w:r>
      <w:r>
        <w:t>Sequence of uncertainty analysis on building energy models</w:t>
      </w:r>
    </w:p>
    <w:tbl>
      <w:tblPr>
        <w:tblStyle w:val="TableGrid"/>
        <w:tblW w:w="13995" w:type="dxa"/>
        <w:tblLook w:val="04A0" w:firstRow="1" w:lastRow="0" w:firstColumn="1" w:lastColumn="0" w:noHBand="0" w:noVBand="1"/>
      </w:tblPr>
      <w:tblGrid>
        <w:gridCol w:w="1901"/>
        <w:gridCol w:w="2205"/>
        <w:gridCol w:w="2786"/>
        <w:gridCol w:w="2013"/>
        <w:gridCol w:w="2946"/>
        <w:gridCol w:w="2144"/>
      </w:tblGrid>
      <w:tr w:rsidR="00EE2BAE" w:rsidRPr="007F17E4" w14:paraId="2FC1DB69" w14:textId="77777777" w:rsidTr="00D43D2A">
        <w:trPr>
          <w:trHeight w:val="728"/>
        </w:trPr>
        <w:tc>
          <w:tcPr>
            <w:tcW w:w="1901" w:type="dxa"/>
          </w:tcPr>
          <w:p w14:paraId="17DD26C1" w14:textId="77777777" w:rsidR="00EE2BAE" w:rsidRDefault="00EE2BAE" w:rsidP="00D43D2A">
            <w:pPr>
              <w:rPr>
                <w:b/>
                <w:bCs/>
              </w:rPr>
            </w:pPr>
          </w:p>
          <w:p w14:paraId="1A248498" w14:textId="77777777" w:rsidR="00EE2BAE" w:rsidRPr="00CD2CA7" w:rsidRDefault="00EE2BAE" w:rsidP="00D43D2A">
            <w:pPr>
              <w:rPr>
                <w:b/>
                <w:bCs/>
              </w:rPr>
            </w:pPr>
          </w:p>
        </w:tc>
        <w:tc>
          <w:tcPr>
            <w:tcW w:w="2205" w:type="dxa"/>
          </w:tcPr>
          <w:p w14:paraId="05FF83D4" w14:textId="77777777" w:rsidR="00EE2BAE" w:rsidRDefault="00EE2BAE" w:rsidP="00D43D2A">
            <w:r>
              <w:t>Field</w:t>
            </w:r>
          </w:p>
        </w:tc>
        <w:tc>
          <w:tcPr>
            <w:tcW w:w="2786" w:type="dxa"/>
          </w:tcPr>
          <w:p w14:paraId="36710FDE" w14:textId="77777777" w:rsidR="00EE2BAE" w:rsidRPr="007F17E4" w:rsidRDefault="00EE2BAE" w:rsidP="00D43D2A">
            <w:r w:rsidRPr="007F17E4">
              <w:t xml:space="preserve">Model </w:t>
            </w:r>
            <w:r>
              <w:t>inputs</w:t>
            </w:r>
          </w:p>
        </w:tc>
        <w:tc>
          <w:tcPr>
            <w:tcW w:w="2013" w:type="dxa"/>
          </w:tcPr>
          <w:p w14:paraId="2A7A85CD" w14:textId="77777777" w:rsidR="00EE2BAE" w:rsidRPr="007F17E4" w:rsidRDefault="00EE2BAE" w:rsidP="00D43D2A">
            <w:r>
              <w:t>Input range</w:t>
            </w:r>
          </w:p>
        </w:tc>
        <w:tc>
          <w:tcPr>
            <w:tcW w:w="2946" w:type="dxa"/>
          </w:tcPr>
          <w:p w14:paraId="396BCE42" w14:textId="77777777" w:rsidR="00EE2BAE" w:rsidRPr="007F17E4" w:rsidRDefault="00EE2BAE" w:rsidP="00D43D2A">
            <w:r w:rsidRPr="007F17E4">
              <w:t>Distribution of uncertainty</w:t>
            </w:r>
          </w:p>
        </w:tc>
        <w:tc>
          <w:tcPr>
            <w:tcW w:w="2144" w:type="dxa"/>
          </w:tcPr>
          <w:p w14:paraId="77D48A12" w14:textId="77777777" w:rsidR="00EE2BAE" w:rsidRPr="007F17E4" w:rsidRDefault="00EE2BAE" w:rsidP="00D43D2A">
            <w:r>
              <w:t>Reported variation in model output</w:t>
            </w:r>
          </w:p>
        </w:tc>
      </w:tr>
      <w:tr w:rsidR="00EE2BAE" w:rsidRPr="007F17E4" w14:paraId="7EF1B46F" w14:textId="77777777" w:rsidTr="00D43D2A">
        <w:trPr>
          <w:trHeight w:val="497"/>
        </w:trPr>
        <w:tc>
          <w:tcPr>
            <w:tcW w:w="1901" w:type="dxa"/>
            <w:vMerge w:val="restart"/>
          </w:tcPr>
          <w:p w14:paraId="3B0B2330" w14:textId="77777777" w:rsidR="00EE2BAE" w:rsidRPr="007F17E4" w:rsidRDefault="00EE2BAE" w:rsidP="00D43D2A"/>
          <w:p w14:paraId="3551AC53" w14:textId="77777777" w:rsidR="00EE2BAE" w:rsidRPr="007F17E4" w:rsidRDefault="00EE2BAE" w:rsidP="00D43D2A"/>
          <w:p w14:paraId="194CB55C" w14:textId="77777777" w:rsidR="00EE2BAE" w:rsidRPr="007F17E4" w:rsidRDefault="00EE2BAE" w:rsidP="00D43D2A"/>
          <w:p w14:paraId="2ED64FA8" w14:textId="77777777" w:rsidR="00EE2BAE" w:rsidRPr="007F17E4" w:rsidRDefault="00EE2BAE" w:rsidP="00D43D2A">
            <w:r w:rsidRPr="007F17E4">
              <w:t>Building energy model</w:t>
            </w:r>
          </w:p>
        </w:tc>
        <w:tc>
          <w:tcPr>
            <w:tcW w:w="2205" w:type="dxa"/>
          </w:tcPr>
          <w:p w14:paraId="6EBAB393" w14:textId="77777777" w:rsidR="00EE2BAE" w:rsidRPr="007F17E4" w:rsidRDefault="00EE2BAE" w:rsidP="00D43D2A">
            <w:r w:rsidRPr="007F17E4">
              <w:t>Occupant behaviour</w:t>
            </w:r>
          </w:p>
        </w:tc>
        <w:tc>
          <w:tcPr>
            <w:tcW w:w="2786" w:type="dxa"/>
          </w:tcPr>
          <w:p w14:paraId="0B87FC8D" w14:textId="77777777" w:rsidR="00EE2BAE" w:rsidRPr="007F17E4" w:rsidRDefault="00EE2BAE" w:rsidP="00D43D2A">
            <w:r>
              <w:t>Presence, density, heat gain</w:t>
            </w:r>
          </w:p>
        </w:tc>
        <w:tc>
          <w:tcPr>
            <w:tcW w:w="2013" w:type="dxa"/>
          </w:tcPr>
          <w:p w14:paraId="7AF0614B" w14:textId="77777777" w:rsidR="00EE2BAE" w:rsidRPr="007F17E4" w:rsidRDefault="00EE2BAE" w:rsidP="00D43D2A">
            <w:r>
              <w:t>Binary and non-binary</w:t>
            </w:r>
          </w:p>
        </w:tc>
        <w:tc>
          <w:tcPr>
            <w:tcW w:w="2946" w:type="dxa"/>
          </w:tcPr>
          <w:p w14:paraId="72D183A9" w14:textId="77777777" w:rsidR="00EE2BAE" w:rsidRPr="007F17E4" w:rsidRDefault="00EE2BAE" w:rsidP="00D43D2A">
            <w:r>
              <w:t>No reports found</w:t>
            </w:r>
          </w:p>
        </w:tc>
        <w:tc>
          <w:tcPr>
            <w:tcW w:w="2144" w:type="dxa"/>
          </w:tcPr>
          <w:p w14:paraId="6AB4EFB1" w14:textId="5E277670" w:rsidR="00EE2BAE" w:rsidRDefault="00EE2BAE" w:rsidP="00D43D2A">
            <w:r>
              <w:t xml:space="preserve">30% </w:t>
            </w:r>
            <w:r>
              <w:fldChar w:fldCharType="begin"/>
            </w:r>
            <w:r>
              <w:instrText xml:space="preserve"> ADDIN EN.CITE &lt;EndNote&gt;&lt;Cite&gt;&lt;Author&gt;Eguaras-Martínez&lt;/Author&gt;&lt;Year&gt;2014&lt;/Year&gt;&lt;RecNum&gt;2261&lt;/RecNum&gt;&lt;DisplayText&gt;[31]&lt;/DisplayText&gt;&lt;record&gt;&lt;rec-number&gt;2261&lt;/rec-number&gt;&lt;foreign-keys&gt;&lt;key app="EN" db-id="pd9ft9ta59zarqett5ppztd6pxp9vwe2pxd5" timestamp="1587372758"&gt;2261&lt;/key&gt;&lt;/foreign-keys&gt;&lt;ref-type name="Journal Article"&gt;17&lt;/ref-type&gt;&lt;contributors&gt;&lt;authors&gt;&lt;author&gt;Eguaras-Martínez, María&lt;/author&gt;&lt;author&gt;Vidaurre-Arbizu, Marina&lt;/author&gt;&lt;author&gt;Martín-Gómez, César&lt;/author&gt;&lt;/authors&gt;&lt;/contributors&gt;&lt;titles&gt;&lt;title&gt;Simulation and evaluation of Building Information Modeling in a real pilot site&lt;/title&gt;&lt;secondary-title&gt;Applied Energy&lt;/secondary-title&gt;&lt;/titles&gt;&lt;periodical&gt;&lt;full-title&gt;Applied Energy&lt;/full-title&gt;&lt;/periodical&gt;&lt;pages&gt;475-484&lt;/pages&gt;&lt;volume&gt;114&lt;/volume&gt;&lt;keywords&gt;&lt;keyword&gt;Architecture&lt;/keyword&gt;&lt;keyword&gt;Building Information Model&lt;/keyword&gt;&lt;keyword&gt;Energy efficiency&lt;/keyword&gt;&lt;keyword&gt;Human flow&lt;/keyword&gt;&lt;keyword&gt;Simulation&lt;/keyword&gt;&lt;keyword&gt;Software&lt;/keyword&gt;&lt;/keywords&gt;&lt;dates&gt;&lt;year&gt;2014&lt;/year&gt;&lt;pub-dates&gt;&lt;date&gt;2014/02/01/&lt;/date&gt;&lt;/pub-dates&gt;&lt;/dates&gt;&lt;isbn&gt;0306-2619&lt;/isbn&gt;&lt;urls&gt;&lt;related-urls&gt;&lt;url&gt;http://www.sciencedirect.com/science/article/pii/S0306261913007940&lt;/url&gt;&lt;/related-urls&gt;&lt;/urls&gt;&lt;electronic-resource-num&gt;https://doi.org/10.1016/j.apenergy.2013.09.047&lt;/electronic-resource-num&gt;&lt;/record&gt;&lt;/Cite&gt;&lt;/EndNote&gt;</w:instrText>
            </w:r>
            <w:r>
              <w:fldChar w:fldCharType="separate"/>
            </w:r>
            <w:r>
              <w:rPr>
                <w:noProof/>
              </w:rPr>
              <w:t>[31]</w:t>
            </w:r>
            <w:r>
              <w:fldChar w:fldCharType="end"/>
            </w:r>
          </w:p>
          <w:p w14:paraId="3A5C3889" w14:textId="0446EA53" w:rsidR="00EE2BAE" w:rsidRPr="007F17E4" w:rsidRDefault="00EE2BAE" w:rsidP="00D43D2A">
            <w:r>
              <w:t xml:space="preserve">4-26% </w:t>
            </w:r>
            <w:r>
              <w:fldChar w:fldCharType="begin"/>
            </w:r>
            <w:r>
              <w:instrText xml:space="preserve"> ADDIN EN.CITE &lt;EndNote&gt;&lt;Cite&gt;&lt;Author&gt;Wei&lt;/Author&gt;&lt;Year&gt;2014&lt;/Year&gt;&lt;RecNum&gt;2271&lt;/RecNum&gt;&lt;DisplayText&gt;[32]&lt;/DisplayText&gt;&lt;record&gt;&lt;rec-number&gt;2271&lt;/rec-number&gt;&lt;foreign-keys&gt;&lt;key app="EN" db-id="pd9ft9ta59zarqett5ppztd6pxp9vwe2pxd5" timestamp="1588330245"&gt;2271&lt;/key&gt;&lt;/foreign-keys&gt;&lt;ref-type name="Journal Article"&gt;17&lt;/ref-type&gt;&lt;contributors&gt;&lt;authors&gt;&lt;author&gt;Wei, Shen&lt;/author&gt;&lt;author&gt;Jones, Rory&lt;/author&gt;&lt;author&gt;de Wilde, Pieter&lt;/author&gt;&lt;/authors&gt;&lt;/contributors&gt;&lt;titles&gt;&lt;title&gt;Driving factors for occupant-controlled space heating in residential buildings&lt;/title&gt;&lt;secondary-title&gt;Energy and Buildings&lt;/secondary-title&gt;&lt;/titles&gt;&lt;periodical&gt;&lt;full-title&gt;Energy and Buildings&lt;/full-title&gt;&lt;/periodical&gt;&lt;pages&gt;36-44&lt;/pages&gt;&lt;volume&gt;70&lt;/volume&gt;&lt;keywords&gt;&lt;keyword&gt;Occupant behaviour&lt;/keyword&gt;&lt;keyword&gt;Space heating drivers&lt;/keyword&gt;&lt;keyword&gt;Energy consumption&lt;/keyword&gt;&lt;keyword&gt;Residential buildings&lt;/keyword&gt;&lt;keyword&gt;Building simulation&lt;/keyword&gt;&lt;/keywords&gt;&lt;dates&gt;&lt;year&gt;2014&lt;/year&gt;&lt;pub-dates&gt;&lt;date&gt;2014/02/01/&lt;/date&gt;&lt;/pub-dates&gt;&lt;/dates&gt;&lt;isbn&gt;0378-7788&lt;/isbn&gt;&lt;urls&gt;&lt;related-urls&gt;&lt;url&gt;http://www.sciencedirect.com/science/article/pii/S037877881300683X&lt;/url&gt;&lt;/related-urls&gt;&lt;/urls&gt;&lt;electronic-resource-num&gt;https://doi.org/10.1016/j.enbuild.2013.11.001&lt;/electronic-resource-num&gt;&lt;/record&gt;&lt;/Cite&gt;&lt;/EndNote&gt;</w:instrText>
            </w:r>
            <w:r>
              <w:fldChar w:fldCharType="separate"/>
            </w:r>
            <w:r>
              <w:rPr>
                <w:noProof/>
              </w:rPr>
              <w:t>[32]</w:t>
            </w:r>
            <w:r>
              <w:fldChar w:fldCharType="end"/>
            </w:r>
          </w:p>
        </w:tc>
      </w:tr>
      <w:tr w:rsidR="00EE2BAE" w:rsidRPr="007F17E4" w14:paraId="0DF2EFA4" w14:textId="77777777" w:rsidTr="00D43D2A">
        <w:trPr>
          <w:trHeight w:val="736"/>
        </w:trPr>
        <w:tc>
          <w:tcPr>
            <w:tcW w:w="1901" w:type="dxa"/>
            <w:vMerge/>
          </w:tcPr>
          <w:p w14:paraId="19A41045" w14:textId="77777777" w:rsidR="00EE2BAE" w:rsidRPr="007F17E4" w:rsidRDefault="00EE2BAE" w:rsidP="00D43D2A"/>
        </w:tc>
        <w:tc>
          <w:tcPr>
            <w:tcW w:w="2205" w:type="dxa"/>
          </w:tcPr>
          <w:p w14:paraId="4610E9FA" w14:textId="77777777" w:rsidR="00EE2BAE" w:rsidRPr="007F17E4" w:rsidRDefault="00EE2BAE" w:rsidP="00D43D2A">
            <w:r w:rsidRPr="007F17E4">
              <w:t>Building envelope thermal properties</w:t>
            </w:r>
          </w:p>
        </w:tc>
        <w:tc>
          <w:tcPr>
            <w:tcW w:w="2786" w:type="dxa"/>
          </w:tcPr>
          <w:p w14:paraId="11ECFD88" w14:textId="77777777" w:rsidR="00EE2BAE" w:rsidRPr="007F17E4" w:rsidRDefault="00EE2BAE" w:rsidP="00D43D2A">
            <w:r>
              <w:t>U-values, thickness, surface and moisture properties</w:t>
            </w:r>
          </w:p>
        </w:tc>
        <w:tc>
          <w:tcPr>
            <w:tcW w:w="2013" w:type="dxa"/>
          </w:tcPr>
          <w:p w14:paraId="4BC6F87D" w14:textId="68F5B835" w:rsidR="00EE2BAE" w:rsidRPr="007F17E4" w:rsidRDefault="00EE2BAE" w:rsidP="00D43D2A">
            <w:r>
              <w:t xml:space="preserve">Range using Mean and SD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2B37A216" w14:textId="77777777" w:rsidR="00EE2BAE" w:rsidRDefault="00EE2BAE" w:rsidP="00D43D2A">
            <w:r w:rsidRPr="007F17E4">
              <w:t xml:space="preserve">Even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p w14:paraId="1051F532" w14:textId="6C3EC896" w:rsidR="00EE2BAE" w:rsidRPr="007F17E4" w:rsidRDefault="00EE2BAE" w:rsidP="00D43D2A">
            <w:r>
              <w:t xml:space="preserve">Normal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3338326B" w14:textId="3AE990C1" w:rsidR="00EE2BAE" w:rsidRPr="007F17E4" w:rsidRDefault="00EE2BAE" w:rsidP="00D43D2A">
            <w:r>
              <w:t>42%</w:t>
            </w:r>
            <w:r>
              <w:fldChar w:fldCharType="begin"/>
            </w:r>
            <w:r>
              <w:instrText xml:space="preserve"> ADDIN EN.CITE &lt;EndNote&gt;&lt;Cite&gt;&lt;Author&gt;Guerra Santin&lt;/Author&gt;&lt;Year&gt;2009&lt;/Year&gt;&lt;RecNum&gt;2269&lt;/RecNum&gt;&lt;DisplayText&gt;[34]&lt;/DisplayText&gt;&lt;record&gt;&lt;rec-number&gt;2269&lt;/rec-number&gt;&lt;foreign-keys&gt;&lt;key app="EN" db-id="pd9ft9ta59zarqett5ppztd6pxp9vwe2pxd5" timestamp="1588329571"&gt;2269&lt;/key&gt;&lt;/foreign-keys&gt;&lt;ref-type name="Journal Article"&gt;17&lt;/ref-type&gt;&lt;contributors&gt;&lt;authors&gt;&lt;author&gt;Guerra Santin, Olivia&lt;/author&gt;&lt;author&gt;Itard, Laure&lt;/author&gt;&lt;author&gt;Visscher, Henk&lt;/author&gt;&lt;/authors&gt;&lt;/contributors&gt;&lt;titles&gt;&lt;title&gt;The effect of occupancy and building characteristics on energy use for space and water heating in Dutch residential stock&lt;/title&gt;&lt;secondary-title&gt;Energy and Buildings&lt;/secondary-title&gt;&lt;/titles&gt;&lt;periodical&gt;&lt;full-title&gt;Energy and Buildings&lt;/full-title&gt;&lt;/periodical&gt;&lt;pages&gt;1223-1232&lt;/pages&gt;&lt;volume&gt;41&lt;/volume&gt;&lt;number&gt;11&lt;/number&gt;&lt;keywords&gt;&lt;keyword&gt;Energy for space heating&lt;/keyword&gt;&lt;keyword&gt;Occupant behaviour&lt;/keyword&gt;&lt;keyword&gt;Residential stock&lt;/keyword&gt;&lt;keyword&gt;Building regulations&lt;/keyword&gt;&lt;/keywords&gt;&lt;dates&gt;&lt;year&gt;2009&lt;/year&gt;&lt;pub-dates&gt;&lt;date&gt;2009/11/01/&lt;/date&gt;&lt;/pub-dates&gt;&lt;/dates&gt;&lt;isbn&gt;0378-7788&lt;/isbn&gt;&lt;urls&gt;&lt;related-urls&gt;&lt;url&gt;http://www.sciencedirect.com/science/article/pii/S0378778809001388&lt;/url&gt;&lt;/related-urls&gt;&lt;/urls&gt;&lt;electronic-resource-num&gt;https://doi.org/10.1016/j.enbuild.2009.07.002&lt;/electronic-resource-num&gt;&lt;/record&gt;&lt;/Cite&gt;&lt;/EndNote&gt;</w:instrText>
            </w:r>
            <w:r>
              <w:fldChar w:fldCharType="separate"/>
            </w:r>
            <w:r>
              <w:rPr>
                <w:noProof/>
              </w:rPr>
              <w:t>[34]</w:t>
            </w:r>
            <w:r>
              <w:fldChar w:fldCharType="end"/>
            </w:r>
          </w:p>
        </w:tc>
      </w:tr>
      <w:tr w:rsidR="00EE2BAE" w:rsidRPr="007F17E4" w14:paraId="07C3D805" w14:textId="77777777" w:rsidTr="00D43D2A">
        <w:trPr>
          <w:trHeight w:val="1226"/>
        </w:trPr>
        <w:tc>
          <w:tcPr>
            <w:tcW w:w="1901" w:type="dxa"/>
            <w:vMerge/>
          </w:tcPr>
          <w:p w14:paraId="3BE025F8" w14:textId="77777777" w:rsidR="00EE2BAE" w:rsidRPr="007F17E4" w:rsidRDefault="00EE2BAE" w:rsidP="00D43D2A"/>
        </w:tc>
        <w:tc>
          <w:tcPr>
            <w:tcW w:w="2205" w:type="dxa"/>
          </w:tcPr>
          <w:p w14:paraId="211D6832" w14:textId="77777777" w:rsidR="00EE2BAE" w:rsidRPr="007F17E4" w:rsidRDefault="00EE2BAE" w:rsidP="00D43D2A">
            <w:r w:rsidRPr="007F17E4">
              <w:t>Weather conditions</w:t>
            </w:r>
          </w:p>
        </w:tc>
        <w:tc>
          <w:tcPr>
            <w:tcW w:w="2786" w:type="dxa"/>
          </w:tcPr>
          <w:p w14:paraId="00331C7C" w14:textId="77777777" w:rsidR="00EE2BAE" w:rsidRPr="007F17E4" w:rsidRDefault="00EE2BAE" w:rsidP="00D43D2A">
            <w:r w:rsidRPr="007F17E4">
              <w:t>Wind speed, direction and pressure coefficients, solar irradiance, air humidity and temperatures</w:t>
            </w:r>
          </w:p>
        </w:tc>
        <w:tc>
          <w:tcPr>
            <w:tcW w:w="2013" w:type="dxa"/>
          </w:tcPr>
          <w:p w14:paraId="43D87E1D" w14:textId="4C1B5637" w:rsidR="00EE2BAE" w:rsidRPr="007F17E4" w:rsidRDefault="00EE2BAE" w:rsidP="00D43D2A">
            <w:r>
              <w:t xml:space="preserve">Cold, Med, Hot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636AF9CC" w14:textId="6004A0DE" w:rsidR="00EE2BAE" w:rsidRPr="007F17E4" w:rsidRDefault="00EE2BAE" w:rsidP="00D43D2A">
            <w:r w:rsidRPr="007F17E4">
              <w:t xml:space="preserve">Normal </w:t>
            </w:r>
            <w:r w:rsidRPr="007F17E4">
              <w:fldChar w:fldCharType="begin"/>
            </w:r>
            <w:r>
              <w:instrText xml:space="preserve"> ADDIN EN.CITE &lt;EndNote&gt;&lt;Cite&gt;&lt;Author&gt;Huang&lt;/Author&gt;&lt;Year&gt;2015&lt;/Year&gt;&lt;RecNum&gt;2245&lt;/RecNum&gt;&lt;DisplayText&gt;[35]&lt;/DisplayText&gt;&lt;record&gt;&lt;rec-number&gt;2245&lt;/rec-number&gt;&lt;foreign-keys&gt;&lt;key app="EN" db-id="pd9ft9ta59zarqett5ppztd6pxp9vwe2pxd5" timestamp="1585730646"&gt;2245&lt;/key&gt;&lt;/foreign-keys&gt;&lt;ref-type name="Journal Article"&gt;17&lt;/ref-type&gt;&lt;contributors&gt;&lt;authors&gt;&lt;author&gt;Huang, Pei&lt;/author&gt;&lt;author&gt;Huang, Gongsheng&lt;/author&gt;&lt;author&gt;Wang, Yu&lt;/author&gt;&lt;/authors&gt;&lt;/contributors&gt;&lt;titles&gt;&lt;title&gt;HVAC system design under peak load prediction uncertainty using multiple-criterion decision making technique&lt;/title&gt;&lt;secondary-title&gt;Energy and Buildings&lt;/secondary-title&gt;&lt;/titles&gt;&lt;periodical&gt;&lt;full-title&gt;Energy and Buildings&lt;/full-title&gt;&lt;/periodical&gt;&lt;pages&gt;26-36&lt;/pages&gt;&lt;volume&gt;91&lt;/volume&gt;&lt;keywords&gt;&lt;keyword&gt;HVAC&lt;/keyword&gt;&lt;keyword&gt;Uncertainty analysis&lt;/keyword&gt;&lt;keyword&gt;Monte-Carlo simulation&lt;/keyword&gt;&lt;keyword&gt;Multiple criteria decision making&lt;/keyword&gt;&lt;keyword&gt;Design&lt;/keyword&gt;&lt;/keywords&gt;&lt;dates&gt;&lt;year&gt;2015&lt;/year&gt;&lt;pub-dates&gt;&lt;date&gt;2015/03/15/&lt;/date&gt;&lt;/pub-dates&gt;&lt;/dates&gt;&lt;isbn&gt;0378-7788&lt;/isbn&gt;&lt;urls&gt;&lt;related-urls&gt;&lt;url&gt;http://www.sciencedirect.com/science/article/pii/S0378778815000328&lt;/url&gt;&lt;/related-urls&gt;&lt;/urls&gt;&lt;electronic-resource-num&gt;https://doi.org/10.1016/j.enbuild.2015.01.026&lt;/electronic-resource-num&gt;&lt;/record&gt;&lt;/Cite&gt;&lt;/EndNote&gt;</w:instrText>
            </w:r>
            <w:r w:rsidRPr="007F17E4">
              <w:fldChar w:fldCharType="separate"/>
            </w:r>
            <w:r>
              <w:rPr>
                <w:noProof/>
              </w:rPr>
              <w:t>[35]</w:t>
            </w:r>
            <w:r w:rsidRPr="007F17E4">
              <w:fldChar w:fldCharType="end"/>
            </w:r>
          </w:p>
          <w:p w14:paraId="19FDF87B" w14:textId="0652B416" w:rsidR="00EE2BAE" w:rsidRDefault="00EE2BAE" w:rsidP="00D43D2A">
            <w:r w:rsidRPr="007F17E4">
              <w:t xml:space="preserve">Bivariate Normal </w:t>
            </w:r>
            <w:r w:rsidRPr="007F17E4">
              <w:fldChar w:fldCharType="begin"/>
            </w:r>
            <w:r>
              <w:instrText xml:space="preserve"> ADDIN EN.CITE &lt;EndNote&gt;&lt;Cite&gt;&lt;Author&gt;Corrado&lt;/Author&gt;&lt;Year&gt;2009&lt;/Year&gt;&lt;RecNum&gt;2247&lt;/RecNum&gt;&lt;DisplayText&gt;[36]&lt;/DisplayText&gt;&lt;record&gt;&lt;rec-number&gt;2247&lt;/rec-number&gt;&lt;foreign-keys&gt;&lt;key app="EN" db-id="pd9ft9ta59zarqett5ppztd6pxp9vwe2pxd5" timestamp="1585730892"&gt;2247&lt;/key&gt;&lt;/foreign-keys&gt;&lt;ref-type name="Journal Article"&gt;17&lt;/ref-type&gt;&lt;contributors&gt;&lt;authors&gt;&lt;author&gt;Corrado, V.&lt;/author&gt;&lt;author&gt;Mechri, H. E.&lt;/author&gt;&lt;/authors&gt;&lt;/contributors&gt;&lt;titles&gt;&lt;title&gt;Uncertainty and sensitivity analysis for building energy rating&lt;/title&gt;&lt;secondary-title&gt;Journal of Building Physics&lt;/secondary-title&gt;&lt;/titles&gt;&lt;periodical&gt;&lt;full-title&gt;Journal of Building Physics&lt;/full-title&gt;&lt;/periodical&gt;&lt;pages&gt;125-156&lt;/pages&gt;&lt;volume&gt;33&lt;/volume&gt;&lt;number&gt;2&lt;/number&gt;&lt;dates&gt;&lt;year&gt;2009&lt;/year&gt;&lt;/dates&gt;&lt;work-type&gt;Article&lt;/work-type&gt;&lt;urls&gt;&lt;related-urls&gt;&lt;url&gt;https://www.scopus.com/inward/record.uri?eid=2-s2.0-70349753264&amp;amp;doi=10.1177%2f1744259109104884&amp;amp;partnerID=40&amp;amp;md5=2b14d18ab998b6b75ec7f648261b9d47&lt;/url&gt;&lt;/related-urls&gt;&lt;/urls&gt;&lt;electronic-resource-num&gt;10.1177/1744259109104884&lt;/electronic-resource-num&gt;&lt;remote-database-name&gt;Scopus&lt;/remote-database-name&gt;&lt;/record&gt;&lt;/Cite&gt;&lt;/EndNote&gt;</w:instrText>
            </w:r>
            <w:r w:rsidRPr="007F17E4">
              <w:fldChar w:fldCharType="separate"/>
            </w:r>
            <w:r>
              <w:rPr>
                <w:noProof/>
              </w:rPr>
              <w:t>[36]</w:t>
            </w:r>
            <w:r w:rsidRPr="007F17E4">
              <w:fldChar w:fldCharType="end"/>
            </w:r>
          </w:p>
          <w:p w14:paraId="3F323357" w14:textId="6F4D5534" w:rsidR="00EE2BAE" w:rsidRPr="007F17E4" w:rsidRDefault="00EE2BAE" w:rsidP="00D43D2A">
            <w:r>
              <w:t xml:space="preserve">Discrete Distribution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03E87457" w14:textId="56A40043" w:rsidR="00EE2BAE" w:rsidRPr="007F17E4" w:rsidRDefault="00EE2BAE" w:rsidP="00D43D2A">
            <w:r w:rsidRPr="007F17E4">
              <w:t xml:space="preserve">-4% to 6.1% </w:t>
            </w:r>
            <w:r w:rsidRPr="007F17E4">
              <w:fldChar w:fldCharType="begin"/>
            </w:r>
            <w:r>
              <w:instrText xml:space="preserve"> ADDIN EN.CITE &lt;EndNote&gt;&lt;Cite&gt;&lt;Author&gt;Wang&lt;/Author&gt;&lt;Year&gt;2012&lt;/Year&gt;&lt;RecNum&gt;2241&lt;/RecNum&gt;&lt;DisplayText&gt;[37]&lt;/DisplayText&gt;&lt;record&gt;&lt;rec-number&gt;2241&lt;/rec-number&gt;&lt;foreign-keys&gt;&lt;key app="EN" db-id="pd9ft9ta59zarqett5ppztd6pxp9vwe2pxd5" timestamp="1585662242"&gt;2241&lt;/key&gt;&lt;/foreign-keys&gt;&lt;ref-type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sidRPr="007F17E4">
              <w:fldChar w:fldCharType="separate"/>
            </w:r>
            <w:r>
              <w:rPr>
                <w:noProof/>
              </w:rPr>
              <w:t>[37]</w:t>
            </w:r>
            <w:r w:rsidRPr="007F17E4">
              <w:fldChar w:fldCharType="end"/>
            </w:r>
          </w:p>
        </w:tc>
      </w:tr>
      <w:tr w:rsidR="00EE2BAE" w:rsidRPr="007F17E4" w14:paraId="391B375D" w14:textId="77777777" w:rsidTr="00D43D2A">
        <w:trPr>
          <w:trHeight w:val="745"/>
        </w:trPr>
        <w:tc>
          <w:tcPr>
            <w:tcW w:w="1901" w:type="dxa"/>
            <w:vMerge/>
          </w:tcPr>
          <w:p w14:paraId="7F42E3F2" w14:textId="77777777" w:rsidR="00EE2BAE" w:rsidRPr="007F17E4" w:rsidRDefault="00EE2BAE" w:rsidP="00D43D2A"/>
        </w:tc>
        <w:tc>
          <w:tcPr>
            <w:tcW w:w="2205" w:type="dxa"/>
          </w:tcPr>
          <w:p w14:paraId="442FBA98" w14:textId="77777777" w:rsidR="00EE2BAE" w:rsidRPr="007F17E4" w:rsidRDefault="00EE2BAE" w:rsidP="00D43D2A">
            <w:r w:rsidRPr="007F17E4">
              <w:t>Site micro-environment</w:t>
            </w:r>
          </w:p>
        </w:tc>
        <w:tc>
          <w:tcPr>
            <w:tcW w:w="2786" w:type="dxa"/>
          </w:tcPr>
          <w:p w14:paraId="76162079" w14:textId="77777777" w:rsidR="00EE2BAE" w:rsidRPr="007F17E4" w:rsidRDefault="00EE2BAE" w:rsidP="00D43D2A">
            <w:r w:rsidRPr="007F17E4">
              <w:t>Wind-pressure coefficient, ground albedo</w:t>
            </w:r>
          </w:p>
        </w:tc>
        <w:tc>
          <w:tcPr>
            <w:tcW w:w="2013" w:type="dxa"/>
          </w:tcPr>
          <w:p w14:paraId="49E8B832" w14:textId="793037A9" w:rsidR="00EE2BAE" w:rsidRPr="007F17E4" w:rsidRDefault="00EE2BAE" w:rsidP="00D43D2A">
            <w:r>
              <w:t xml:space="preserve">Range using Mean and SD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7FEF21EA" w14:textId="57BCCCBA" w:rsidR="00EE2BAE" w:rsidRPr="007F17E4" w:rsidRDefault="00EE2BAE" w:rsidP="00D43D2A">
            <w:r>
              <w:t xml:space="preserve">Normal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13F5005A" w14:textId="77777777" w:rsidR="00EE2BAE" w:rsidRPr="007F17E4" w:rsidRDefault="00EE2BAE" w:rsidP="00D43D2A">
            <w:r>
              <w:t>Not reported</w:t>
            </w:r>
          </w:p>
        </w:tc>
      </w:tr>
      <w:tr w:rsidR="00EE2BAE" w:rsidRPr="007F17E4" w14:paraId="7EEB5CAF" w14:textId="77777777" w:rsidTr="00D43D2A">
        <w:trPr>
          <w:trHeight w:val="497"/>
        </w:trPr>
        <w:tc>
          <w:tcPr>
            <w:tcW w:w="1901" w:type="dxa"/>
            <w:vMerge/>
          </w:tcPr>
          <w:p w14:paraId="6427CD3D" w14:textId="77777777" w:rsidR="00EE2BAE" w:rsidRPr="007F17E4" w:rsidRDefault="00EE2BAE" w:rsidP="00D43D2A"/>
        </w:tc>
        <w:tc>
          <w:tcPr>
            <w:tcW w:w="2205" w:type="dxa"/>
          </w:tcPr>
          <w:p w14:paraId="65F990EC" w14:textId="77777777" w:rsidR="00EE2BAE" w:rsidRPr="007F17E4" w:rsidRDefault="00EE2BAE" w:rsidP="00D43D2A">
            <w:r w:rsidRPr="007F17E4">
              <w:t>HVAC</w:t>
            </w:r>
          </w:p>
        </w:tc>
        <w:tc>
          <w:tcPr>
            <w:tcW w:w="2786" w:type="dxa"/>
          </w:tcPr>
          <w:p w14:paraId="32399FED" w14:textId="77777777" w:rsidR="00EE2BAE" w:rsidRPr="007F17E4" w:rsidRDefault="00EE2BAE" w:rsidP="00D43D2A">
            <w:r>
              <w:t xml:space="preserve">Values assumed for CoP, SEER and </w:t>
            </w:r>
            <w:r w:rsidRPr="007A3874">
              <w:t>η</w:t>
            </w:r>
            <w:r>
              <w:t xml:space="preserve"> </w:t>
            </w:r>
          </w:p>
        </w:tc>
        <w:tc>
          <w:tcPr>
            <w:tcW w:w="2013" w:type="dxa"/>
          </w:tcPr>
          <w:p w14:paraId="67B91A0B" w14:textId="77777777" w:rsidR="00EE2BAE" w:rsidRPr="007F17E4" w:rsidRDefault="00EE2BAE" w:rsidP="00D43D2A">
            <w:r>
              <w:t>Best practice, typical</w:t>
            </w:r>
          </w:p>
        </w:tc>
        <w:tc>
          <w:tcPr>
            <w:tcW w:w="2946" w:type="dxa"/>
          </w:tcPr>
          <w:p w14:paraId="4328F4C2" w14:textId="77777777" w:rsidR="00EE2BAE" w:rsidRDefault="00EE2BAE" w:rsidP="00D43D2A">
            <w:r>
              <w:t xml:space="preserve">Normal Distribution </w:t>
            </w:r>
            <w:r>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fldChar w:fldCharType="separate"/>
            </w:r>
            <w:r>
              <w:rPr>
                <w:noProof/>
              </w:rPr>
              <w:t>[22]</w:t>
            </w:r>
            <w:r>
              <w:fldChar w:fldCharType="end"/>
            </w:r>
          </w:p>
          <w:p w14:paraId="15428B60" w14:textId="79E0DEF8" w:rsidR="00EE2BAE" w:rsidRPr="007F17E4" w:rsidRDefault="00EE2BAE" w:rsidP="00D43D2A">
            <w:r>
              <w:t xml:space="preserve">Gamma Distribution </w:t>
            </w:r>
            <w:r>
              <w:fldChar w:fldCharType="begin"/>
            </w:r>
            <w:r>
              <w:instrText xml:space="preserve"> ADDIN EN.CITE &lt;EndNote&gt;&lt;Cite&gt;&lt;Author&gt;de Wilde&lt;/Author&gt;&lt;Year&gt;2011&lt;/Year&gt;&lt;RecNum&gt;2259&lt;/RecNum&gt;&lt;DisplayText&gt;[38]&lt;/DisplayText&gt;&lt;record&gt;&lt;rec-number&gt;2259&lt;/rec-number&gt;&lt;foreign-keys&gt;&lt;key app="EN" db-id="pd9ft9ta59zarqett5ppztd6pxp9vwe2pxd5" timestamp="1587372450"&gt;2259&lt;/key&gt;&lt;/foreign-keys&gt;&lt;ref-type name="Journal Article"&gt;17&lt;/ref-type&gt;&lt;contributors&gt;&lt;authors&gt;&lt;author&gt;de Wilde, Pieter&lt;/author&gt;&lt;author&gt;Tian, Wei&lt;/author&gt;&lt;author&gt;Augenbroe, Godfried&lt;/author&gt;&lt;/authors&gt;&lt;/contributors&gt;&lt;titles&gt;&lt;title&gt;Longitudinal prediction of the operational energy use of buildings&lt;/title&gt;&lt;secondary-title&gt;Building and Environment&lt;/secondary-title&gt;&lt;/titles&gt;&lt;periodical&gt;&lt;full-title&gt;Building and Environment&lt;/full-title&gt;&lt;/periodical&gt;&lt;pages&gt;1670-1680&lt;/pages&gt;&lt;volume&gt;46&lt;/volume&gt;&lt;number&gt;8&lt;/number&gt;&lt;keywords&gt;&lt;keyword&gt;Longitudinal thermal performance&lt;/keyword&gt;&lt;keyword&gt;Component degradation&lt;/keyword&gt;&lt;keyword&gt;Climate change&lt;/keyword&gt;&lt;keyword&gt;Building maintenance&lt;/keyword&gt;&lt;keyword&gt;Operational energy use&lt;/keyword&gt;&lt;/keywords&gt;&lt;dates&gt;&lt;year&gt;2011&lt;/year&gt;&lt;pub-dates&gt;&lt;date&gt;2011/08/01/&lt;/date&gt;&lt;/pub-dates&gt;&lt;/dates&gt;&lt;isbn&gt;0360-1323&lt;/isbn&gt;&lt;urls&gt;&lt;related-urls&gt;&lt;url&gt;http://www.sciencedirect.com/science/article/pii/S0360132311000540&lt;/url&gt;&lt;/related-urls&gt;&lt;/urls&gt;&lt;electronic-resource-num&gt;https://doi.org/10.1016/j.buildenv.2011.02.006&lt;/electronic-resource-num&gt;&lt;/record&gt;&lt;/Cite&gt;&lt;/EndNote&gt;</w:instrText>
            </w:r>
            <w:r>
              <w:fldChar w:fldCharType="separate"/>
            </w:r>
            <w:r>
              <w:rPr>
                <w:noProof/>
              </w:rPr>
              <w:t>[38]</w:t>
            </w:r>
            <w:r>
              <w:fldChar w:fldCharType="end"/>
            </w:r>
          </w:p>
        </w:tc>
        <w:tc>
          <w:tcPr>
            <w:tcW w:w="2144" w:type="dxa"/>
          </w:tcPr>
          <w:p w14:paraId="34E98DA2" w14:textId="5D156690" w:rsidR="00EE2BAE" w:rsidRDefault="00EE2BAE" w:rsidP="00D43D2A">
            <w:r>
              <w:t xml:space="preserve">-15.3% -70.3%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r>
      <w:tr w:rsidR="00EE2BAE" w:rsidRPr="007F17E4" w14:paraId="4EF4FC80" w14:textId="77777777" w:rsidTr="00D43D2A">
        <w:trPr>
          <w:trHeight w:val="497"/>
        </w:trPr>
        <w:tc>
          <w:tcPr>
            <w:tcW w:w="1901" w:type="dxa"/>
            <w:vMerge/>
          </w:tcPr>
          <w:p w14:paraId="264FA7CD" w14:textId="77777777" w:rsidR="00EE2BAE" w:rsidRPr="007F17E4" w:rsidRDefault="00EE2BAE" w:rsidP="00D43D2A"/>
        </w:tc>
        <w:tc>
          <w:tcPr>
            <w:tcW w:w="2205" w:type="dxa"/>
          </w:tcPr>
          <w:p w14:paraId="58E5319F" w14:textId="77777777" w:rsidR="00EE2BAE" w:rsidRPr="007F17E4" w:rsidRDefault="00EE2BAE" w:rsidP="00D43D2A">
            <w:r w:rsidRPr="007F17E4">
              <w:t>Internal Gains</w:t>
            </w:r>
          </w:p>
        </w:tc>
        <w:tc>
          <w:tcPr>
            <w:tcW w:w="2786" w:type="dxa"/>
          </w:tcPr>
          <w:p w14:paraId="6BAD8BE8" w14:textId="77777777" w:rsidR="00EE2BAE" w:rsidRPr="007F17E4" w:rsidRDefault="00EE2BAE" w:rsidP="00D43D2A"/>
        </w:tc>
        <w:tc>
          <w:tcPr>
            <w:tcW w:w="2013" w:type="dxa"/>
          </w:tcPr>
          <w:p w14:paraId="7BDD39BD" w14:textId="4F0F989E" w:rsidR="00EE2BAE" w:rsidRPr="007F17E4" w:rsidRDefault="00EE2BAE" w:rsidP="00D43D2A">
            <w:r>
              <w:t xml:space="preserve">Low, Med, High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70FD0E9A" w14:textId="1FD6FDF7" w:rsidR="00EE2BAE" w:rsidRPr="007F17E4" w:rsidRDefault="00EE2BAE" w:rsidP="00D43D2A">
            <w:r>
              <w:t xml:space="preserve">Uniform discrete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37262F65" w14:textId="77777777" w:rsidR="00EE2BAE" w:rsidRPr="007F17E4" w:rsidRDefault="00EE2BAE" w:rsidP="00D43D2A"/>
        </w:tc>
      </w:tr>
      <w:tr w:rsidR="00EE2BAE" w:rsidRPr="007F17E4" w14:paraId="0647D919" w14:textId="77777777" w:rsidTr="00D43D2A">
        <w:trPr>
          <w:trHeight w:val="985"/>
        </w:trPr>
        <w:tc>
          <w:tcPr>
            <w:tcW w:w="1901" w:type="dxa"/>
            <w:vMerge/>
          </w:tcPr>
          <w:p w14:paraId="278786EE" w14:textId="77777777" w:rsidR="00EE2BAE" w:rsidRPr="007F17E4" w:rsidRDefault="00EE2BAE" w:rsidP="00D43D2A"/>
        </w:tc>
        <w:tc>
          <w:tcPr>
            <w:tcW w:w="2205" w:type="dxa"/>
          </w:tcPr>
          <w:p w14:paraId="1550166E" w14:textId="77777777" w:rsidR="00EE2BAE" w:rsidRPr="007F17E4" w:rsidRDefault="00EE2BAE" w:rsidP="00D43D2A">
            <w:r w:rsidRPr="007F17E4">
              <w:t>Operational regime</w:t>
            </w:r>
          </w:p>
        </w:tc>
        <w:tc>
          <w:tcPr>
            <w:tcW w:w="2786" w:type="dxa"/>
          </w:tcPr>
          <w:p w14:paraId="3C7935C1" w14:textId="77777777" w:rsidR="00EE2BAE" w:rsidRPr="007F17E4" w:rsidRDefault="00EE2BAE" w:rsidP="00D43D2A">
            <w:r>
              <w:t>Controls and Scheduling of all HVAC, lighting and plug-in items</w:t>
            </w:r>
          </w:p>
        </w:tc>
        <w:tc>
          <w:tcPr>
            <w:tcW w:w="2013" w:type="dxa"/>
          </w:tcPr>
          <w:p w14:paraId="11100502" w14:textId="20A64CC3" w:rsidR="00EE2BAE" w:rsidRPr="007F17E4" w:rsidRDefault="00EE2BAE" w:rsidP="00D43D2A">
            <w:r>
              <w:t xml:space="preserve">Good, average and poor practice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c>
          <w:tcPr>
            <w:tcW w:w="2946" w:type="dxa"/>
          </w:tcPr>
          <w:p w14:paraId="2E9CD3AD" w14:textId="42D79D85" w:rsidR="00EE2BAE" w:rsidRPr="007F17E4" w:rsidRDefault="00EE2BAE" w:rsidP="00D43D2A">
            <w:r>
              <w:t xml:space="preserve">Uniform Discrete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c>
          <w:tcPr>
            <w:tcW w:w="2144" w:type="dxa"/>
          </w:tcPr>
          <w:p w14:paraId="5171654B" w14:textId="1D86A64F" w:rsidR="00EE2BAE" w:rsidRDefault="00EE2BAE" w:rsidP="00D43D2A">
            <w:r>
              <w:t xml:space="preserve">-28.7%-79.2%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r>
      <w:tr w:rsidR="00EE2BAE" w:rsidRPr="007F17E4" w14:paraId="4607EE5E" w14:textId="77777777" w:rsidTr="00D43D2A">
        <w:trPr>
          <w:trHeight w:val="248"/>
        </w:trPr>
        <w:tc>
          <w:tcPr>
            <w:tcW w:w="1901" w:type="dxa"/>
            <w:vMerge w:val="restart"/>
          </w:tcPr>
          <w:p w14:paraId="0D60484F" w14:textId="77777777" w:rsidR="00EE2BAE" w:rsidRPr="007F17E4" w:rsidRDefault="00EE2BAE" w:rsidP="00D43D2A"/>
          <w:p w14:paraId="41C2C954" w14:textId="77777777" w:rsidR="00EE2BAE" w:rsidRPr="007F17E4" w:rsidRDefault="00EE2BAE" w:rsidP="00D43D2A">
            <w:r w:rsidRPr="007F17E4">
              <w:t>Observational data</w:t>
            </w:r>
          </w:p>
        </w:tc>
        <w:tc>
          <w:tcPr>
            <w:tcW w:w="2205" w:type="dxa"/>
          </w:tcPr>
          <w:p w14:paraId="68B2720E" w14:textId="77777777" w:rsidR="00EE2BAE" w:rsidRPr="007F17E4" w:rsidRDefault="00EE2BAE" w:rsidP="00D43D2A">
            <w:r w:rsidRPr="007F17E4">
              <w:t xml:space="preserve">Gas </w:t>
            </w:r>
            <w:r w:rsidRPr="007F17E4">
              <w:rPr>
                <w:vertAlign w:val="superscript"/>
              </w:rPr>
              <w:t>[1]</w:t>
            </w:r>
          </w:p>
        </w:tc>
        <w:tc>
          <w:tcPr>
            <w:tcW w:w="2786" w:type="dxa"/>
          </w:tcPr>
          <w:p w14:paraId="20CE7B6C" w14:textId="77777777" w:rsidR="00EE2BAE" w:rsidRPr="007F17E4" w:rsidRDefault="00EE2BAE" w:rsidP="00D43D2A">
            <w:r>
              <w:t>-</w:t>
            </w:r>
          </w:p>
        </w:tc>
        <w:tc>
          <w:tcPr>
            <w:tcW w:w="2013" w:type="dxa"/>
          </w:tcPr>
          <w:p w14:paraId="2C61AD23" w14:textId="77777777" w:rsidR="00EE2BAE" w:rsidRPr="007F17E4" w:rsidRDefault="00EE2BAE" w:rsidP="00D43D2A">
            <w:r>
              <w:t>-</w:t>
            </w:r>
          </w:p>
        </w:tc>
        <w:tc>
          <w:tcPr>
            <w:tcW w:w="2946" w:type="dxa"/>
          </w:tcPr>
          <w:p w14:paraId="3A3BD575"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2478B6C2" w14:textId="77777777" w:rsidR="00EE2BAE" w:rsidRPr="007F17E4" w:rsidRDefault="00EE2BAE" w:rsidP="00D43D2A">
            <w:r>
              <w:t>n/a</w:t>
            </w:r>
          </w:p>
        </w:tc>
      </w:tr>
      <w:tr w:rsidR="00EE2BAE" w:rsidRPr="007F17E4" w14:paraId="3400C463" w14:textId="77777777" w:rsidTr="00D43D2A">
        <w:trPr>
          <w:trHeight w:val="248"/>
        </w:trPr>
        <w:tc>
          <w:tcPr>
            <w:tcW w:w="1901" w:type="dxa"/>
            <w:vMerge/>
          </w:tcPr>
          <w:p w14:paraId="39506756" w14:textId="77777777" w:rsidR="00EE2BAE" w:rsidRPr="007F17E4" w:rsidRDefault="00EE2BAE" w:rsidP="00D43D2A"/>
        </w:tc>
        <w:tc>
          <w:tcPr>
            <w:tcW w:w="2205" w:type="dxa"/>
          </w:tcPr>
          <w:p w14:paraId="5C992A41" w14:textId="77777777" w:rsidR="00EE2BAE" w:rsidRPr="007F17E4" w:rsidRDefault="00EE2BAE" w:rsidP="00D43D2A">
            <w:r w:rsidRPr="007F17E4">
              <w:t xml:space="preserve">Electricity </w:t>
            </w:r>
            <w:r w:rsidRPr="007F17E4">
              <w:rPr>
                <w:vertAlign w:val="superscript"/>
              </w:rPr>
              <w:t>[1]</w:t>
            </w:r>
          </w:p>
        </w:tc>
        <w:tc>
          <w:tcPr>
            <w:tcW w:w="2786" w:type="dxa"/>
          </w:tcPr>
          <w:p w14:paraId="7AF6DB8C" w14:textId="77777777" w:rsidR="00EE2BAE" w:rsidRPr="007F17E4" w:rsidRDefault="00EE2BAE" w:rsidP="00D43D2A">
            <w:r w:rsidRPr="007F17E4">
              <w:t>-</w:t>
            </w:r>
          </w:p>
        </w:tc>
        <w:tc>
          <w:tcPr>
            <w:tcW w:w="2013" w:type="dxa"/>
          </w:tcPr>
          <w:p w14:paraId="6B518530" w14:textId="77777777" w:rsidR="00EE2BAE" w:rsidRPr="007F17E4" w:rsidRDefault="00EE2BAE" w:rsidP="00D43D2A">
            <w:r w:rsidRPr="007F17E4">
              <w:t>-</w:t>
            </w:r>
          </w:p>
        </w:tc>
        <w:tc>
          <w:tcPr>
            <w:tcW w:w="2946" w:type="dxa"/>
          </w:tcPr>
          <w:p w14:paraId="316F820B"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1DDCA05D" w14:textId="77777777" w:rsidR="00EE2BAE" w:rsidRPr="007F17E4" w:rsidRDefault="00EE2BAE" w:rsidP="00D43D2A">
            <w:r>
              <w:t>n/a</w:t>
            </w:r>
          </w:p>
        </w:tc>
      </w:tr>
      <w:tr w:rsidR="00EE2BAE" w:rsidRPr="007F17E4" w14:paraId="1CAD00C0" w14:textId="77777777" w:rsidTr="00D43D2A">
        <w:trPr>
          <w:trHeight w:val="256"/>
        </w:trPr>
        <w:tc>
          <w:tcPr>
            <w:tcW w:w="1901" w:type="dxa"/>
            <w:vMerge/>
          </w:tcPr>
          <w:p w14:paraId="1C7AD113" w14:textId="77777777" w:rsidR="00EE2BAE" w:rsidRPr="007F17E4" w:rsidRDefault="00EE2BAE" w:rsidP="00D43D2A"/>
        </w:tc>
        <w:tc>
          <w:tcPr>
            <w:tcW w:w="2205" w:type="dxa"/>
          </w:tcPr>
          <w:p w14:paraId="2EB387D7" w14:textId="77777777" w:rsidR="00EE2BAE" w:rsidRPr="007F17E4" w:rsidRDefault="00EE2BAE" w:rsidP="00D43D2A">
            <w:r w:rsidRPr="007F17E4">
              <w:t>Temp (Kitchen)</w:t>
            </w:r>
          </w:p>
        </w:tc>
        <w:tc>
          <w:tcPr>
            <w:tcW w:w="2786" w:type="dxa"/>
          </w:tcPr>
          <w:p w14:paraId="386F16F3" w14:textId="77777777" w:rsidR="00EE2BAE" w:rsidRPr="007F17E4" w:rsidRDefault="00EE2BAE" w:rsidP="00D43D2A">
            <w:r>
              <w:t>-</w:t>
            </w:r>
          </w:p>
        </w:tc>
        <w:tc>
          <w:tcPr>
            <w:tcW w:w="2013" w:type="dxa"/>
          </w:tcPr>
          <w:p w14:paraId="18D04BEF" w14:textId="77777777" w:rsidR="00EE2BAE" w:rsidRPr="007F17E4" w:rsidRDefault="00EE2BAE" w:rsidP="00D43D2A">
            <w:r>
              <w:t>-</w:t>
            </w:r>
          </w:p>
        </w:tc>
        <w:tc>
          <w:tcPr>
            <w:tcW w:w="2946" w:type="dxa"/>
          </w:tcPr>
          <w:p w14:paraId="09FDD9A2"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6A92CC1A" w14:textId="77777777" w:rsidR="00EE2BAE" w:rsidRPr="007F17E4" w:rsidRDefault="00EE2BAE" w:rsidP="00D43D2A">
            <w:r>
              <w:t>n/a</w:t>
            </w:r>
          </w:p>
        </w:tc>
      </w:tr>
      <w:tr w:rsidR="00EE2BAE" w:rsidRPr="007F17E4" w14:paraId="7BED2EAF" w14:textId="77777777" w:rsidTr="00D43D2A">
        <w:trPr>
          <w:trHeight w:val="248"/>
        </w:trPr>
        <w:tc>
          <w:tcPr>
            <w:tcW w:w="1901" w:type="dxa"/>
            <w:vMerge/>
          </w:tcPr>
          <w:p w14:paraId="34029088" w14:textId="77777777" w:rsidR="00EE2BAE" w:rsidRPr="007F17E4" w:rsidRDefault="00EE2BAE" w:rsidP="00D43D2A"/>
        </w:tc>
        <w:tc>
          <w:tcPr>
            <w:tcW w:w="2205" w:type="dxa"/>
          </w:tcPr>
          <w:p w14:paraId="616F6F85" w14:textId="77777777" w:rsidR="00EE2BAE" w:rsidRPr="007F17E4" w:rsidRDefault="00EE2BAE" w:rsidP="00D43D2A">
            <w:r w:rsidRPr="007F17E4">
              <w:t>Temp (master)</w:t>
            </w:r>
          </w:p>
        </w:tc>
        <w:tc>
          <w:tcPr>
            <w:tcW w:w="2786" w:type="dxa"/>
          </w:tcPr>
          <w:p w14:paraId="0B16316A" w14:textId="77777777" w:rsidR="00EE2BAE" w:rsidRPr="007F17E4" w:rsidRDefault="00EE2BAE" w:rsidP="00D43D2A">
            <w:r>
              <w:t>-</w:t>
            </w:r>
          </w:p>
        </w:tc>
        <w:tc>
          <w:tcPr>
            <w:tcW w:w="2013" w:type="dxa"/>
          </w:tcPr>
          <w:p w14:paraId="6D7258CA" w14:textId="77777777" w:rsidR="00EE2BAE" w:rsidRPr="007F17E4" w:rsidRDefault="00EE2BAE" w:rsidP="00D43D2A">
            <w:r>
              <w:t>-</w:t>
            </w:r>
          </w:p>
        </w:tc>
        <w:tc>
          <w:tcPr>
            <w:tcW w:w="2946" w:type="dxa"/>
          </w:tcPr>
          <w:p w14:paraId="56C540CE"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68540FC0" w14:textId="77777777" w:rsidR="00EE2BAE" w:rsidRPr="007F17E4" w:rsidRDefault="00EE2BAE" w:rsidP="00D43D2A">
            <w:r>
              <w:t>n/a</w:t>
            </w:r>
          </w:p>
        </w:tc>
      </w:tr>
      <w:tr w:rsidR="00EE2BAE" w:rsidRPr="007F17E4" w14:paraId="199D223E" w14:textId="77777777" w:rsidTr="00D43D2A">
        <w:trPr>
          <w:trHeight w:val="248"/>
        </w:trPr>
        <w:tc>
          <w:tcPr>
            <w:tcW w:w="13995" w:type="dxa"/>
            <w:gridSpan w:val="6"/>
          </w:tcPr>
          <w:p w14:paraId="5524EC07" w14:textId="77777777" w:rsidR="00EE2BAE" w:rsidRPr="007F17E4" w:rsidRDefault="00EE2BAE" w:rsidP="00D43D2A">
            <w:r w:rsidRPr="007F17E4">
              <w:t>Notes</w:t>
            </w:r>
          </w:p>
          <w:p w14:paraId="047FBD83" w14:textId="5A419814" w:rsidR="00EE2BAE" w:rsidRDefault="00EE2BAE" w:rsidP="00D43D2A">
            <w:r>
              <w:t>[1</w:t>
            </w:r>
            <w:r w:rsidR="00CA46E2">
              <w:t>] The</w:t>
            </w:r>
            <w:r w:rsidRPr="007F17E4">
              <w:t xml:space="preserve"> gas and electricity meters’ accuracy were expected to comply with SI 684 (1983) and IEC 62053 respectively that allow +2.5% or −3.5% of compound instantaneous deviations.</w:t>
            </w:r>
          </w:p>
          <w:p w14:paraId="3395EC75" w14:textId="77777777" w:rsidR="00EE2BAE" w:rsidRDefault="00EE2BAE" w:rsidP="00D43D2A"/>
        </w:tc>
      </w:tr>
    </w:tbl>
    <w:p w14:paraId="4AE62BE9" w14:textId="77777777" w:rsidR="00B965D3" w:rsidRDefault="00B965D3" w:rsidP="00B965D3"/>
    <w:p w14:paraId="49BDB150" w14:textId="51D09B64" w:rsidR="00E77B25" w:rsidRDefault="00E77B25" w:rsidP="00B965D3">
      <w:r>
        <w:lastRenderedPageBreak/>
        <w:t xml:space="preserve">Table </w:t>
      </w:r>
      <w:r w:rsidR="00B965D3">
        <w:t>2</w:t>
      </w:r>
      <w:r>
        <w:t xml:space="preserve"> Parameter inputs for energy model development of the case-study </w:t>
      </w:r>
      <w:r w:rsidR="00D770DC">
        <w:t>building</w:t>
      </w:r>
    </w:p>
    <w:tbl>
      <w:tblPr>
        <w:tblW w:w="13832" w:type="dxa"/>
        <w:tblLook w:val="04A0" w:firstRow="1" w:lastRow="0" w:firstColumn="1" w:lastColumn="0" w:noHBand="0" w:noVBand="1"/>
      </w:tblPr>
      <w:tblGrid>
        <w:gridCol w:w="3983"/>
        <w:gridCol w:w="7930"/>
        <w:gridCol w:w="1919"/>
      </w:tblGrid>
      <w:tr w:rsidR="006937B1" w:rsidRPr="000019D9" w14:paraId="4DAE6A70" w14:textId="77777777" w:rsidTr="622EBFD4">
        <w:trPr>
          <w:trHeight w:val="288"/>
        </w:trPr>
        <w:tc>
          <w:tcPr>
            <w:tcW w:w="3983" w:type="dxa"/>
            <w:tcBorders>
              <w:top w:val="nil"/>
              <w:left w:val="nil"/>
              <w:bottom w:val="nil"/>
              <w:right w:val="nil"/>
            </w:tcBorders>
            <w:shd w:val="clear" w:color="auto" w:fill="auto"/>
            <w:noWrap/>
            <w:vAlign w:val="center"/>
            <w:hideMark/>
          </w:tcPr>
          <w:p w14:paraId="2E577C6C"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Parameter</w:t>
            </w:r>
          </w:p>
        </w:tc>
        <w:tc>
          <w:tcPr>
            <w:tcW w:w="7930" w:type="dxa"/>
            <w:tcBorders>
              <w:top w:val="nil"/>
              <w:left w:val="nil"/>
              <w:bottom w:val="nil"/>
              <w:right w:val="nil"/>
            </w:tcBorders>
            <w:shd w:val="clear" w:color="auto" w:fill="auto"/>
            <w:noWrap/>
            <w:vAlign w:val="center"/>
            <w:hideMark/>
          </w:tcPr>
          <w:p w14:paraId="6D4D0DE1" w14:textId="77777777" w:rsidR="006937B1" w:rsidRPr="000019D9" w:rsidRDefault="006937B1" w:rsidP="00047752">
            <w:pPr>
              <w:spacing w:after="0" w:line="240" w:lineRule="auto"/>
              <w:rPr>
                <w:rFonts w:ascii="Calibri" w:eastAsia="Times New Roman" w:hAnsi="Calibri" w:cs="Times New Roman"/>
                <w:b/>
                <w:bCs/>
                <w:lang w:eastAsia="en-GB"/>
              </w:rPr>
            </w:pPr>
            <w:r w:rsidRPr="00390078">
              <w:rPr>
                <w:rFonts w:ascii="Calibri" w:eastAsia="Times New Roman" w:hAnsi="Calibri" w:cs="Times New Roman"/>
                <w:b/>
                <w:bCs/>
                <w:lang w:eastAsia="en-GB"/>
              </w:rPr>
              <w:t>Description</w:t>
            </w:r>
          </w:p>
        </w:tc>
        <w:tc>
          <w:tcPr>
            <w:tcW w:w="1919" w:type="dxa"/>
            <w:tcBorders>
              <w:top w:val="nil"/>
              <w:left w:val="nil"/>
              <w:bottom w:val="nil"/>
              <w:right w:val="nil"/>
            </w:tcBorders>
            <w:shd w:val="clear" w:color="auto" w:fill="auto"/>
            <w:noWrap/>
            <w:vAlign w:val="bottom"/>
            <w:hideMark/>
          </w:tcPr>
          <w:p w14:paraId="401A57F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Uncertainty</w:t>
            </w:r>
            <w:r>
              <w:rPr>
                <w:rFonts w:ascii="Calibri" w:eastAsia="Times New Roman" w:hAnsi="Calibri" w:cs="Times New Roman"/>
                <w:lang w:eastAsia="en-GB"/>
              </w:rPr>
              <w:t xml:space="preserve"> range</w:t>
            </w:r>
          </w:p>
        </w:tc>
      </w:tr>
      <w:tr w:rsidR="006937B1" w:rsidRPr="000019D9" w14:paraId="75D22702" w14:textId="77777777" w:rsidTr="622EBFD4">
        <w:trPr>
          <w:trHeight w:val="288"/>
        </w:trPr>
        <w:tc>
          <w:tcPr>
            <w:tcW w:w="3983" w:type="dxa"/>
            <w:tcBorders>
              <w:top w:val="nil"/>
              <w:left w:val="nil"/>
              <w:bottom w:val="nil"/>
              <w:right w:val="nil"/>
            </w:tcBorders>
            <w:shd w:val="clear" w:color="auto" w:fill="auto"/>
            <w:noWrap/>
            <w:vAlign w:val="center"/>
            <w:hideMark/>
          </w:tcPr>
          <w:p w14:paraId="3736293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Heating  </w:t>
            </w:r>
          </w:p>
        </w:tc>
        <w:tc>
          <w:tcPr>
            <w:tcW w:w="7930" w:type="dxa"/>
            <w:tcBorders>
              <w:top w:val="nil"/>
              <w:left w:val="nil"/>
              <w:bottom w:val="nil"/>
              <w:right w:val="nil"/>
            </w:tcBorders>
            <w:shd w:val="clear" w:color="auto" w:fill="auto"/>
            <w:vAlign w:val="center"/>
            <w:hideMark/>
          </w:tcPr>
          <w:p w14:paraId="33D9389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Natural gas boiler serving a radiator central heating system</w:t>
            </w:r>
          </w:p>
        </w:tc>
        <w:tc>
          <w:tcPr>
            <w:tcW w:w="1919" w:type="dxa"/>
            <w:tcBorders>
              <w:top w:val="nil"/>
              <w:left w:val="nil"/>
              <w:bottom w:val="nil"/>
              <w:right w:val="nil"/>
            </w:tcBorders>
            <w:shd w:val="clear" w:color="auto" w:fill="auto"/>
            <w:noWrap/>
            <w:vAlign w:val="bottom"/>
            <w:hideMark/>
          </w:tcPr>
          <w:p w14:paraId="2F5BF4FC"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E8F376B" w14:textId="77777777" w:rsidTr="622EBFD4">
        <w:trPr>
          <w:trHeight w:val="288"/>
        </w:trPr>
        <w:tc>
          <w:tcPr>
            <w:tcW w:w="3983" w:type="dxa"/>
            <w:tcBorders>
              <w:top w:val="nil"/>
              <w:left w:val="nil"/>
              <w:bottom w:val="nil"/>
              <w:right w:val="nil"/>
            </w:tcBorders>
            <w:shd w:val="clear" w:color="auto" w:fill="auto"/>
            <w:noWrap/>
            <w:vAlign w:val="center"/>
            <w:hideMark/>
          </w:tcPr>
          <w:p w14:paraId="1A2F7229" w14:textId="7E8FD5A8" w:rsidR="006937B1" w:rsidRPr="000019D9" w:rsidRDefault="00CA46E2"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setpoint</w:t>
            </w:r>
            <w:r w:rsidR="006937B1" w:rsidRPr="000019D9">
              <w:rPr>
                <w:rFonts w:ascii="Calibri" w:eastAsia="Times New Roman" w:hAnsi="Calibri" w:cs="Times New Roman"/>
                <w:lang w:eastAsia="en-GB"/>
              </w:rPr>
              <w:t xml:space="preserve"> (setback) </w:t>
            </w:r>
          </w:p>
        </w:tc>
        <w:tc>
          <w:tcPr>
            <w:tcW w:w="7930" w:type="dxa"/>
            <w:tcBorders>
              <w:top w:val="nil"/>
              <w:left w:val="nil"/>
              <w:bottom w:val="nil"/>
              <w:right w:val="nil"/>
            </w:tcBorders>
            <w:shd w:val="clear" w:color="auto" w:fill="auto"/>
            <w:noWrap/>
            <w:vAlign w:val="center"/>
            <w:hideMark/>
          </w:tcPr>
          <w:p w14:paraId="293B613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19°C (16°C) </w:t>
            </w:r>
          </w:p>
        </w:tc>
        <w:tc>
          <w:tcPr>
            <w:tcW w:w="1919" w:type="dxa"/>
            <w:tcBorders>
              <w:top w:val="nil"/>
              <w:left w:val="nil"/>
              <w:bottom w:val="nil"/>
              <w:right w:val="nil"/>
            </w:tcBorders>
            <w:shd w:val="clear" w:color="auto" w:fill="auto"/>
            <w:noWrap/>
            <w:vAlign w:val="bottom"/>
            <w:hideMark/>
          </w:tcPr>
          <w:p w14:paraId="660E52E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17.5°C-20.5°C </w:t>
            </w:r>
          </w:p>
        </w:tc>
      </w:tr>
      <w:tr w:rsidR="006937B1" w:rsidRPr="000019D9" w14:paraId="1D49F329" w14:textId="77777777" w:rsidTr="622EBFD4">
        <w:trPr>
          <w:trHeight w:val="288"/>
        </w:trPr>
        <w:tc>
          <w:tcPr>
            <w:tcW w:w="3983" w:type="dxa"/>
            <w:tcBorders>
              <w:top w:val="nil"/>
              <w:left w:val="nil"/>
              <w:bottom w:val="nil"/>
              <w:right w:val="nil"/>
            </w:tcBorders>
            <w:shd w:val="clear" w:color="auto" w:fill="auto"/>
            <w:noWrap/>
            <w:vAlign w:val="center"/>
          </w:tcPr>
          <w:p w14:paraId="674DD2F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schedule</w:t>
            </w:r>
          </w:p>
        </w:tc>
        <w:tc>
          <w:tcPr>
            <w:tcW w:w="7930" w:type="dxa"/>
            <w:tcBorders>
              <w:top w:val="nil"/>
              <w:left w:val="nil"/>
              <w:bottom w:val="nil"/>
              <w:right w:val="nil"/>
            </w:tcBorders>
            <w:shd w:val="clear" w:color="auto" w:fill="auto"/>
            <w:vAlign w:val="bottom"/>
          </w:tcPr>
          <w:p w14:paraId="2FA4534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02:00-11:00 </w:t>
            </w:r>
            <w:r>
              <w:rPr>
                <w:rFonts w:ascii="Calibri" w:eastAsia="Times New Roman" w:hAnsi="Calibri" w:cs="Times New Roman"/>
                <w:lang w:eastAsia="en-GB"/>
              </w:rPr>
              <w:t>+</w:t>
            </w:r>
            <w:r w:rsidRPr="000019D9">
              <w:rPr>
                <w:rFonts w:ascii="Calibri" w:eastAsia="Times New Roman" w:hAnsi="Calibri" w:cs="Times New Roman"/>
                <w:lang w:eastAsia="en-GB"/>
              </w:rPr>
              <w:t xml:space="preserve"> 16:00-24:00</w:t>
            </w:r>
          </w:p>
        </w:tc>
        <w:tc>
          <w:tcPr>
            <w:tcW w:w="1919" w:type="dxa"/>
            <w:tcBorders>
              <w:top w:val="nil"/>
              <w:left w:val="nil"/>
              <w:bottom w:val="nil"/>
              <w:right w:val="nil"/>
            </w:tcBorders>
            <w:shd w:val="clear" w:color="auto" w:fill="auto"/>
            <w:noWrap/>
            <w:vAlign w:val="bottom"/>
            <w:hideMark/>
          </w:tcPr>
          <w:p w14:paraId="4E1BD868"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6DFCEF54" w14:textId="77777777" w:rsidTr="622EBFD4">
        <w:trPr>
          <w:trHeight w:val="288"/>
        </w:trPr>
        <w:tc>
          <w:tcPr>
            <w:tcW w:w="3983" w:type="dxa"/>
            <w:tcBorders>
              <w:top w:val="nil"/>
              <w:left w:val="nil"/>
              <w:bottom w:val="nil"/>
              <w:right w:val="nil"/>
            </w:tcBorders>
            <w:shd w:val="clear" w:color="auto" w:fill="auto"/>
            <w:noWrap/>
            <w:vAlign w:val="center"/>
          </w:tcPr>
          <w:p w14:paraId="39023C8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Ventilation </w:t>
            </w:r>
          </w:p>
        </w:tc>
        <w:tc>
          <w:tcPr>
            <w:tcW w:w="7930" w:type="dxa"/>
            <w:tcBorders>
              <w:top w:val="nil"/>
              <w:left w:val="nil"/>
              <w:bottom w:val="nil"/>
              <w:right w:val="nil"/>
            </w:tcBorders>
            <w:shd w:val="clear" w:color="auto" w:fill="auto"/>
            <w:vAlign w:val="center"/>
          </w:tcPr>
          <w:p w14:paraId="25D87EE1" w14:textId="060B5E70"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N</w:t>
            </w:r>
            <w:r w:rsidRPr="000019D9">
              <w:rPr>
                <w:rFonts w:ascii="Calibri" w:eastAsia="Times New Roman" w:hAnsi="Calibri" w:cs="Times New Roman"/>
                <w:lang w:eastAsia="en-GB"/>
              </w:rPr>
              <w:t>atural ventilation (</w:t>
            </w:r>
            <w:r w:rsidRPr="00390078">
              <w:rPr>
                <w:rFonts w:ascii="Calibri" w:eastAsia="Times New Roman" w:hAnsi="Calibri" w:cs="Times New Roman"/>
                <w:lang w:eastAsia="en-GB"/>
              </w:rPr>
              <w:t>mechanical</w:t>
            </w:r>
            <w:r w:rsidRPr="000019D9">
              <w:rPr>
                <w:rFonts w:ascii="Calibri" w:eastAsia="Times New Roman" w:hAnsi="Calibri" w:cs="Times New Roman"/>
                <w:lang w:eastAsia="en-GB"/>
              </w:rPr>
              <w:t xml:space="preserve"> extract to family bathroom and </w:t>
            </w:r>
            <w:r w:rsidRPr="00390078">
              <w:rPr>
                <w:rFonts w:ascii="Calibri" w:eastAsia="Times New Roman" w:hAnsi="Calibri" w:cs="Times New Roman"/>
                <w:lang w:eastAsia="en-GB"/>
              </w:rPr>
              <w:t>en</w:t>
            </w:r>
            <w:r w:rsidR="0042742C">
              <w:rPr>
                <w:rFonts w:ascii="Calibri" w:eastAsia="Times New Roman" w:hAnsi="Calibri" w:cs="Times New Roman"/>
                <w:lang w:eastAsia="en-GB"/>
              </w:rPr>
              <w:t xml:space="preserve"> </w:t>
            </w:r>
            <w:r w:rsidRPr="00390078">
              <w:rPr>
                <w:rFonts w:ascii="Calibri" w:eastAsia="Times New Roman" w:hAnsi="Calibri" w:cs="Times New Roman"/>
                <w:lang w:eastAsia="en-GB"/>
              </w:rPr>
              <w:t>suite</w:t>
            </w:r>
            <w:r w:rsidRPr="000019D9">
              <w:rPr>
                <w:rFonts w:ascii="Calibri" w:eastAsia="Times New Roman" w:hAnsi="Calibri" w:cs="Times New Roman"/>
                <w:lang w:eastAsia="en-GB"/>
              </w:rPr>
              <w:t>)</w:t>
            </w:r>
          </w:p>
        </w:tc>
        <w:tc>
          <w:tcPr>
            <w:tcW w:w="1919" w:type="dxa"/>
            <w:tcBorders>
              <w:top w:val="nil"/>
              <w:left w:val="nil"/>
              <w:bottom w:val="nil"/>
              <w:right w:val="nil"/>
            </w:tcBorders>
            <w:shd w:val="clear" w:color="auto" w:fill="auto"/>
            <w:noWrap/>
            <w:vAlign w:val="bottom"/>
          </w:tcPr>
          <w:p w14:paraId="7D8838E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5AF8E62" w14:textId="77777777" w:rsidTr="622EBFD4">
        <w:trPr>
          <w:trHeight w:val="288"/>
        </w:trPr>
        <w:tc>
          <w:tcPr>
            <w:tcW w:w="3983" w:type="dxa"/>
            <w:tcBorders>
              <w:top w:val="nil"/>
              <w:left w:val="nil"/>
              <w:bottom w:val="nil"/>
              <w:right w:val="nil"/>
            </w:tcBorders>
            <w:shd w:val="clear" w:color="auto" w:fill="auto"/>
            <w:noWrap/>
            <w:vAlign w:val="center"/>
          </w:tcPr>
          <w:p w14:paraId="1B7666E0"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Ventilation rate </w:t>
            </w:r>
          </w:p>
        </w:tc>
        <w:tc>
          <w:tcPr>
            <w:tcW w:w="7930" w:type="dxa"/>
            <w:tcBorders>
              <w:top w:val="nil"/>
              <w:left w:val="nil"/>
              <w:bottom w:val="nil"/>
              <w:right w:val="nil"/>
            </w:tcBorders>
            <w:shd w:val="clear" w:color="auto" w:fill="auto"/>
            <w:vAlign w:val="center"/>
          </w:tcPr>
          <w:p w14:paraId="28554E8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Highly stochastic, controlled by</w:t>
            </w:r>
            <w:r>
              <w:rPr>
                <w:rFonts w:ascii="Calibri" w:eastAsia="Times New Roman" w:hAnsi="Calibri" w:cs="Times New Roman"/>
                <w:lang w:eastAsia="en-GB"/>
              </w:rPr>
              <w:t xml:space="preserve"> occupants via openable windows</w:t>
            </w:r>
          </w:p>
        </w:tc>
        <w:tc>
          <w:tcPr>
            <w:tcW w:w="1919" w:type="dxa"/>
            <w:tcBorders>
              <w:top w:val="nil"/>
              <w:left w:val="nil"/>
              <w:bottom w:val="nil"/>
              <w:right w:val="nil"/>
            </w:tcBorders>
            <w:shd w:val="clear" w:color="auto" w:fill="auto"/>
            <w:noWrap/>
            <w:vAlign w:val="bottom"/>
          </w:tcPr>
          <w:p w14:paraId="6BB18E5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535406C7" w14:textId="77777777" w:rsidTr="622EBFD4">
        <w:trPr>
          <w:trHeight w:val="288"/>
        </w:trPr>
        <w:tc>
          <w:tcPr>
            <w:tcW w:w="3983" w:type="dxa"/>
            <w:tcBorders>
              <w:top w:val="nil"/>
              <w:left w:val="nil"/>
              <w:bottom w:val="nil"/>
              <w:right w:val="nil"/>
            </w:tcBorders>
            <w:shd w:val="clear" w:color="auto" w:fill="auto"/>
            <w:noWrap/>
            <w:vAlign w:val="center"/>
            <w:hideMark/>
          </w:tcPr>
          <w:p w14:paraId="0AF5FE2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Gas boiler seasonal efficiency</w:t>
            </w:r>
          </w:p>
        </w:tc>
        <w:tc>
          <w:tcPr>
            <w:tcW w:w="7930" w:type="dxa"/>
            <w:tcBorders>
              <w:top w:val="nil"/>
              <w:left w:val="nil"/>
              <w:bottom w:val="nil"/>
              <w:right w:val="nil"/>
            </w:tcBorders>
            <w:shd w:val="clear" w:color="auto" w:fill="auto"/>
            <w:noWrap/>
            <w:vAlign w:val="center"/>
            <w:hideMark/>
          </w:tcPr>
          <w:p w14:paraId="1A24BD25" w14:textId="57DCEE46"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65</w:t>
            </w:r>
            <w:r w:rsidR="0042742C" w:rsidRPr="000019D9">
              <w:rPr>
                <w:rFonts w:ascii="Calibri" w:eastAsia="Times New Roman" w:hAnsi="Calibri" w:cs="Times New Roman"/>
                <w:lang w:eastAsia="en-GB"/>
              </w:rPr>
              <w:t xml:space="preserve">% </w:t>
            </w:r>
            <w:r w:rsidR="0042742C">
              <w:rPr>
                <w:rFonts w:ascii="Calibri" w:eastAsia="Times New Roman" w:hAnsi="Calibri" w:cs="Times New Roman"/>
                <w:lang w:eastAsia="en-GB"/>
              </w:rPr>
              <w:t>(</w:t>
            </w:r>
            <w:r>
              <w:rPr>
                <w:rFonts w:ascii="Calibri" w:eastAsia="Times New Roman" w:hAnsi="Calibri" w:cs="Times New Roman"/>
                <w:lang w:eastAsia="en-GB"/>
              </w:rPr>
              <w:t>15</w:t>
            </w:r>
            <w:r w:rsidRPr="000019D9">
              <w:rPr>
                <w:rFonts w:ascii="Calibri" w:eastAsia="Times New Roman" w:hAnsi="Calibri" w:cs="Times New Roman"/>
                <w:lang w:eastAsia="en-GB"/>
              </w:rPr>
              <w:t xml:space="preserve"> years old non-condensing gas-fired system boiler </w:t>
            </w:r>
            <w:r w:rsidR="001173C5">
              <w:rPr>
                <w:rFonts w:ascii="Calibri" w:eastAsia="Times New Roman" w:hAnsi="Calibri" w:cs="Times New Roman"/>
                <w:lang w:eastAsia="en-GB"/>
              </w:rPr>
              <w:t xml:space="preserve">– </w:t>
            </w:r>
            <w:r w:rsidR="001173C5" w:rsidRPr="000019D9">
              <w:rPr>
                <w:rFonts w:ascii="Calibri" w:eastAsia="Times New Roman" w:hAnsi="Calibri" w:cs="Times New Roman"/>
                <w:lang w:eastAsia="en-GB"/>
              </w:rPr>
              <w:t>77</w:t>
            </w:r>
            <w:r w:rsidRPr="000019D9">
              <w:rPr>
                <w:rFonts w:ascii="Calibri" w:eastAsia="Times New Roman" w:hAnsi="Calibri" w:cs="Times New Roman"/>
                <w:lang w:eastAsia="en-GB"/>
              </w:rPr>
              <w:t>°C/55°C F+R)</w:t>
            </w:r>
          </w:p>
        </w:tc>
        <w:tc>
          <w:tcPr>
            <w:tcW w:w="1919" w:type="dxa"/>
            <w:tcBorders>
              <w:top w:val="nil"/>
              <w:left w:val="nil"/>
              <w:bottom w:val="nil"/>
              <w:right w:val="nil"/>
            </w:tcBorders>
            <w:shd w:val="clear" w:color="auto" w:fill="auto"/>
            <w:noWrap/>
            <w:vAlign w:val="bottom"/>
            <w:hideMark/>
          </w:tcPr>
          <w:p w14:paraId="0E79022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60% - 75%</w:t>
            </w:r>
          </w:p>
        </w:tc>
      </w:tr>
      <w:tr w:rsidR="006937B1" w:rsidRPr="000019D9" w14:paraId="5624B6D1" w14:textId="77777777" w:rsidTr="622EBFD4">
        <w:trPr>
          <w:trHeight w:val="288"/>
        </w:trPr>
        <w:tc>
          <w:tcPr>
            <w:tcW w:w="3983" w:type="dxa"/>
            <w:tcBorders>
              <w:top w:val="nil"/>
              <w:left w:val="nil"/>
              <w:bottom w:val="nil"/>
              <w:right w:val="nil"/>
            </w:tcBorders>
            <w:shd w:val="clear" w:color="auto" w:fill="auto"/>
            <w:noWrap/>
            <w:vAlign w:val="center"/>
            <w:hideMark/>
          </w:tcPr>
          <w:p w14:paraId="5994E91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DHW consumption</w:t>
            </w:r>
          </w:p>
        </w:tc>
        <w:tc>
          <w:tcPr>
            <w:tcW w:w="7930" w:type="dxa"/>
            <w:tcBorders>
              <w:top w:val="nil"/>
              <w:left w:val="nil"/>
              <w:bottom w:val="nil"/>
              <w:right w:val="nil"/>
            </w:tcBorders>
            <w:shd w:val="clear" w:color="auto" w:fill="auto"/>
            <w:noWrap/>
            <w:vAlign w:val="center"/>
            <w:hideMark/>
          </w:tcPr>
          <w:p w14:paraId="40C00229" w14:textId="08A00AD4" w:rsidR="006937B1" w:rsidRPr="000019D9" w:rsidRDefault="006937B1" w:rsidP="0004775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0.</w:t>
            </w:r>
            <w:r w:rsidR="0CDE8417" w:rsidRPr="622EBFD4">
              <w:rPr>
                <w:rFonts w:ascii="Calibri" w:eastAsia="Times New Roman" w:hAnsi="Calibri" w:cs="Times New Roman"/>
                <w:lang w:eastAsia="en-GB"/>
              </w:rPr>
              <w:t>5</w:t>
            </w:r>
            <w:r w:rsidR="729CF4AE" w:rsidRPr="622EBFD4">
              <w:rPr>
                <w:rFonts w:ascii="Calibri" w:eastAsia="Times New Roman" w:hAnsi="Calibri" w:cs="Times New Roman"/>
                <w:lang w:eastAsia="en-GB"/>
              </w:rPr>
              <w:t>9</w:t>
            </w:r>
            <w:r w:rsidRPr="622EBFD4">
              <w:rPr>
                <w:rFonts w:ascii="Calibri" w:eastAsia="Times New Roman" w:hAnsi="Calibri" w:cs="Times New Roman"/>
                <w:lang w:eastAsia="en-GB"/>
              </w:rPr>
              <w:t xml:space="preserve"> litre/m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/day</w:t>
            </w:r>
          </w:p>
        </w:tc>
        <w:tc>
          <w:tcPr>
            <w:tcW w:w="1919" w:type="dxa"/>
            <w:tcBorders>
              <w:top w:val="nil"/>
              <w:left w:val="nil"/>
              <w:bottom w:val="nil"/>
              <w:right w:val="nil"/>
            </w:tcBorders>
            <w:shd w:val="clear" w:color="auto" w:fill="auto"/>
            <w:noWrap/>
            <w:vAlign w:val="bottom"/>
            <w:hideMark/>
          </w:tcPr>
          <w:p w14:paraId="211FA5B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9B5A8D1" w14:textId="77777777" w:rsidTr="622EBFD4">
        <w:trPr>
          <w:trHeight w:val="288"/>
        </w:trPr>
        <w:tc>
          <w:tcPr>
            <w:tcW w:w="3983" w:type="dxa"/>
            <w:tcBorders>
              <w:top w:val="nil"/>
              <w:left w:val="nil"/>
              <w:bottom w:val="nil"/>
              <w:right w:val="nil"/>
            </w:tcBorders>
            <w:shd w:val="clear" w:color="auto" w:fill="auto"/>
            <w:noWrap/>
            <w:vAlign w:val="center"/>
          </w:tcPr>
          <w:p w14:paraId="5986544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Cooling setpoint</w:t>
            </w:r>
            <w:r>
              <w:rPr>
                <w:rFonts w:ascii="Calibri" w:eastAsia="Times New Roman" w:hAnsi="Calibri" w:cs="Times New Roman"/>
                <w:lang w:eastAsia="en-GB"/>
              </w:rPr>
              <w:t xml:space="preserve"> (</w:t>
            </w:r>
            <w:r w:rsidRPr="000019D9">
              <w:rPr>
                <w:rFonts w:ascii="Calibri" w:eastAsia="Times New Roman" w:hAnsi="Calibri" w:cs="Times New Roman"/>
                <w:lang w:eastAsia="en-GB"/>
              </w:rPr>
              <w:t>setback</w:t>
            </w:r>
            <w:r>
              <w:rPr>
                <w:rFonts w:ascii="Calibri" w:eastAsia="Times New Roman" w:hAnsi="Calibri" w:cs="Times New Roman"/>
                <w:lang w:eastAsia="en-GB"/>
              </w:rPr>
              <w:t>)</w:t>
            </w:r>
          </w:p>
        </w:tc>
        <w:tc>
          <w:tcPr>
            <w:tcW w:w="7930" w:type="dxa"/>
            <w:tcBorders>
              <w:top w:val="nil"/>
              <w:left w:val="nil"/>
              <w:bottom w:val="nil"/>
              <w:right w:val="nil"/>
            </w:tcBorders>
            <w:shd w:val="clear" w:color="auto" w:fill="auto"/>
            <w:noWrap/>
            <w:vAlign w:val="center"/>
          </w:tcPr>
          <w:p w14:paraId="115B23C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Uncontrolled</w:t>
            </w:r>
          </w:p>
        </w:tc>
        <w:tc>
          <w:tcPr>
            <w:tcW w:w="1919" w:type="dxa"/>
            <w:tcBorders>
              <w:top w:val="nil"/>
              <w:left w:val="nil"/>
              <w:bottom w:val="nil"/>
              <w:right w:val="nil"/>
            </w:tcBorders>
            <w:shd w:val="clear" w:color="auto" w:fill="auto"/>
            <w:noWrap/>
            <w:vAlign w:val="bottom"/>
            <w:hideMark/>
          </w:tcPr>
          <w:p w14:paraId="7078147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754A47B7" w14:textId="77777777" w:rsidTr="622EBFD4">
        <w:trPr>
          <w:trHeight w:val="288"/>
        </w:trPr>
        <w:tc>
          <w:tcPr>
            <w:tcW w:w="3983" w:type="dxa"/>
            <w:tcBorders>
              <w:top w:val="nil"/>
              <w:left w:val="nil"/>
              <w:bottom w:val="nil"/>
              <w:right w:val="nil"/>
            </w:tcBorders>
            <w:shd w:val="clear" w:color="auto" w:fill="auto"/>
            <w:noWrap/>
            <w:vAlign w:val="center"/>
            <w:hideMark/>
          </w:tcPr>
          <w:p w14:paraId="591A2B5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Nominal lighting power density</w:t>
            </w:r>
          </w:p>
        </w:tc>
        <w:tc>
          <w:tcPr>
            <w:tcW w:w="7930" w:type="dxa"/>
            <w:tcBorders>
              <w:top w:val="nil"/>
              <w:left w:val="nil"/>
              <w:bottom w:val="nil"/>
              <w:right w:val="nil"/>
            </w:tcBorders>
            <w:shd w:val="clear" w:color="auto" w:fill="auto"/>
            <w:noWrap/>
            <w:vAlign w:val="center"/>
            <w:hideMark/>
          </w:tcPr>
          <w:p w14:paraId="5BFEC65C" w14:textId="3F39A45E"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1.4 W/m</w:t>
            </w:r>
            <w:r w:rsidR="001173C5" w:rsidRPr="000019D9">
              <w:rPr>
                <w:rFonts w:ascii="Calibri" w:eastAsia="Times New Roman" w:hAnsi="Calibri" w:cs="Times New Roman"/>
                <w:vertAlign w:val="superscript"/>
                <w:lang w:eastAsia="en-GB"/>
              </w:rPr>
              <w:t xml:space="preserve">2 </w:t>
            </w:r>
            <w:r w:rsidR="001173C5" w:rsidRPr="000019D9">
              <w:rPr>
                <w:rFonts w:ascii="Calibri" w:eastAsia="Times New Roman" w:hAnsi="Calibri" w:cs="Times New Roman"/>
                <w:lang w:eastAsia="en-GB"/>
              </w:rPr>
              <w:t>(</w:t>
            </w:r>
            <w:r w:rsidRPr="000019D9">
              <w:rPr>
                <w:rFonts w:ascii="Calibri" w:eastAsia="Times New Roman" w:hAnsi="Calibri" w:cs="Times New Roman"/>
                <w:lang w:eastAsia="en-GB"/>
              </w:rPr>
              <w:t xml:space="preserve">manually controlled) to achieve 200 lux </w:t>
            </w:r>
          </w:p>
        </w:tc>
        <w:tc>
          <w:tcPr>
            <w:tcW w:w="1919" w:type="dxa"/>
            <w:tcBorders>
              <w:top w:val="nil"/>
              <w:left w:val="nil"/>
              <w:bottom w:val="nil"/>
              <w:right w:val="nil"/>
            </w:tcBorders>
            <w:shd w:val="clear" w:color="auto" w:fill="auto"/>
            <w:noWrap/>
            <w:vAlign w:val="bottom"/>
          </w:tcPr>
          <w:p w14:paraId="580C9202"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C7AAAFD" w14:textId="77777777" w:rsidTr="622EBFD4">
        <w:trPr>
          <w:trHeight w:val="324"/>
        </w:trPr>
        <w:tc>
          <w:tcPr>
            <w:tcW w:w="3983" w:type="dxa"/>
            <w:tcBorders>
              <w:top w:val="nil"/>
              <w:left w:val="nil"/>
              <w:bottom w:val="nil"/>
              <w:right w:val="nil"/>
            </w:tcBorders>
            <w:shd w:val="clear" w:color="auto" w:fill="auto"/>
            <w:noWrap/>
            <w:vAlign w:val="center"/>
            <w:hideMark/>
          </w:tcPr>
          <w:p w14:paraId="3DAE34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Occupants</w:t>
            </w:r>
          </w:p>
        </w:tc>
        <w:tc>
          <w:tcPr>
            <w:tcW w:w="7930" w:type="dxa"/>
            <w:tcBorders>
              <w:top w:val="nil"/>
              <w:left w:val="nil"/>
              <w:bottom w:val="nil"/>
              <w:right w:val="nil"/>
            </w:tcBorders>
            <w:shd w:val="clear" w:color="auto" w:fill="auto"/>
            <w:vAlign w:val="center"/>
            <w:hideMark/>
          </w:tcPr>
          <w:p w14:paraId="5F1C8C0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2 people in total</w:t>
            </w:r>
          </w:p>
        </w:tc>
        <w:tc>
          <w:tcPr>
            <w:tcW w:w="1919" w:type="dxa"/>
            <w:tcBorders>
              <w:top w:val="nil"/>
              <w:left w:val="nil"/>
              <w:bottom w:val="nil"/>
              <w:right w:val="nil"/>
            </w:tcBorders>
            <w:shd w:val="clear" w:color="auto" w:fill="auto"/>
            <w:noWrap/>
            <w:vAlign w:val="bottom"/>
            <w:hideMark/>
          </w:tcPr>
          <w:p w14:paraId="653424F5"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F4CC74D" w14:textId="77777777" w:rsidTr="622EBFD4">
        <w:trPr>
          <w:trHeight w:val="288"/>
        </w:trPr>
        <w:tc>
          <w:tcPr>
            <w:tcW w:w="3983" w:type="dxa"/>
            <w:tcBorders>
              <w:top w:val="nil"/>
              <w:left w:val="nil"/>
              <w:bottom w:val="nil"/>
              <w:right w:val="nil"/>
            </w:tcBorders>
            <w:shd w:val="clear" w:color="auto" w:fill="auto"/>
            <w:noWrap/>
            <w:vAlign w:val="center"/>
            <w:hideMark/>
          </w:tcPr>
          <w:p w14:paraId="28FE798A"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Internal</w:t>
            </w:r>
            <w:r w:rsidRPr="000019D9">
              <w:rPr>
                <w:rFonts w:ascii="Calibri" w:eastAsia="Times New Roman" w:hAnsi="Calibri" w:cs="Times New Roman"/>
                <w:lang w:eastAsia="en-GB"/>
              </w:rPr>
              <w:t xml:space="preserve"> gains</w:t>
            </w:r>
            <w:r w:rsidRPr="000019D9">
              <w:rPr>
                <w:rFonts w:ascii="Calibri" w:eastAsia="Times New Roman" w:hAnsi="Calibri" w:cs="Times New Roman"/>
                <w:vertAlign w:val="superscript"/>
                <w:lang w:eastAsia="en-GB"/>
              </w:rPr>
              <w:t>[a]</w:t>
            </w:r>
          </w:p>
        </w:tc>
        <w:tc>
          <w:tcPr>
            <w:tcW w:w="7930" w:type="dxa"/>
            <w:tcBorders>
              <w:top w:val="nil"/>
              <w:left w:val="nil"/>
              <w:bottom w:val="nil"/>
              <w:right w:val="nil"/>
            </w:tcBorders>
            <w:shd w:val="clear" w:color="auto" w:fill="auto"/>
            <w:vAlign w:val="center"/>
            <w:hideMark/>
          </w:tcPr>
          <w:p w14:paraId="45895D80"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 xml:space="preserve"> </w:t>
            </w:r>
          </w:p>
        </w:tc>
        <w:tc>
          <w:tcPr>
            <w:tcW w:w="1919" w:type="dxa"/>
            <w:tcBorders>
              <w:top w:val="nil"/>
              <w:left w:val="nil"/>
              <w:bottom w:val="nil"/>
              <w:right w:val="nil"/>
            </w:tcBorders>
            <w:shd w:val="clear" w:color="auto" w:fill="auto"/>
            <w:noWrap/>
            <w:vAlign w:val="bottom"/>
            <w:hideMark/>
          </w:tcPr>
          <w:p w14:paraId="41D4E472" w14:textId="77777777" w:rsidR="006937B1" w:rsidRPr="000019D9" w:rsidRDefault="006937B1" w:rsidP="00047752">
            <w:pPr>
              <w:spacing w:after="0" w:line="240" w:lineRule="auto"/>
              <w:rPr>
                <w:rFonts w:ascii="Calibri" w:eastAsia="Times New Roman" w:hAnsi="Calibri" w:cs="Times New Roman"/>
                <w:lang w:eastAsia="en-GB"/>
              </w:rPr>
            </w:pPr>
          </w:p>
        </w:tc>
      </w:tr>
      <w:tr w:rsidR="00040687" w:rsidRPr="000019D9" w14:paraId="7280B684" w14:textId="77777777" w:rsidTr="622EBFD4">
        <w:trPr>
          <w:trHeight w:val="288"/>
        </w:trPr>
        <w:tc>
          <w:tcPr>
            <w:tcW w:w="3983" w:type="dxa"/>
            <w:tcBorders>
              <w:top w:val="nil"/>
              <w:left w:val="nil"/>
              <w:bottom w:val="nil"/>
              <w:right w:val="nil"/>
            </w:tcBorders>
            <w:shd w:val="clear" w:color="auto" w:fill="auto"/>
            <w:noWrap/>
            <w:vAlign w:val="center"/>
          </w:tcPr>
          <w:p w14:paraId="418A9693" w14:textId="4EE6CA35" w:rsidR="00040687" w:rsidRDefault="00040687"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Gross (conditioned) area</w:t>
            </w:r>
          </w:p>
        </w:tc>
        <w:tc>
          <w:tcPr>
            <w:tcW w:w="7930" w:type="dxa"/>
            <w:tcBorders>
              <w:top w:val="nil"/>
              <w:left w:val="nil"/>
              <w:bottom w:val="nil"/>
              <w:right w:val="nil"/>
            </w:tcBorders>
            <w:shd w:val="clear" w:color="auto" w:fill="auto"/>
            <w:vAlign w:val="center"/>
          </w:tcPr>
          <w:p w14:paraId="7CBF544C" w14:textId="1EAD028B" w:rsidR="00040687" w:rsidRPr="00D122E5" w:rsidRDefault="00D122E5" w:rsidP="00D122E5">
            <w:pPr>
              <w:spacing w:after="0" w:line="240" w:lineRule="auto"/>
              <w:rPr>
                <w:rFonts w:ascii="Calibri" w:eastAsia="Times New Roman" w:hAnsi="Calibri" w:cs="Times New Roman"/>
                <w:lang w:eastAsia="en-GB"/>
              </w:rPr>
            </w:pPr>
            <w:r>
              <w:rPr>
                <w:lang w:bidi="en-US"/>
              </w:rPr>
              <w:t>168.66m</w:t>
            </w:r>
            <w:r w:rsidRPr="0027795A">
              <w:rPr>
                <w:vertAlign w:val="superscript"/>
                <w:lang w:bidi="en-US"/>
              </w:rPr>
              <w:t>2</w:t>
            </w:r>
            <w:r>
              <w:rPr>
                <w:lang w:bidi="en-US"/>
              </w:rPr>
              <w:t xml:space="preserve"> (148.93m</w:t>
            </w:r>
            <w:r w:rsidRPr="0027795A">
              <w:rPr>
                <w:vertAlign w:val="superscript"/>
                <w:lang w:bidi="en-US"/>
              </w:rPr>
              <w:t>2</w:t>
            </w:r>
            <w:r>
              <w:rPr>
                <w:lang w:bidi="en-US"/>
              </w:rPr>
              <w:t>)</w:t>
            </w:r>
          </w:p>
        </w:tc>
        <w:tc>
          <w:tcPr>
            <w:tcW w:w="1919" w:type="dxa"/>
            <w:tcBorders>
              <w:top w:val="nil"/>
              <w:left w:val="nil"/>
              <w:bottom w:val="nil"/>
              <w:right w:val="nil"/>
            </w:tcBorders>
            <w:shd w:val="clear" w:color="auto" w:fill="auto"/>
            <w:noWrap/>
            <w:vAlign w:val="bottom"/>
          </w:tcPr>
          <w:p w14:paraId="5311F213" w14:textId="77777777" w:rsidR="00040687" w:rsidRPr="000019D9" w:rsidRDefault="00040687" w:rsidP="00047752">
            <w:pPr>
              <w:spacing w:after="0" w:line="240" w:lineRule="auto"/>
              <w:rPr>
                <w:rFonts w:ascii="Calibri" w:eastAsia="Times New Roman" w:hAnsi="Calibri" w:cs="Times New Roman"/>
                <w:lang w:eastAsia="en-GB"/>
              </w:rPr>
            </w:pPr>
          </w:p>
        </w:tc>
      </w:tr>
      <w:tr w:rsidR="0019248A" w:rsidRPr="000019D9" w14:paraId="4D21DBC4" w14:textId="77777777" w:rsidTr="622EBFD4">
        <w:trPr>
          <w:trHeight w:val="288"/>
        </w:trPr>
        <w:tc>
          <w:tcPr>
            <w:tcW w:w="3983" w:type="dxa"/>
            <w:tcBorders>
              <w:top w:val="nil"/>
              <w:left w:val="nil"/>
              <w:bottom w:val="nil"/>
              <w:right w:val="nil"/>
            </w:tcBorders>
            <w:shd w:val="clear" w:color="auto" w:fill="auto"/>
            <w:noWrap/>
            <w:vAlign w:val="center"/>
          </w:tcPr>
          <w:p w14:paraId="6164ECD9" w14:textId="36D4CA54" w:rsidR="0019248A" w:rsidRDefault="0019248A" w:rsidP="005109AB">
            <w:pPr>
              <w:spacing w:after="0" w:line="240" w:lineRule="auto"/>
              <w:rPr>
                <w:rFonts w:ascii="Calibri" w:eastAsia="Times New Roman" w:hAnsi="Calibri" w:cs="Times New Roman"/>
                <w:lang w:eastAsia="en-GB"/>
              </w:rPr>
            </w:pPr>
            <w:r>
              <w:rPr>
                <w:rFonts w:ascii="Calibri" w:eastAsia="Times New Roman" w:hAnsi="Calibri" w:cs="Times New Roman"/>
                <w:lang w:eastAsia="en-GB"/>
              </w:rPr>
              <w:t>Observed</w:t>
            </w:r>
            <w:r w:rsidR="005109AB">
              <w:rPr>
                <w:rFonts w:ascii="Calibri" w:eastAsia="Times New Roman" w:hAnsi="Calibri" w:cs="Times New Roman"/>
                <w:lang w:eastAsia="en-GB"/>
              </w:rPr>
              <w:t xml:space="preserve"> annual g</w:t>
            </w:r>
            <w:r>
              <w:rPr>
                <w:rFonts w:ascii="Calibri" w:eastAsia="Times New Roman" w:hAnsi="Calibri" w:cs="Times New Roman"/>
                <w:lang w:eastAsia="en-GB"/>
              </w:rPr>
              <w:t>as (electricity) consumption</w:t>
            </w:r>
            <w:r w:rsidR="00E95BD2">
              <w:rPr>
                <w:rFonts w:ascii="Calibri" w:eastAsia="Times New Roman" w:hAnsi="Calibri" w:cs="Times New Roman"/>
                <w:lang w:eastAsia="en-GB"/>
              </w:rPr>
              <w:t xml:space="preserve"> (2016)</w:t>
            </w:r>
          </w:p>
        </w:tc>
        <w:tc>
          <w:tcPr>
            <w:tcW w:w="7930" w:type="dxa"/>
            <w:tcBorders>
              <w:top w:val="nil"/>
              <w:left w:val="nil"/>
              <w:bottom w:val="nil"/>
              <w:right w:val="nil"/>
            </w:tcBorders>
            <w:shd w:val="clear" w:color="auto" w:fill="auto"/>
            <w:vAlign w:val="center"/>
          </w:tcPr>
          <w:p w14:paraId="77DF29F4" w14:textId="445F2394" w:rsidR="0019248A" w:rsidRDefault="544EC8FA" w:rsidP="00E95BD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15</w:t>
            </w:r>
            <w:r w:rsidR="2BCDF159" w:rsidRPr="622EBFD4">
              <w:rPr>
                <w:rFonts w:ascii="Calibri" w:eastAsia="Times New Roman" w:hAnsi="Calibri" w:cs="Times New Roman"/>
                <w:lang w:eastAsia="en-GB"/>
              </w:rPr>
              <w:t>,</w:t>
            </w:r>
            <w:r w:rsidRPr="622EBFD4">
              <w:rPr>
                <w:rFonts w:ascii="Calibri" w:eastAsia="Times New Roman" w:hAnsi="Calibri" w:cs="Times New Roman"/>
                <w:lang w:eastAsia="en-GB"/>
              </w:rPr>
              <w:t>381 kWh (2</w:t>
            </w:r>
            <w:r w:rsidR="013A2BB9" w:rsidRPr="622EBFD4">
              <w:rPr>
                <w:rFonts w:ascii="Calibri" w:eastAsia="Times New Roman" w:hAnsi="Calibri" w:cs="Times New Roman"/>
                <w:lang w:eastAsia="en-GB"/>
              </w:rPr>
              <w:t>,</w:t>
            </w:r>
            <w:r w:rsidRPr="622EBFD4">
              <w:rPr>
                <w:rFonts w:ascii="Calibri" w:eastAsia="Times New Roman" w:hAnsi="Calibri" w:cs="Times New Roman"/>
                <w:lang w:eastAsia="en-GB"/>
              </w:rPr>
              <w:t xml:space="preserve">991 kWh) </w:t>
            </w:r>
          </w:p>
        </w:tc>
        <w:tc>
          <w:tcPr>
            <w:tcW w:w="1919" w:type="dxa"/>
            <w:tcBorders>
              <w:top w:val="nil"/>
              <w:left w:val="nil"/>
              <w:bottom w:val="nil"/>
              <w:right w:val="nil"/>
            </w:tcBorders>
            <w:shd w:val="clear" w:color="auto" w:fill="auto"/>
            <w:noWrap/>
            <w:vAlign w:val="bottom"/>
          </w:tcPr>
          <w:p w14:paraId="47596FC6" w14:textId="77777777" w:rsidR="0019248A" w:rsidRPr="000019D9" w:rsidRDefault="0019248A" w:rsidP="00047752">
            <w:pPr>
              <w:spacing w:after="0" w:line="240" w:lineRule="auto"/>
              <w:rPr>
                <w:rFonts w:ascii="Calibri" w:eastAsia="Times New Roman" w:hAnsi="Calibri" w:cs="Times New Roman"/>
                <w:lang w:eastAsia="en-GB"/>
              </w:rPr>
            </w:pPr>
          </w:p>
        </w:tc>
      </w:tr>
      <w:tr w:rsidR="006937B1" w:rsidRPr="000019D9" w14:paraId="171C4BB1" w14:textId="77777777" w:rsidTr="622EBFD4">
        <w:trPr>
          <w:trHeight w:val="288"/>
        </w:trPr>
        <w:tc>
          <w:tcPr>
            <w:tcW w:w="3983" w:type="dxa"/>
            <w:tcBorders>
              <w:top w:val="nil"/>
              <w:left w:val="nil"/>
              <w:bottom w:val="nil"/>
              <w:right w:val="nil"/>
            </w:tcBorders>
            <w:shd w:val="clear" w:color="auto" w:fill="auto"/>
            <w:noWrap/>
            <w:vAlign w:val="center"/>
            <w:hideMark/>
          </w:tcPr>
          <w:p w14:paraId="5F869F4D"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Fabric properties:</w:t>
            </w:r>
          </w:p>
        </w:tc>
        <w:tc>
          <w:tcPr>
            <w:tcW w:w="7930" w:type="dxa"/>
            <w:tcBorders>
              <w:top w:val="nil"/>
              <w:left w:val="nil"/>
              <w:bottom w:val="nil"/>
              <w:right w:val="nil"/>
            </w:tcBorders>
            <w:shd w:val="clear" w:color="auto" w:fill="auto"/>
            <w:noWrap/>
            <w:vAlign w:val="center"/>
            <w:hideMark/>
          </w:tcPr>
          <w:p w14:paraId="4A9A2E01" w14:textId="77777777" w:rsidR="006937B1" w:rsidRPr="000019D9" w:rsidRDefault="006937B1" w:rsidP="00047752">
            <w:pPr>
              <w:spacing w:after="0" w:line="240" w:lineRule="auto"/>
              <w:rPr>
                <w:rFonts w:ascii="Calibri" w:eastAsia="Times New Roman" w:hAnsi="Calibri" w:cs="Times New Roman"/>
                <w:b/>
                <w:bCs/>
                <w:lang w:eastAsia="en-GB"/>
              </w:rPr>
            </w:pPr>
          </w:p>
        </w:tc>
        <w:tc>
          <w:tcPr>
            <w:tcW w:w="1919" w:type="dxa"/>
            <w:tcBorders>
              <w:top w:val="nil"/>
              <w:left w:val="nil"/>
              <w:bottom w:val="nil"/>
              <w:right w:val="nil"/>
            </w:tcBorders>
            <w:shd w:val="clear" w:color="auto" w:fill="auto"/>
            <w:noWrap/>
            <w:vAlign w:val="bottom"/>
            <w:hideMark/>
          </w:tcPr>
          <w:p w14:paraId="17E3BED2"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p>
        </w:tc>
      </w:tr>
      <w:tr w:rsidR="006937B1" w:rsidRPr="000019D9" w14:paraId="7A4BBA95" w14:textId="77777777" w:rsidTr="622EBFD4">
        <w:trPr>
          <w:trHeight w:val="288"/>
        </w:trPr>
        <w:tc>
          <w:tcPr>
            <w:tcW w:w="3983" w:type="dxa"/>
            <w:tcBorders>
              <w:top w:val="nil"/>
              <w:left w:val="nil"/>
              <w:bottom w:val="nil"/>
              <w:right w:val="nil"/>
            </w:tcBorders>
            <w:shd w:val="clear" w:color="auto" w:fill="auto"/>
            <w:noWrap/>
            <w:vAlign w:val="center"/>
            <w:hideMark/>
          </w:tcPr>
          <w:p w14:paraId="3390912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Glazing (with low emissivity coating)</w:t>
            </w:r>
          </w:p>
        </w:tc>
        <w:tc>
          <w:tcPr>
            <w:tcW w:w="9849" w:type="dxa"/>
            <w:gridSpan w:val="2"/>
            <w:tcBorders>
              <w:top w:val="nil"/>
              <w:left w:val="nil"/>
              <w:bottom w:val="nil"/>
              <w:right w:val="nil"/>
            </w:tcBorders>
            <w:shd w:val="clear" w:color="auto" w:fill="auto"/>
            <w:noWrap/>
            <w:vAlign w:val="center"/>
            <w:hideMark/>
          </w:tcPr>
          <w:p w14:paraId="4C1C71EF"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r w:rsidRPr="000019D9">
              <w:rPr>
                <w:rFonts w:ascii="Calibri" w:eastAsia="Times New Roman" w:hAnsi="Calibri" w:cs="Times New Roman"/>
                <w:lang w:eastAsia="en-GB"/>
              </w:rPr>
              <w:t>1.788 W/m</w:t>
            </w:r>
            <w:r w:rsidRPr="000019D9">
              <w:rPr>
                <w:rFonts w:ascii="Calibri" w:eastAsia="Times New Roman" w:hAnsi="Calibri" w:cs="Times New Roman"/>
                <w:vertAlign w:val="superscript"/>
                <w:lang w:eastAsia="en-GB"/>
              </w:rPr>
              <w:t>2</w:t>
            </w:r>
            <w:r>
              <w:rPr>
                <w:rFonts w:ascii="Calibri" w:eastAsia="Times New Roman" w:hAnsi="Calibri" w:cs="Times New Roman"/>
                <w:lang w:eastAsia="en-GB"/>
              </w:rPr>
              <w:t>K (3mm self-cleaning pane</w:t>
            </w:r>
            <w:r w:rsidRPr="000019D9">
              <w:rPr>
                <w:rFonts w:ascii="Calibri" w:eastAsia="Times New Roman" w:hAnsi="Calibri" w:cs="Times New Roman"/>
                <w:lang w:eastAsia="en-GB"/>
              </w:rPr>
              <w:t xml:space="preserve">, 20mm Argon filled cavity, 3mm low </w:t>
            </w:r>
            <w:r w:rsidRPr="00390078">
              <w:rPr>
                <w:rFonts w:ascii="Calibri" w:eastAsia="Times New Roman" w:hAnsi="Calibri" w:cs="Times New Roman"/>
                <w:lang w:eastAsia="en-GB"/>
              </w:rPr>
              <w:t>emissivity</w:t>
            </w:r>
            <w:r>
              <w:rPr>
                <w:rFonts w:ascii="Calibri" w:eastAsia="Times New Roman" w:hAnsi="Calibri" w:cs="Times New Roman"/>
                <w:lang w:eastAsia="en-GB"/>
              </w:rPr>
              <w:t xml:space="preserve"> pane)</w:t>
            </w:r>
          </w:p>
        </w:tc>
      </w:tr>
      <w:tr w:rsidR="006937B1" w:rsidRPr="000019D9" w14:paraId="1A11DFC5" w14:textId="77777777" w:rsidTr="622EBFD4">
        <w:trPr>
          <w:trHeight w:val="327"/>
        </w:trPr>
        <w:tc>
          <w:tcPr>
            <w:tcW w:w="3983" w:type="dxa"/>
            <w:tcBorders>
              <w:top w:val="nil"/>
              <w:left w:val="nil"/>
              <w:bottom w:val="nil"/>
              <w:right w:val="nil"/>
            </w:tcBorders>
            <w:shd w:val="clear" w:color="auto" w:fill="auto"/>
            <w:noWrap/>
            <w:vAlign w:val="center"/>
            <w:hideMark/>
          </w:tcPr>
          <w:p w14:paraId="4641E1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Glazing G Value (solar transmittance) </w:t>
            </w:r>
          </w:p>
        </w:tc>
        <w:tc>
          <w:tcPr>
            <w:tcW w:w="7930" w:type="dxa"/>
            <w:tcBorders>
              <w:top w:val="nil"/>
              <w:left w:val="nil"/>
              <w:bottom w:val="nil"/>
              <w:right w:val="nil"/>
            </w:tcBorders>
            <w:shd w:val="clear" w:color="auto" w:fill="auto"/>
            <w:vAlign w:val="center"/>
            <w:hideMark/>
          </w:tcPr>
          <w:p w14:paraId="6870652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0.691</w:t>
            </w:r>
          </w:p>
        </w:tc>
        <w:tc>
          <w:tcPr>
            <w:tcW w:w="1919" w:type="dxa"/>
            <w:tcBorders>
              <w:top w:val="nil"/>
              <w:left w:val="nil"/>
              <w:bottom w:val="nil"/>
              <w:right w:val="nil"/>
            </w:tcBorders>
            <w:shd w:val="clear" w:color="auto" w:fill="auto"/>
            <w:noWrap/>
            <w:vAlign w:val="bottom"/>
            <w:hideMark/>
          </w:tcPr>
          <w:p w14:paraId="3AE5B9B3" w14:textId="77777777" w:rsidR="006937B1" w:rsidRPr="000019D9" w:rsidRDefault="006937B1" w:rsidP="00047752">
            <w:pPr>
              <w:spacing w:after="0" w:line="240" w:lineRule="auto"/>
              <w:rPr>
                <w:rFonts w:ascii="Calibri" w:eastAsia="Times New Roman" w:hAnsi="Calibri" w:cs="Times New Roman"/>
                <w:u w:val="double"/>
                <w:lang w:eastAsia="en-GB"/>
              </w:rPr>
            </w:pPr>
          </w:p>
        </w:tc>
      </w:tr>
      <w:tr w:rsidR="006937B1" w:rsidRPr="000019D9" w14:paraId="5BF6789B" w14:textId="77777777" w:rsidTr="622EBFD4">
        <w:trPr>
          <w:trHeight w:val="288"/>
        </w:trPr>
        <w:tc>
          <w:tcPr>
            <w:tcW w:w="3983" w:type="dxa"/>
            <w:tcBorders>
              <w:top w:val="nil"/>
              <w:left w:val="nil"/>
              <w:bottom w:val="nil"/>
              <w:right w:val="nil"/>
            </w:tcBorders>
            <w:shd w:val="clear" w:color="auto" w:fill="auto"/>
            <w:noWrap/>
            <w:vAlign w:val="center"/>
            <w:hideMark/>
          </w:tcPr>
          <w:p w14:paraId="3AC256F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External walls </w:t>
            </w:r>
            <w:r w:rsidRPr="000019D9">
              <w:rPr>
                <w:rFonts w:ascii="Calibri" w:eastAsia="Times New Roman" w:hAnsi="Calibri" w:cs="Times New Roman"/>
                <w:vertAlign w:val="superscript"/>
                <w:lang w:eastAsia="en-GB"/>
              </w:rPr>
              <w:t>[b]</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4C8E353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0.544</w:t>
            </w:r>
          </w:p>
        </w:tc>
        <w:tc>
          <w:tcPr>
            <w:tcW w:w="1919" w:type="dxa"/>
            <w:tcBorders>
              <w:top w:val="nil"/>
              <w:left w:val="nil"/>
              <w:bottom w:val="nil"/>
              <w:right w:val="nil"/>
            </w:tcBorders>
            <w:shd w:val="clear" w:color="auto" w:fill="auto"/>
            <w:noWrap/>
            <w:vAlign w:val="bottom"/>
            <w:hideMark/>
          </w:tcPr>
          <w:p w14:paraId="069D4F43" w14:textId="77777777" w:rsidR="006937B1" w:rsidRPr="000019D9" w:rsidRDefault="006937B1" w:rsidP="00047752">
            <w:pPr>
              <w:spacing w:after="0" w:line="240" w:lineRule="auto"/>
              <w:rPr>
                <w:rFonts w:ascii="Calibri" w:eastAsia="Times New Roman" w:hAnsi="Calibri" w:cs="Times New Roman"/>
                <w:u w:val="double"/>
                <w:lang w:eastAsia="en-GB"/>
              </w:rPr>
            </w:pPr>
            <w:r w:rsidRPr="000019D9">
              <w:rPr>
                <w:rFonts w:ascii="Calibri" w:eastAsia="Times New Roman" w:hAnsi="Calibri" w:cs="Times New Roman"/>
                <w:lang w:eastAsia="en-GB"/>
              </w:rPr>
              <w:t>± 15%</w:t>
            </w:r>
          </w:p>
        </w:tc>
      </w:tr>
      <w:tr w:rsidR="006937B1" w:rsidRPr="000019D9" w14:paraId="27E1FEB4" w14:textId="77777777" w:rsidTr="622EBFD4">
        <w:trPr>
          <w:trHeight w:val="324"/>
        </w:trPr>
        <w:tc>
          <w:tcPr>
            <w:tcW w:w="3983" w:type="dxa"/>
            <w:tcBorders>
              <w:top w:val="nil"/>
              <w:left w:val="nil"/>
              <w:bottom w:val="nil"/>
              <w:right w:val="nil"/>
            </w:tcBorders>
            <w:shd w:val="clear" w:color="auto" w:fill="auto"/>
            <w:noWrap/>
            <w:vAlign w:val="center"/>
            <w:hideMark/>
          </w:tcPr>
          <w:p w14:paraId="197DC627"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Roof </w:t>
            </w:r>
            <w:r w:rsidRPr="000019D9">
              <w:rPr>
                <w:rFonts w:ascii="Calibri" w:eastAsia="Times New Roman" w:hAnsi="Calibri" w:cs="Times New Roman"/>
                <w:vertAlign w:val="superscript"/>
                <w:lang w:eastAsia="en-GB"/>
              </w:rPr>
              <w:t>[c]</w:t>
            </w:r>
            <w:r w:rsidRPr="000019D9">
              <w:rPr>
                <w:rFonts w:ascii="Calibri" w:eastAsia="Times New Roman" w:hAnsi="Calibri" w:cs="Times New Roman"/>
                <w:lang w:eastAsia="en-GB"/>
              </w:rPr>
              <w:t xml:space="preserve">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927729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919" w:type="dxa"/>
            <w:tcBorders>
              <w:top w:val="nil"/>
              <w:left w:val="nil"/>
              <w:bottom w:val="nil"/>
              <w:right w:val="nil"/>
            </w:tcBorders>
            <w:shd w:val="clear" w:color="auto" w:fill="auto"/>
            <w:noWrap/>
            <w:vAlign w:val="bottom"/>
            <w:hideMark/>
          </w:tcPr>
          <w:p w14:paraId="49644CC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15%</w:t>
            </w:r>
          </w:p>
        </w:tc>
      </w:tr>
      <w:tr w:rsidR="006937B1" w:rsidRPr="000019D9" w14:paraId="209E6AD8" w14:textId="77777777" w:rsidTr="622EBFD4">
        <w:trPr>
          <w:trHeight w:val="336"/>
        </w:trPr>
        <w:tc>
          <w:tcPr>
            <w:tcW w:w="3983" w:type="dxa"/>
            <w:tcBorders>
              <w:top w:val="nil"/>
              <w:left w:val="nil"/>
              <w:bottom w:val="nil"/>
              <w:right w:val="nil"/>
            </w:tcBorders>
            <w:shd w:val="clear" w:color="auto" w:fill="auto"/>
            <w:noWrap/>
            <w:vAlign w:val="center"/>
            <w:hideMark/>
          </w:tcPr>
          <w:p w14:paraId="23F510C4"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Floor </w:t>
            </w:r>
            <w:r w:rsidRPr="000019D9">
              <w:rPr>
                <w:rFonts w:ascii="Calibri" w:eastAsia="Times New Roman" w:hAnsi="Calibri" w:cs="Times New Roman"/>
                <w:vertAlign w:val="superscript"/>
                <w:lang w:eastAsia="en-GB"/>
              </w:rPr>
              <w:t>[d]</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B90ECB9" w14:textId="6413BE92" w:rsidR="006937B1" w:rsidRPr="000019D9" w:rsidRDefault="006937B1" w:rsidP="007F5B8E">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0.33</w:t>
            </w:r>
            <w:r w:rsidR="007F5B8E">
              <w:rPr>
                <w:rFonts w:ascii="Calibri" w:eastAsia="Times New Roman" w:hAnsi="Calibri" w:cs="Times New Roman"/>
                <w:lang w:eastAsia="en-GB"/>
              </w:rPr>
              <w:t>5</w:t>
            </w:r>
          </w:p>
        </w:tc>
        <w:tc>
          <w:tcPr>
            <w:tcW w:w="1919" w:type="dxa"/>
            <w:tcBorders>
              <w:top w:val="nil"/>
              <w:left w:val="nil"/>
              <w:bottom w:val="nil"/>
              <w:right w:val="nil"/>
            </w:tcBorders>
            <w:shd w:val="clear" w:color="auto" w:fill="auto"/>
            <w:noWrap/>
            <w:vAlign w:val="bottom"/>
            <w:hideMark/>
          </w:tcPr>
          <w:p w14:paraId="51D62D8D" w14:textId="4C1FA68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5%</w:t>
            </w:r>
          </w:p>
        </w:tc>
      </w:tr>
      <w:tr w:rsidR="006937B1" w:rsidRPr="000019D9" w14:paraId="5E6BFFCE" w14:textId="77777777" w:rsidTr="622EBFD4">
        <w:trPr>
          <w:trHeight w:val="324"/>
        </w:trPr>
        <w:tc>
          <w:tcPr>
            <w:tcW w:w="3983" w:type="dxa"/>
            <w:tcBorders>
              <w:top w:val="nil"/>
              <w:left w:val="nil"/>
              <w:bottom w:val="single" w:sz="4" w:space="0" w:color="auto"/>
              <w:right w:val="nil"/>
            </w:tcBorders>
            <w:shd w:val="clear" w:color="auto" w:fill="FFFFFF" w:themeFill="background1"/>
            <w:noWrap/>
            <w:vAlign w:val="center"/>
            <w:hideMark/>
          </w:tcPr>
          <w:p w14:paraId="7875942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Infiltration (ac/h) </w:t>
            </w:r>
            <w:r w:rsidRPr="000019D9">
              <w:rPr>
                <w:rFonts w:ascii="Calibri" w:eastAsia="Times New Roman" w:hAnsi="Calibri" w:cs="Times New Roman"/>
                <w:vertAlign w:val="superscript"/>
                <w:lang w:eastAsia="en-GB"/>
              </w:rPr>
              <w:t>[e]</w:t>
            </w:r>
          </w:p>
        </w:tc>
        <w:tc>
          <w:tcPr>
            <w:tcW w:w="7930" w:type="dxa"/>
            <w:tcBorders>
              <w:top w:val="nil"/>
              <w:left w:val="nil"/>
              <w:bottom w:val="single" w:sz="4" w:space="0" w:color="auto"/>
              <w:right w:val="nil"/>
            </w:tcBorders>
            <w:shd w:val="clear" w:color="auto" w:fill="FFFFFF" w:themeFill="background1"/>
            <w:noWrap/>
            <w:vAlign w:val="center"/>
            <w:hideMark/>
          </w:tcPr>
          <w:p w14:paraId="51C21C3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w:t>
            </w:r>
          </w:p>
        </w:tc>
        <w:tc>
          <w:tcPr>
            <w:tcW w:w="1919" w:type="dxa"/>
            <w:tcBorders>
              <w:top w:val="nil"/>
              <w:left w:val="nil"/>
              <w:bottom w:val="single" w:sz="4" w:space="0" w:color="auto"/>
              <w:right w:val="nil"/>
            </w:tcBorders>
            <w:shd w:val="clear" w:color="auto" w:fill="auto"/>
            <w:noWrap/>
            <w:vAlign w:val="bottom"/>
            <w:hideMark/>
          </w:tcPr>
          <w:p w14:paraId="1EC09DA2" w14:textId="2DE9DDA3"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w:t>
            </w:r>
            <w:r w:rsidR="00E7163B">
              <w:rPr>
                <w:rFonts w:ascii="Calibri" w:eastAsia="Times New Roman" w:hAnsi="Calibri" w:cs="Times New Roman"/>
                <w:lang w:eastAsia="en-GB"/>
              </w:rPr>
              <w:t>5</w:t>
            </w:r>
            <w:r w:rsidRPr="000019D9">
              <w:rPr>
                <w:rFonts w:ascii="Calibri" w:eastAsia="Times New Roman" w:hAnsi="Calibri" w:cs="Times New Roman"/>
                <w:lang w:eastAsia="en-GB"/>
              </w:rPr>
              <w:t xml:space="preserve"> - 0.95</w:t>
            </w:r>
          </w:p>
        </w:tc>
      </w:tr>
      <w:tr w:rsidR="006937B1" w:rsidRPr="000019D9" w14:paraId="17D6BCF8" w14:textId="77777777" w:rsidTr="622EBFD4">
        <w:trPr>
          <w:trHeight w:val="324"/>
        </w:trPr>
        <w:tc>
          <w:tcPr>
            <w:tcW w:w="13832" w:type="dxa"/>
            <w:gridSpan w:val="3"/>
            <w:tcBorders>
              <w:top w:val="nil"/>
              <w:left w:val="nil"/>
              <w:bottom w:val="nil"/>
            </w:tcBorders>
            <w:shd w:val="clear" w:color="auto" w:fill="FFFFFF" w:themeFill="background1"/>
            <w:noWrap/>
            <w:hideMark/>
          </w:tcPr>
          <w:p w14:paraId="70416543" w14:textId="512D5CCE" w:rsidR="006937B1" w:rsidRPr="000019D9" w:rsidRDefault="006937B1" w:rsidP="0004775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[a] Electricity (ICT and appliances): 3 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Gas (</w:t>
            </w:r>
            <w:r w:rsidR="05E0D432" w:rsidRPr="622EBFD4">
              <w:rPr>
                <w:rFonts w:ascii="Calibri" w:eastAsia="Times New Roman" w:hAnsi="Calibri" w:cs="Times New Roman"/>
                <w:lang w:eastAsia="en-GB"/>
              </w:rPr>
              <w:t>c</w:t>
            </w:r>
            <w:r w:rsidRPr="622EBFD4">
              <w:rPr>
                <w:rFonts w:ascii="Calibri" w:eastAsia="Times New Roman" w:hAnsi="Calibri" w:cs="Times New Roman"/>
                <w:lang w:eastAsia="en-GB"/>
              </w:rPr>
              <w:t>atering): 3</w:t>
            </w:r>
            <w:r w:rsidR="0FB37AC4" w:rsidRPr="622EBFD4">
              <w:rPr>
                <w:rFonts w:ascii="Calibri" w:eastAsia="Times New Roman" w:hAnsi="Calibri" w:cs="Times New Roman"/>
                <w:lang w:eastAsia="en-GB"/>
              </w:rPr>
              <w:t xml:space="preserve">.3 </w:t>
            </w:r>
            <w:r w:rsidRPr="622EBFD4">
              <w:rPr>
                <w:rFonts w:ascii="Calibri" w:eastAsia="Times New Roman" w:hAnsi="Calibri" w:cs="Times New Roman"/>
                <w:lang w:eastAsia="en-GB"/>
              </w:rPr>
              <w:t>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xml:space="preserve">  </w:t>
            </w:r>
          </w:p>
        </w:tc>
      </w:tr>
      <w:tr w:rsidR="006937B1" w:rsidRPr="000019D9" w14:paraId="68D807AC" w14:textId="77777777" w:rsidTr="622EBFD4">
        <w:trPr>
          <w:trHeight w:val="300"/>
        </w:trPr>
        <w:tc>
          <w:tcPr>
            <w:tcW w:w="13832" w:type="dxa"/>
            <w:gridSpan w:val="3"/>
            <w:tcBorders>
              <w:top w:val="nil"/>
              <w:left w:val="nil"/>
              <w:bottom w:val="nil"/>
              <w:right w:val="nil"/>
            </w:tcBorders>
            <w:shd w:val="clear" w:color="auto" w:fill="FFFFFF" w:themeFill="background1"/>
            <w:hideMark/>
          </w:tcPr>
          <w:p w14:paraId="241C32DD" w14:textId="4F8DF6B2"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[b] 100mm brickwork, 50mm Stone</w:t>
            </w:r>
            <w:r w:rsidR="0003534F">
              <w:rPr>
                <w:rFonts w:ascii="Calibri" w:eastAsia="Times New Roman" w:hAnsi="Calibri" w:cs="Times New Roman"/>
                <w:lang w:eastAsia="en-GB"/>
              </w:rPr>
              <w:t xml:space="preserve"> </w:t>
            </w:r>
            <w:r w:rsidRPr="000019D9">
              <w:rPr>
                <w:rFonts w:ascii="Calibri" w:eastAsia="Times New Roman" w:hAnsi="Calibri" w:cs="Times New Roman"/>
                <w:lang w:eastAsia="en-GB"/>
              </w:rPr>
              <w:t>wool insulation, 100mm</w:t>
            </w:r>
            <w:r>
              <w:rPr>
                <w:rFonts w:ascii="Calibri" w:eastAsia="Times New Roman" w:hAnsi="Calibri" w:cs="Times New Roman"/>
                <w:lang w:eastAsia="en-GB"/>
              </w:rPr>
              <w:t xml:space="preserve"> blockwork, 10mm plasterboards</w:t>
            </w:r>
          </w:p>
        </w:tc>
      </w:tr>
      <w:tr w:rsidR="006937B1" w:rsidRPr="000019D9" w14:paraId="3F80F498"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42AB44F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[c] 25mm Clay tile roofing, loft space, 180mm glass fibre quilt insulation, 10mm plasterboards </w:t>
            </w:r>
          </w:p>
        </w:tc>
      </w:tr>
      <w:tr w:rsidR="006937B1" w:rsidRPr="000019D9" w14:paraId="5EBA1191"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51344EA6" w14:textId="71BED4FA"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[d] 100mm cast concrete, 7mm screed, 4mm high gauge polythene DPM, </w:t>
            </w:r>
            <w:r>
              <w:rPr>
                <w:rFonts w:ascii="Calibri" w:eastAsia="Times New Roman" w:hAnsi="Calibri" w:cs="Times New Roman"/>
                <w:lang w:eastAsia="en-GB"/>
              </w:rPr>
              <w:t>5 mm foil-</w:t>
            </w:r>
            <w:r w:rsidRPr="00715275">
              <w:rPr>
                <w:rFonts w:ascii="Calibri" w:eastAsia="Times New Roman" w:hAnsi="Calibri" w:cs="Times New Roman"/>
                <w:lang w:eastAsia="en-GB"/>
              </w:rPr>
              <w:t xml:space="preserve">backed </w:t>
            </w:r>
            <w:r w:rsidR="00001941" w:rsidRPr="00715275">
              <w:rPr>
                <w:rFonts w:ascii="Calibri" w:eastAsia="Times New Roman" w:hAnsi="Calibri" w:cs="Times New Roman"/>
                <w:lang w:eastAsia="en-GB"/>
              </w:rPr>
              <w:t>underlay</w:t>
            </w:r>
            <w:r w:rsidR="00001941">
              <w:rPr>
                <w:rFonts w:ascii="Calibri" w:eastAsia="Times New Roman" w:hAnsi="Calibri" w:cs="Times New Roman"/>
                <w:lang w:eastAsia="en-GB"/>
              </w:rPr>
              <w:t>,</w:t>
            </w:r>
            <w:r w:rsidRPr="000019D9">
              <w:rPr>
                <w:rFonts w:ascii="Calibri" w:eastAsia="Times New Roman" w:hAnsi="Calibri" w:cs="Times New Roman"/>
                <w:lang w:eastAsia="en-GB"/>
              </w:rPr>
              <w:t xml:space="preserve"> 15mm solid wood flooring  </w:t>
            </w:r>
          </w:p>
        </w:tc>
      </w:tr>
      <w:tr w:rsidR="006937B1" w:rsidRPr="000019D9" w14:paraId="07AB66DA"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2340CAA8" w14:textId="7A80A3E9"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 Empirical values derived from table 4.16 (CIBSE Guide A) for a </w:t>
            </w:r>
            <w:r w:rsidR="00001941" w:rsidRPr="000019D9">
              <w:rPr>
                <w:rFonts w:ascii="Calibri" w:eastAsia="Times New Roman" w:hAnsi="Calibri" w:cs="Times New Roman"/>
                <w:lang w:eastAsia="en-GB"/>
              </w:rPr>
              <w:t>two-storey</w:t>
            </w:r>
            <w:r w:rsidRPr="000019D9">
              <w:rPr>
                <w:rFonts w:ascii="Calibri" w:eastAsia="Times New Roman" w:hAnsi="Calibri" w:cs="Times New Roman"/>
                <w:lang w:eastAsia="en-GB"/>
              </w:rPr>
              <w:t xml:space="preserve"> property on normally exposed site</w:t>
            </w:r>
          </w:p>
        </w:tc>
      </w:tr>
    </w:tbl>
    <w:p w14:paraId="1BD8C0FC" w14:textId="77777777" w:rsidR="006937B1" w:rsidRDefault="006937B1" w:rsidP="006937B1"/>
    <w:p w14:paraId="657031DA" w14:textId="77777777" w:rsidR="006937B1" w:rsidRDefault="006937B1" w:rsidP="006937B1"/>
    <w:p w14:paraId="4EE3FAC4" w14:textId="77777777" w:rsidR="006937B1" w:rsidRDefault="006937B1" w:rsidP="006937B1"/>
    <w:p w14:paraId="39C27A5C" w14:textId="769B8AE1" w:rsidR="00E77B25" w:rsidRDefault="00E77B25" w:rsidP="00B965D3">
      <w:r>
        <w:t xml:space="preserve">Table </w:t>
      </w:r>
      <w:r w:rsidR="00B965D3">
        <w:t>3</w:t>
      </w:r>
      <w:r>
        <w:t xml:space="preserve"> Input parameter variations for Bayesian emulator development</w:t>
      </w:r>
    </w:p>
    <w:tbl>
      <w:tblPr>
        <w:tblStyle w:val="TableGrid"/>
        <w:tblW w:w="0" w:type="auto"/>
        <w:tblLook w:val="04A0" w:firstRow="1" w:lastRow="0" w:firstColumn="1" w:lastColumn="0" w:noHBand="0" w:noVBand="1"/>
      </w:tblPr>
      <w:tblGrid>
        <w:gridCol w:w="1902"/>
        <w:gridCol w:w="1722"/>
        <w:gridCol w:w="1371"/>
        <w:gridCol w:w="1544"/>
        <w:gridCol w:w="1543"/>
        <w:gridCol w:w="1543"/>
        <w:gridCol w:w="1582"/>
        <w:gridCol w:w="1552"/>
        <w:gridCol w:w="1189"/>
      </w:tblGrid>
      <w:tr w:rsidR="00812045" w14:paraId="441BDA66" w14:textId="5A70FA8B" w:rsidTr="008747B6">
        <w:tc>
          <w:tcPr>
            <w:tcW w:w="1929" w:type="dxa"/>
          </w:tcPr>
          <w:p w14:paraId="1B17FE88" w14:textId="77777777" w:rsidR="00812045" w:rsidRPr="008747B6" w:rsidRDefault="00812045" w:rsidP="00047752">
            <w:pPr>
              <w:rPr>
                <w:sz w:val="18"/>
                <w:szCs w:val="18"/>
              </w:rPr>
            </w:pPr>
            <w:bookmarkStart w:id="2" w:name="OLE_LINK1"/>
            <w:r w:rsidRPr="008747B6">
              <w:rPr>
                <w:sz w:val="18"/>
                <w:szCs w:val="18"/>
              </w:rPr>
              <w:t>Variable</w:t>
            </w:r>
          </w:p>
        </w:tc>
        <w:tc>
          <w:tcPr>
            <w:tcW w:w="1752" w:type="dxa"/>
          </w:tcPr>
          <w:p w14:paraId="028C6C45" w14:textId="77777777" w:rsidR="00812045" w:rsidRDefault="00812045" w:rsidP="00047752">
            <w:r>
              <w:t>V1</w:t>
            </w:r>
          </w:p>
        </w:tc>
        <w:tc>
          <w:tcPr>
            <w:tcW w:w="1383" w:type="dxa"/>
          </w:tcPr>
          <w:p w14:paraId="602243C5" w14:textId="77777777" w:rsidR="00812045" w:rsidRDefault="00812045" w:rsidP="00047752">
            <w:r>
              <w:t>V2</w:t>
            </w:r>
          </w:p>
        </w:tc>
        <w:tc>
          <w:tcPr>
            <w:tcW w:w="1567" w:type="dxa"/>
          </w:tcPr>
          <w:p w14:paraId="1D8EB8F5" w14:textId="77777777" w:rsidR="00812045" w:rsidRDefault="00812045" w:rsidP="00047752">
            <w:r>
              <w:t>V3</w:t>
            </w:r>
          </w:p>
        </w:tc>
        <w:tc>
          <w:tcPr>
            <w:tcW w:w="1567" w:type="dxa"/>
          </w:tcPr>
          <w:p w14:paraId="075A5810" w14:textId="77777777" w:rsidR="00812045" w:rsidRDefault="00812045" w:rsidP="00047752">
            <w:r>
              <w:t>V4</w:t>
            </w:r>
          </w:p>
        </w:tc>
        <w:tc>
          <w:tcPr>
            <w:tcW w:w="1567" w:type="dxa"/>
          </w:tcPr>
          <w:p w14:paraId="2FF1151C" w14:textId="77777777" w:rsidR="00812045" w:rsidRDefault="00812045" w:rsidP="00047752">
            <w:r>
              <w:t>V5</w:t>
            </w:r>
          </w:p>
        </w:tc>
        <w:tc>
          <w:tcPr>
            <w:tcW w:w="1598" w:type="dxa"/>
          </w:tcPr>
          <w:p w14:paraId="4EC3AEF5" w14:textId="77777777" w:rsidR="00812045" w:rsidRDefault="00812045" w:rsidP="00047752">
            <w:r>
              <w:t>V6</w:t>
            </w:r>
          </w:p>
        </w:tc>
        <w:tc>
          <w:tcPr>
            <w:tcW w:w="1390" w:type="dxa"/>
          </w:tcPr>
          <w:p w14:paraId="149F0AF4" w14:textId="0210FB6F" w:rsidR="00812045" w:rsidRDefault="00812045" w:rsidP="00047752">
            <w:r>
              <w:t>V7</w:t>
            </w:r>
          </w:p>
        </w:tc>
        <w:tc>
          <w:tcPr>
            <w:tcW w:w="1195" w:type="dxa"/>
          </w:tcPr>
          <w:p w14:paraId="3B488BCD" w14:textId="65553329" w:rsidR="00812045" w:rsidRDefault="00104A76" w:rsidP="00047752">
            <w:r>
              <w:t>V8</w:t>
            </w:r>
          </w:p>
        </w:tc>
      </w:tr>
      <w:tr w:rsidR="00812045" w14:paraId="63E3E150" w14:textId="69280120" w:rsidTr="008747B6">
        <w:tc>
          <w:tcPr>
            <w:tcW w:w="1929" w:type="dxa"/>
          </w:tcPr>
          <w:p w14:paraId="7B965C62" w14:textId="77777777" w:rsidR="00812045" w:rsidRPr="008747B6" w:rsidRDefault="00812045" w:rsidP="00047752">
            <w:pPr>
              <w:rPr>
                <w:sz w:val="18"/>
                <w:szCs w:val="18"/>
              </w:rPr>
            </w:pPr>
            <w:r w:rsidRPr="008747B6">
              <w:rPr>
                <w:sz w:val="18"/>
                <w:szCs w:val="18"/>
              </w:rPr>
              <w:t>Description</w:t>
            </w:r>
          </w:p>
        </w:tc>
        <w:tc>
          <w:tcPr>
            <w:tcW w:w="1752" w:type="dxa"/>
          </w:tcPr>
          <w:p w14:paraId="526319EE" w14:textId="273C72DB" w:rsidR="00812045" w:rsidRDefault="00BA0272" w:rsidP="00047752">
            <w:r>
              <w:rPr>
                <w:rFonts w:ascii="Calibri" w:hAnsi="Calibri"/>
                <w:color w:val="000000"/>
              </w:rPr>
              <w:t>Heating setpoint</w:t>
            </w:r>
            <w:r w:rsidR="00812045">
              <w:rPr>
                <w:rFonts w:ascii="Calibri" w:hAnsi="Calibri"/>
                <w:color w:val="000000"/>
              </w:rPr>
              <w:br/>
              <w:t>[17.5°C-20.5°</w:t>
            </w:r>
            <w:r w:rsidR="00F7590E">
              <w:rPr>
                <w:rFonts w:ascii="Calibri" w:hAnsi="Calibri"/>
                <w:color w:val="000000"/>
              </w:rPr>
              <w:t>C]</w:t>
            </w:r>
          </w:p>
        </w:tc>
        <w:tc>
          <w:tcPr>
            <w:tcW w:w="1383" w:type="dxa"/>
          </w:tcPr>
          <w:p w14:paraId="3EE6A2E4" w14:textId="77777777" w:rsidR="00812045" w:rsidRDefault="00812045" w:rsidP="00047752">
            <w:r>
              <w:rPr>
                <w:rFonts w:ascii="Calibri" w:hAnsi="Calibri"/>
                <w:color w:val="000000"/>
              </w:rPr>
              <w:t>Boiler seasonal efficiency</w:t>
            </w:r>
          </w:p>
        </w:tc>
        <w:tc>
          <w:tcPr>
            <w:tcW w:w="1567" w:type="dxa"/>
          </w:tcPr>
          <w:p w14:paraId="3103E018" w14:textId="77777777" w:rsidR="00812045" w:rsidRDefault="00812045" w:rsidP="00047752">
            <w:r>
              <w:rPr>
                <w:rFonts w:ascii="Calibri" w:hAnsi="Calibri"/>
                <w:color w:val="000000"/>
              </w:rPr>
              <w:t>External wall U-value</w:t>
            </w:r>
          </w:p>
        </w:tc>
        <w:tc>
          <w:tcPr>
            <w:tcW w:w="1567" w:type="dxa"/>
          </w:tcPr>
          <w:p w14:paraId="7CB8B555" w14:textId="77777777" w:rsidR="00812045" w:rsidRDefault="00812045" w:rsidP="00047752">
            <w:r>
              <w:t>Roof U-Value</w:t>
            </w:r>
          </w:p>
        </w:tc>
        <w:tc>
          <w:tcPr>
            <w:tcW w:w="1567" w:type="dxa"/>
          </w:tcPr>
          <w:p w14:paraId="55117C0F" w14:textId="77777777" w:rsidR="00812045" w:rsidRDefault="00812045" w:rsidP="00047752">
            <w:r>
              <w:t>Floor U-value</w:t>
            </w:r>
          </w:p>
        </w:tc>
        <w:tc>
          <w:tcPr>
            <w:tcW w:w="1598" w:type="dxa"/>
          </w:tcPr>
          <w:p w14:paraId="1AD120CC" w14:textId="77777777" w:rsidR="00812045" w:rsidRDefault="00812045" w:rsidP="00047752">
            <w:r>
              <w:t>Infiltration rate (ach)</w:t>
            </w:r>
          </w:p>
        </w:tc>
        <w:tc>
          <w:tcPr>
            <w:tcW w:w="1390" w:type="dxa"/>
          </w:tcPr>
          <w:p w14:paraId="4841D64D" w14:textId="77777777" w:rsidR="00812045" w:rsidRDefault="00812045" w:rsidP="00047752">
            <w:r>
              <w:t>DHW consumption</w:t>
            </w:r>
          </w:p>
          <w:p w14:paraId="5BD74F83" w14:textId="172B8C9F" w:rsidR="00104A76" w:rsidRDefault="008F757A" w:rsidP="00047752">
            <w:r>
              <w:t>(L/day</w:t>
            </w:r>
            <w:r w:rsidR="008747B6">
              <w:t>/person</w:t>
            </w:r>
            <w:r w:rsidR="00104A76">
              <w:t>)</w:t>
            </w:r>
          </w:p>
        </w:tc>
        <w:tc>
          <w:tcPr>
            <w:tcW w:w="1195" w:type="dxa"/>
          </w:tcPr>
          <w:p w14:paraId="3EC017AB" w14:textId="109896BF" w:rsidR="00812045" w:rsidRDefault="00104A76" w:rsidP="00047752">
            <w:r>
              <w:t>Cooking</w:t>
            </w:r>
          </w:p>
        </w:tc>
      </w:tr>
      <w:tr w:rsidR="00812045" w14:paraId="06D1F72E" w14:textId="6A58DC4D" w:rsidTr="005D08F2">
        <w:trPr>
          <w:trHeight w:val="463"/>
        </w:trPr>
        <w:tc>
          <w:tcPr>
            <w:tcW w:w="1929" w:type="dxa"/>
          </w:tcPr>
          <w:p w14:paraId="3847A489" w14:textId="14626D7D" w:rsidR="00812045" w:rsidRPr="008747B6" w:rsidRDefault="00812045" w:rsidP="008747B6">
            <w:pPr>
              <w:rPr>
                <w:sz w:val="18"/>
                <w:szCs w:val="18"/>
              </w:rPr>
            </w:pPr>
            <w:r w:rsidRPr="008747B6">
              <w:rPr>
                <w:sz w:val="18"/>
                <w:szCs w:val="18"/>
              </w:rPr>
              <w:t>Base model input</w:t>
            </w:r>
            <w:r w:rsidR="008747B6">
              <w:rPr>
                <w:sz w:val="18"/>
                <w:szCs w:val="18"/>
              </w:rPr>
              <w:t xml:space="preserve"> (1</w:t>
            </w:r>
            <w:r w:rsidR="008747B6" w:rsidRPr="008747B6">
              <w:rPr>
                <w:sz w:val="18"/>
                <w:szCs w:val="18"/>
                <w:vertAlign w:val="superscript"/>
              </w:rPr>
              <w:t>st</w:t>
            </w:r>
            <w:r w:rsidR="008747B6">
              <w:rPr>
                <w:sz w:val="18"/>
                <w:szCs w:val="18"/>
              </w:rPr>
              <w:t xml:space="preserve"> wave)</w:t>
            </w:r>
          </w:p>
        </w:tc>
        <w:tc>
          <w:tcPr>
            <w:tcW w:w="1752" w:type="dxa"/>
          </w:tcPr>
          <w:p w14:paraId="2F7FF9E1" w14:textId="77777777" w:rsidR="00812045" w:rsidRDefault="00812045" w:rsidP="005D08F2">
            <w:r>
              <w:t>19°C</w:t>
            </w:r>
          </w:p>
        </w:tc>
        <w:tc>
          <w:tcPr>
            <w:tcW w:w="1383" w:type="dxa"/>
          </w:tcPr>
          <w:p w14:paraId="5BA20BF9" w14:textId="77777777" w:rsidR="00812045" w:rsidRDefault="00812045" w:rsidP="005D08F2">
            <w:r>
              <w:t>65%</w:t>
            </w:r>
          </w:p>
        </w:tc>
        <w:tc>
          <w:tcPr>
            <w:tcW w:w="1567" w:type="dxa"/>
          </w:tcPr>
          <w:p w14:paraId="72B22420" w14:textId="77777777" w:rsidR="00812045" w:rsidRDefault="00812045" w:rsidP="005D08F2">
            <w:r w:rsidRPr="000019D9">
              <w:rPr>
                <w:rFonts w:ascii="Calibri" w:eastAsia="Times New Roman" w:hAnsi="Calibri" w:cs="Times New Roman"/>
                <w:lang w:eastAsia="en-GB"/>
              </w:rPr>
              <w:t>0.544</w:t>
            </w:r>
          </w:p>
        </w:tc>
        <w:tc>
          <w:tcPr>
            <w:tcW w:w="1567" w:type="dxa"/>
            <w:vAlign w:val="center"/>
          </w:tcPr>
          <w:p w14:paraId="3720C335"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567" w:type="dxa"/>
            <w:vAlign w:val="center"/>
          </w:tcPr>
          <w:p w14:paraId="7EED8B29"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0.337</w:t>
            </w:r>
          </w:p>
        </w:tc>
        <w:tc>
          <w:tcPr>
            <w:tcW w:w="1598" w:type="dxa"/>
          </w:tcPr>
          <w:p w14:paraId="7A00ABF6" w14:textId="77777777" w:rsidR="00812045" w:rsidRDefault="00812045" w:rsidP="005D08F2">
            <w:r>
              <w:t>0.5</w:t>
            </w:r>
          </w:p>
        </w:tc>
        <w:tc>
          <w:tcPr>
            <w:tcW w:w="1390" w:type="dxa"/>
          </w:tcPr>
          <w:p w14:paraId="117AB87C" w14:textId="7FF0565B" w:rsidR="00D056B2" w:rsidRDefault="008747B6" w:rsidP="005D08F2">
            <w:r>
              <w:t>300</w:t>
            </w:r>
            <w:r w:rsidR="005D08F2">
              <w:t xml:space="preserve"> (1</w:t>
            </w:r>
            <w:r w:rsidR="005D08F2" w:rsidRPr="005D08F2">
              <w:rPr>
                <w:vertAlign w:val="superscript"/>
              </w:rPr>
              <w:t>st</w:t>
            </w:r>
            <w:r w:rsidR="005D08F2">
              <w:t xml:space="preserve"> wave)</w:t>
            </w:r>
          </w:p>
          <w:p w14:paraId="404E5299" w14:textId="5C3E94CD" w:rsidR="005D08F2" w:rsidRDefault="005D08F2" w:rsidP="005D08F2">
            <w:r>
              <w:t>120 (2</w:t>
            </w:r>
            <w:r w:rsidRPr="005D08F2">
              <w:rPr>
                <w:vertAlign w:val="superscript"/>
              </w:rPr>
              <w:t>nd</w:t>
            </w:r>
            <w:r>
              <w:t xml:space="preserve"> wave)</w:t>
            </w:r>
          </w:p>
          <w:p w14:paraId="4AE51FA0" w14:textId="6648C082" w:rsidR="00D056B2" w:rsidRDefault="00D056B2" w:rsidP="005D08F2"/>
        </w:tc>
        <w:tc>
          <w:tcPr>
            <w:tcW w:w="1195" w:type="dxa"/>
          </w:tcPr>
          <w:p w14:paraId="6E08665D" w14:textId="7E5614DC" w:rsidR="00D056B2" w:rsidRDefault="005D08F2" w:rsidP="006A5E18">
            <w:r>
              <w:t>3% of total domestic energy use</w:t>
            </w:r>
          </w:p>
        </w:tc>
      </w:tr>
      <w:tr w:rsidR="008747B6" w14:paraId="6497EA19" w14:textId="77777777" w:rsidTr="008747B6">
        <w:tc>
          <w:tcPr>
            <w:tcW w:w="1929" w:type="dxa"/>
          </w:tcPr>
          <w:p w14:paraId="448348AC" w14:textId="328FDA10" w:rsidR="008747B6" w:rsidRPr="008747B6" w:rsidRDefault="008747B6" w:rsidP="008747B6">
            <w:pPr>
              <w:rPr>
                <w:sz w:val="18"/>
                <w:szCs w:val="18"/>
              </w:rPr>
            </w:pPr>
            <w:r w:rsidRPr="008747B6">
              <w:rPr>
                <w:sz w:val="18"/>
                <w:szCs w:val="18"/>
              </w:rPr>
              <w:t>Base model input</w:t>
            </w:r>
            <w:r>
              <w:rPr>
                <w:sz w:val="18"/>
                <w:szCs w:val="18"/>
              </w:rPr>
              <w:t xml:space="preserve"> (2nd wave)</w:t>
            </w:r>
          </w:p>
        </w:tc>
        <w:tc>
          <w:tcPr>
            <w:tcW w:w="1752" w:type="dxa"/>
          </w:tcPr>
          <w:p w14:paraId="7B87D8E1" w14:textId="139B1A58" w:rsidR="008747B6" w:rsidRDefault="008747B6" w:rsidP="005D08F2">
            <w:r>
              <w:t>17</w:t>
            </w:r>
            <w:r w:rsidR="005D08F2">
              <w:t>.5</w:t>
            </w:r>
            <w:r>
              <w:t>°C</w:t>
            </w:r>
          </w:p>
        </w:tc>
        <w:tc>
          <w:tcPr>
            <w:tcW w:w="1383" w:type="dxa"/>
          </w:tcPr>
          <w:p w14:paraId="25982D3F" w14:textId="6E045E0B" w:rsidR="008747B6" w:rsidRDefault="008747B6" w:rsidP="005D08F2">
            <w:r>
              <w:t>65%</w:t>
            </w:r>
          </w:p>
        </w:tc>
        <w:tc>
          <w:tcPr>
            <w:tcW w:w="1567" w:type="dxa"/>
          </w:tcPr>
          <w:p w14:paraId="5A0C86F4" w14:textId="5A8A80F9" w:rsidR="008747B6" w:rsidRPr="005D08F2" w:rsidRDefault="008747B6" w:rsidP="005D08F2">
            <w:r w:rsidRPr="005D08F2">
              <w:t>0.544</w:t>
            </w:r>
          </w:p>
        </w:tc>
        <w:tc>
          <w:tcPr>
            <w:tcW w:w="1567" w:type="dxa"/>
            <w:vAlign w:val="center"/>
          </w:tcPr>
          <w:p w14:paraId="2DA219E8" w14:textId="3E25B113" w:rsidR="008747B6" w:rsidRPr="005D08F2" w:rsidRDefault="008747B6" w:rsidP="005D08F2">
            <w:r w:rsidRPr="005D08F2">
              <w:t>0.213</w:t>
            </w:r>
          </w:p>
        </w:tc>
        <w:tc>
          <w:tcPr>
            <w:tcW w:w="1567" w:type="dxa"/>
            <w:vAlign w:val="center"/>
          </w:tcPr>
          <w:p w14:paraId="3EC895E6" w14:textId="653FC696" w:rsidR="008747B6" w:rsidRPr="005D08F2" w:rsidRDefault="008747B6" w:rsidP="005D08F2">
            <w:r w:rsidRPr="005D08F2">
              <w:t>0.337</w:t>
            </w:r>
          </w:p>
        </w:tc>
        <w:tc>
          <w:tcPr>
            <w:tcW w:w="1598" w:type="dxa"/>
          </w:tcPr>
          <w:p w14:paraId="302B705F" w14:textId="7F9A7520" w:rsidR="008747B6" w:rsidRDefault="008747B6" w:rsidP="005D08F2">
            <w:r>
              <w:t>0.5</w:t>
            </w:r>
          </w:p>
        </w:tc>
        <w:tc>
          <w:tcPr>
            <w:tcW w:w="1390" w:type="dxa"/>
          </w:tcPr>
          <w:p w14:paraId="0D82C1DC" w14:textId="1101D2CE" w:rsidR="008747B6" w:rsidRDefault="008747B6" w:rsidP="005D08F2">
            <w:r>
              <w:t>120</w:t>
            </w:r>
          </w:p>
        </w:tc>
        <w:tc>
          <w:tcPr>
            <w:tcW w:w="1195" w:type="dxa"/>
          </w:tcPr>
          <w:p w14:paraId="6C53C420" w14:textId="361B4097" w:rsidR="008747B6" w:rsidRDefault="008747B6" w:rsidP="008747B6"/>
        </w:tc>
      </w:tr>
      <w:tr w:rsidR="008747B6" w14:paraId="5987AF18" w14:textId="534BE94E" w:rsidTr="008747B6">
        <w:tc>
          <w:tcPr>
            <w:tcW w:w="1929" w:type="dxa"/>
          </w:tcPr>
          <w:p w14:paraId="40044819" w14:textId="77777777" w:rsidR="008747B6" w:rsidRPr="008747B6" w:rsidRDefault="008747B6" w:rsidP="008747B6">
            <w:pPr>
              <w:rPr>
                <w:sz w:val="18"/>
                <w:szCs w:val="18"/>
              </w:rPr>
            </w:pPr>
            <w:r w:rsidRPr="008747B6">
              <w:rPr>
                <w:sz w:val="18"/>
                <w:szCs w:val="18"/>
              </w:rPr>
              <w:t>Range of variation</w:t>
            </w:r>
          </w:p>
        </w:tc>
        <w:tc>
          <w:tcPr>
            <w:tcW w:w="1752" w:type="dxa"/>
          </w:tcPr>
          <w:p w14:paraId="7F4EBD3F" w14:textId="77777777" w:rsidR="008747B6" w:rsidRDefault="008747B6" w:rsidP="008747B6">
            <w:r w:rsidRPr="000019D9">
              <w:rPr>
                <w:rFonts w:ascii="Calibri" w:eastAsia="Times New Roman" w:hAnsi="Calibri" w:cs="Times New Roman"/>
                <w:lang w:eastAsia="en-GB"/>
              </w:rPr>
              <w:t xml:space="preserve">± </w:t>
            </w:r>
            <w:r>
              <w:rPr>
                <w:rFonts w:ascii="Calibri" w:eastAsia="Times New Roman" w:hAnsi="Calibri" w:cs="Times New Roman"/>
                <w:lang w:eastAsia="en-GB"/>
              </w:rPr>
              <w:t>1.5°C</w:t>
            </w:r>
          </w:p>
        </w:tc>
        <w:tc>
          <w:tcPr>
            <w:tcW w:w="1383" w:type="dxa"/>
          </w:tcPr>
          <w:p w14:paraId="0ABF15BF" w14:textId="77777777" w:rsidR="008747B6" w:rsidRDefault="008747B6" w:rsidP="008747B6">
            <w:r>
              <w:rPr>
                <w:rFonts w:ascii="Calibri" w:eastAsia="Times New Roman" w:hAnsi="Calibri" w:cs="Times New Roman"/>
                <w:lang w:eastAsia="en-GB"/>
              </w:rPr>
              <w:t>60% – 75%</w:t>
            </w:r>
          </w:p>
        </w:tc>
        <w:tc>
          <w:tcPr>
            <w:tcW w:w="1567" w:type="dxa"/>
          </w:tcPr>
          <w:p w14:paraId="5FB1FD9A" w14:textId="77777777" w:rsidR="008747B6" w:rsidRDefault="008747B6" w:rsidP="008747B6">
            <w:r w:rsidRPr="000019D9">
              <w:rPr>
                <w:rFonts w:ascii="Calibri" w:eastAsia="Times New Roman" w:hAnsi="Calibri" w:cs="Times New Roman"/>
                <w:lang w:eastAsia="en-GB"/>
              </w:rPr>
              <w:t>± 15%</w:t>
            </w:r>
          </w:p>
        </w:tc>
        <w:tc>
          <w:tcPr>
            <w:tcW w:w="1567" w:type="dxa"/>
          </w:tcPr>
          <w:p w14:paraId="4A5AE625" w14:textId="77777777" w:rsidR="008747B6" w:rsidRDefault="008747B6" w:rsidP="008747B6">
            <w:r w:rsidRPr="000019D9">
              <w:rPr>
                <w:rFonts w:ascii="Calibri" w:eastAsia="Times New Roman" w:hAnsi="Calibri" w:cs="Times New Roman"/>
                <w:lang w:eastAsia="en-GB"/>
              </w:rPr>
              <w:t>± 15%</w:t>
            </w:r>
          </w:p>
        </w:tc>
        <w:tc>
          <w:tcPr>
            <w:tcW w:w="1567" w:type="dxa"/>
          </w:tcPr>
          <w:p w14:paraId="1C3BF42F" w14:textId="77777777" w:rsidR="008747B6" w:rsidRDefault="008747B6" w:rsidP="008747B6">
            <w:r w:rsidRPr="000019D9">
              <w:rPr>
                <w:rFonts w:ascii="Calibri" w:eastAsia="Times New Roman" w:hAnsi="Calibri" w:cs="Times New Roman"/>
                <w:lang w:eastAsia="en-GB"/>
              </w:rPr>
              <w:t>± 5%</w:t>
            </w:r>
          </w:p>
        </w:tc>
        <w:tc>
          <w:tcPr>
            <w:tcW w:w="1598" w:type="dxa"/>
          </w:tcPr>
          <w:p w14:paraId="43136147" w14:textId="7FE8768A" w:rsidR="008747B6" w:rsidRDefault="008747B6" w:rsidP="008747B6">
            <w:r>
              <w:rPr>
                <w:rFonts w:ascii="Calibri" w:eastAsia="Times New Roman" w:hAnsi="Calibri" w:cs="Times New Roman"/>
                <w:lang w:eastAsia="en-GB"/>
              </w:rPr>
              <w:t>0.25 to 0.95</w:t>
            </w:r>
          </w:p>
        </w:tc>
        <w:tc>
          <w:tcPr>
            <w:tcW w:w="1390" w:type="dxa"/>
          </w:tcPr>
          <w:p w14:paraId="03B8A9E9" w14:textId="2374F928" w:rsidR="008747B6" w:rsidRDefault="008747B6" w:rsidP="008747B6">
            <w:pPr>
              <w:rPr>
                <w:rFonts w:ascii="Calibri" w:eastAsia="Times New Roman" w:hAnsi="Calibri" w:cs="Times New Roman"/>
                <w:lang w:eastAsia="en-GB"/>
              </w:rPr>
            </w:pPr>
            <w:r>
              <w:t>70-250 L/day</w:t>
            </w:r>
          </w:p>
        </w:tc>
        <w:tc>
          <w:tcPr>
            <w:tcW w:w="1195" w:type="dxa"/>
          </w:tcPr>
          <w:p w14:paraId="2242485A" w14:textId="24762DB2" w:rsidR="008747B6" w:rsidRDefault="008747B6" w:rsidP="008747B6">
            <w:pPr>
              <w:rPr>
                <w:rFonts w:ascii="Calibri" w:eastAsia="Times New Roman" w:hAnsi="Calibri" w:cs="Times New Roman"/>
                <w:lang w:eastAsia="en-GB"/>
              </w:rPr>
            </w:pPr>
            <w:r>
              <w:rPr>
                <w:rFonts w:ascii="Calibri" w:eastAsia="Times New Roman" w:hAnsi="Calibri" w:cs="Times New Roman"/>
                <w:lang w:eastAsia="en-GB"/>
              </w:rPr>
              <w:t>1.05% - 6.3%</w:t>
            </w:r>
          </w:p>
        </w:tc>
      </w:tr>
      <w:tr w:rsidR="008747B6" w14:paraId="1A4F9772" w14:textId="63DE7790" w:rsidTr="008747B6">
        <w:tc>
          <w:tcPr>
            <w:tcW w:w="1929" w:type="dxa"/>
          </w:tcPr>
          <w:p w14:paraId="4554FE71" w14:textId="77777777" w:rsidR="008747B6" w:rsidRPr="008747B6" w:rsidRDefault="008747B6" w:rsidP="008747B6">
            <w:pPr>
              <w:rPr>
                <w:sz w:val="18"/>
                <w:szCs w:val="18"/>
              </w:rPr>
            </w:pPr>
            <w:r w:rsidRPr="008747B6">
              <w:rPr>
                <w:sz w:val="18"/>
                <w:szCs w:val="18"/>
              </w:rPr>
              <w:t>Rational</w:t>
            </w:r>
          </w:p>
        </w:tc>
        <w:tc>
          <w:tcPr>
            <w:tcW w:w="1752" w:type="dxa"/>
          </w:tcPr>
          <w:p w14:paraId="68B1FCE8"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[a]</w:t>
            </w:r>
          </w:p>
        </w:tc>
        <w:tc>
          <w:tcPr>
            <w:tcW w:w="1383" w:type="dxa"/>
          </w:tcPr>
          <w:p w14:paraId="0F40318B" w14:textId="77777777"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[b]</w:t>
            </w:r>
          </w:p>
        </w:tc>
        <w:tc>
          <w:tcPr>
            <w:tcW w:w="1567" w:type="dxa"/>
          </w:tcPr>
          <w:p w14:paraId="2CB94C22"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5BAA7563" w14:textId="72C09FC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35664A48" w14:textId="613E6B5C"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[d]</w:t>
            </w:r>
          </w:p>
        </w:tc>
        <w:tc>
          <w:tcPr>
            <w:tcW w:w="1598" w:type="dxa"/>
          </w:tcPr>
          <w:p w14:paraId="303C748A" w14:textId="6FAFD883"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[e]</w:t>
            </w:r>
          </w:p>
        </w:tc>
        <w:tc>
          <w:tcPr>
            <w:tcW w:w="1390" w:type="dxa"/>
          </w:tcPr>
          <w:p w14:paraId="62BC2324" w14:textId="49317165"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[f]</w:t>
            </w:r>
          </w:p>
        </w:tc>
        <w:tc>
          <w:tcPr>
            <w:tcW w:w="1195" w:type="dxa"/>
          </w:tcPr>
          <w:p w14:paraId="689DCB77" w14:textId="6F0D57A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[g]</w:t>
            </w:r>
          </w:p>
        </w:tc>
      </w:tr>
      <w:tr w:rsidR="008747B6" w14:paraId="2EFFC160" w14:textId="77777777" w:rsidTr="008747B6">
        <w:tc>
          <w:tcPr>
            <w:tcW w:w="1929" w:type="dxa"/>
          </w:tcPr>
          <w:p w14:paraId="1F0E2935" w14:textId="7EEA8FB7" w:rsidR="008747B6" w:rsidRPr="008747B6" w:rsidRDefault="008747B6" w:rsidP="008747B6">
            <w:pPr>
              <w:rPr>
                <w:sz w:val="18"/>
                <w:szCs w:val="18"/>
              </w:rPr>
            </w:pPr>
            <w:r w:rsidRPr="008747B6">
              <w:rPr>
                <w:sz w:val="18"/>
                <w:szCs w:val="18"/>
              </w:rPr>
              <w:t>Uncertainty quantification</w:t>
            </w:r>
          </w:p>
        </w:tc>
        <w:tc>
          <w:tcPr>
            <w:tcW w:w="1752" w:type="dxa"/>
          </w:tcPr>
          <w:p w14:paraId="7D4F8DB3" w14:textId="1D7C232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83" w:type="dxa"/>
          </w:tcPr>
          <w:p w14:paraId="6FFBF5C0" w14:textId="3E5E6F68"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300FABFB" w14:textId="47E4BE80"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64457EF1" w14:textId="2D6D068C"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5923DDAF" w14:textId="4AA0FEBA"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98" w:type="dxa"/>
          </w:tcPr>
          <w:p w14:paraId="4FFC5F43" w14:textId="1D59058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90" w:type="dxa"/>
          </w:tcPr>
          <w:p w14:paraId="1FDF5B44" w14:textId="24AA5F43"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c>
          <w:tcPr>
            <w:tcW w:w="1195" w:type="dxa"/>
          </w:tcPr>
          <w:p w14:paraId="56BD15F2" w14:textId="37154995"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r>
      <w:tr w:rsidR="008747B6" w14:paraId="62B679F8" w14:textId="0893939D" w:rsidTr="008747B6">
        <w:tc>
          <w:tcPr>
            <w:tcW w:w="1929" w:type="dxa"/>
          </w:tcPr>
          <w:p w14:paraId="7A71A490" w14:textId="2A62441F" w:rsidR="008747B6" w:rsidRPr="008747B6" w:rsidRDefault="008747B6" w:rsidP="008747B6">
            <w:pPr>
              <w:rPr>
                <w:sz w:val="18"/>
                <w:szCs w:val="18"/>
              </w:rPr>
            </w:pPr>
            <w:r w:rsidRPr="008747B6">
              <w:rPr>
                <w:sz w:val="18"/>
                <w:szCs w:val="18"/>
              </w:rPr>
              <w:t>Element varied in E+ batch simulations</w:t>
            </w:r>
          </w:p>
        </w:tc>
        <w:tc>
          <w:tcPr>
            <w:tcW w:w="1752" w:type="dxa"/>
          </w:tcPr>
          <w:p w14:paraId="74C31255" w14:textId="3CEBB04A" w:rsidR="008747B6" w:rsidRPr="008747B6" w:rsidRDefault="00F7590E" w:rsidP="008747B6">
            <w:pPr>
              <w:rPr>
                <w:sz w:val="18"/>
                <w:szCs w:val="18"/>
              </w:rPr>
            </w:pPr>
            <w:r w:rsidRPr="008747B6">
              <w:rPr>
                <w:rFonts w:ascii="Calibri" w:hAnsi="Calibri"/>
                <w:color w:val="000000"/>
                <w:sz w:val="18"/>
                <w:szCs w:val="18"/>
              </w:rPr>
              <w:t>Heating setpoint</w:t>
            </w:r>
          </w:p>
        </w:tc>
        <w:tc>
          <w:tcPr>
            <w:tcW w:w="1383" w:type="dxa"/>
          </w:tcPr>
          <w:p w14:paraId="7AA347FA" w14:textId="77777777" w:rsidR="008747B6" w:rsidRPr="008747B6" w:rsidRDefault="008747B6" w:rsidP="008747B6">
            <w:pPr>
              <w:rPr>
                <w:sz w:val="18"/>
                <w:szCs w:val="18"/>
              </w:rPr>
            </w:pPr>
            <w:r w:rsidRPr="008747B6">
              <w:rPr>
                <w:rFonts w:ascii="Calibri" w:hAnsi="Calibri"/>
                <w:color w:val="000000"/>
                <w:sz w:val="18"/>
                <w:szCs w:val="18"/>
              </w:rPr>
              <w:t>Boiler seasonal efficiency</w:t>
            </w:r>
          </w:p>
        </w:tc>
        <w:tc>
          <w:tcPr>
            <w:tcW w:w="1567" w:type="dxa"/>
          </w:tcPr>
          <w:p w14:paraId="650D40D2" w14:textId="7F355CBA" w:rsidR="008747B6" w:rsidRPr="008747B6" w:rsidRDefault="008747B6" w:rsidP="008747B6">
            <w:pPr>
              <w:rPr>
                <w:sz w:val="18"/>
                <w:szCs w:val="18"/>
              </w:rPr>
            </w:pPr>
            <w:r w:rsidRPr="008747B6">
              <w:rPr>
                <w:rFonts w:ascii="Calibri" w:eastAsia="Times New Roman" w:hAnsi="Calibri" w:cs="Times New Roman"/>
                <w:sz w:val="18"/>
                <w:szCs w:val="18"/>
                <w:lang w:eastAsia="en-GB"/>
              </w:rPr>
              <w:t>Wall cavity Insulation thickness [ 40mm-63mm]</w:t>
            </w:r>
          </w:p>
        </w:tc>
        <w:tc>
          <w:tcPr>
            <w:tcW w:w="1567" w:type="dxa"/>
          </w:tcPr>
          <w:p w14:paraId="487CB3FF"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[150mm -210mm]</w:t>
            </w:r>
          </w:p>
        </w:tc>
        <w:tc>
          <w:tcPr>
            <w:tcW w:w="1567" w:type="dxa"/>
          </w:tcPr>
          <w:p w14:paraId="73121334"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[45mm- 55mm]</w:t>
            </w:r>
          </w:p>
        </w:tc>
        <w:tc>
          <w:tcPr>
            <w:tcW w:w="1598" w:type="dxa"/>
          </w:tcPr>
          <w:p w14:paraId="17779C5E" w14:textId="757DA038" w:rsidR="008747B6" w:rsidRPr="008747B6" w:rsidRDefault="008747B6" w:rsidP="008747B6">
            <w:pPr>
              <w:jc w:val="center"/>
              <w:rPr>
                <w:sz w:val="18"/>
                <w:szCs w:val="18"/>
              </w:rPr>
            </w:pPr>
            <w:r w:rsidRPr="008747B6">
              <w:rPr>
                <w:sz w:val="18"/>
                <w:szCs w:val="18"/>
              </w:rPr>
              <w:t>[e]</w:t>
            </w:r>
          </w:p>
        </w:tc>
        <w:tc>
          <w:tcPr>
            <w:tcW w:w="1390" w:type="dxa"/>
          </w:tcPr>
          <w:p w14:paraId="320E21F4" w14:textId="77777777" w:rsidR="008747B6" w:rsidRPr="008747B6" w:rsidRDefault="008747B6" w:rsidP="008747B6">
            <w:pPr>
              <w:jc w:val="center"/>
              <w:rPr>
                <w:sz w:val="18"/>
                <w:szCs w:val="18"/>
              </w:rPr>
            </w:pPr>
          </w:p>
        </w:tc>
        <w:tc>
          <w:tcPr>
            <w:tcW w:w="1195" w:type="dxa"/>
          </w:tcPr>
          <w:p w14:paraId="2092996C" w14:textId="77777777" w:rsidR="008747B6" w:rsidRPr="008747B6" w:rsidRDefault="008747B6" w:rsidP="008747B6">
            <w:pPr>
              <w:jc w:val="center"/>
              <w:rPr>
                <w:sz w:val="18"/>
                <w:szCs w:val="18"/>
              </w:rPr>
            </w:pPr>
          </w:p>
        </w:tc>
      </w:tr>
      <w:tr w:rsidR="008747B6" w14:paraId="250E81BA" w14:textId="33147E3B" w:rsidTr="00047752">
        <w:tc>
          <w:tcPr>
            <w:tcW w:w="13948" w:type="dxa"/>
            <w:gridSpan w:val="9"/>
          </w:tcPr>
          <w:p w14:paraId="42C3B64C" w14:textId="77777777" w:rsidR="008747B6" w:rsidRDefault="008747B6" w:rsidP="008747B6">
            <w:pPr>
              <w:autoSpaceDE w:val="0"/>
              <w:autoSpaceDN w:val="0"/>
              <w:adjustRightInd w:val="0"/>
            </w:pPr>
            <w:r>
              <w:t xml:space="preserve">[a] Manufacturer’s room thermostat resolution reported at </w:t>
            </w:r>
            <w:r w:rsidRPr="00EE7CF8">
              <w:t>± 0.5°C with an additional ± 1°C allowed for time-dependent drift degradation.</w:t>
            </w:r>
          </w:p>
          <w:p w14:paraId="693555E7" w14:textId="7C5ED861" w:rsidR="008747B6" w:rsidRPr="00EE7CF8" w:rsidRDefault="008747B6" w:rsidP="008747B6">
            <w:pPr>
              <w:autoSpaceDE w:val="0"/>
              <w:autoSpaceDN w:val="0"/>
              <w:adjustRightInd w:val="0"/>
            </w:pPr>
            <w:r>
              <w:t>[b] Boiler insulation, heat exchanger and working fluid degradation, limescale and total dissolved solids leading to an accumulated min and Max perfo</w:t>
            </w:r>
            <w:r w:rsidR="00A226DB">
              <w:t xml:space="preserve">rmance degradation of 4% to 23% </w:t>
            </w:r>
            <w:r>
              <w:fldChar w:fldCharType="begin"/>
            </w:r>
            <w:r w:rsidR="00EE2BAE">
              <w:instrText xml:space="preserve"> ADDIN EN.CITE &lt;EndNote&gt;&lt;Cite&gt;&lt;Author&gt;Baldi&lt;/Author&gt;&lt;Year&gt;2017&lt;/Year&gt;&lt;RecNum&gt;2368&lt;/RecNum&gt;&lt;DisplayText&gt;[39, 40]&lt;/DisplayText&gt;&lt;record&gt;&lt;rec-number&gt;2368&lt;/rec-number&gt;&lt;foreign-keys&gt;&lt;key app="EN" db-id="pd9ft9ta59zarqett5ppztd6pxp9vwe2pxd5" timestamp="1605003546"&gt;2368&lt;/key&gt;&lt;/foreign-keys&gt;&lt;ref-type name="Journal Article"&gt;17&lt;/ref-type&gt;&lt;contributors&gt;&lt;authors&gt;&lt;author&gt;Baldi, Simone&lt;/author&gt;&lt;author&gt;Quang, Thuan Le&lt;/author&gt;&lt;author&gt;Holub, Ondrej&lt;/author&gt;&lt;author&gt;Endel, Petr&lt;/author&gt;&lt;/authors&gt;&lt;/contributors&gt;&lt;titles&gt;&lt;title&gt;Real-time monitoring energy efficiency and performance degradation of condensing boilers&lt;/title&gt;&lt;secondary-title&gt;Energy Conversion and Management&lt;/secondary-title&gt;&lt;/titles&gt;&lt;periodical&gt;&lt;full-title&gt;Energy Conversion and Management&lt;/full-title&gt;&lt;/periodical&gt;&lt;pages&gt;329-339&lt;/pages&gt;&lt;volume&gt;136&lt;/volume&gt;&lt;keywords&gt;&lt;keyword&gt;Condensing boilers&lt;/keyword&gt;&lt;keyword&gt;Real-time performance monitoring&lt;/keyword&gt;&lt;keyword&gt;Mass flow virtual sensor&lt;/keyword&gt;&lt;keyword&gt;Fault detection and diagnosis&lt;/keyword&gt;&lt;/keywords&gt;&lt;dates&gt;&lt;year&gt;2017&lt;/year&gt;&lt;pub-dates&gt;&lt;date&gt;2017/03/15/&lt;/date&gt;&lt;/pub-dates&gt;&lt;/dates&gt;&lt;isbn&gt;0196-8904&lt;/isbn&gt;&lt;urls&gt;&lt;related-urls&gt;&lt;url&gt;http://www.sciencedirect.com/science/article/pii/S019689041730016X&lt;/url&gt;&lt;/related-urls&gt;&lt;/urls&gt;&lt;electronic-resource-num&gt;https://doi.org/10.1016/j.enconman.2017.01.016&lt;/electronic-resource-num&gt;&lt;/record&gt;&lt;/Cite&gt;&lt;Cite&gt;&lt;Author&gt;O’Brien&lt;/Author&gt;&lt;Year&gt;(2015)&lt;/Year&gt;&lt;RecNum&gt;2367&lt;/RecNum&gt;&lt;record&gt;&lt;rec-number&gt;2367&lt;/rec-number&gt;&lt;foreign-keys&gt;&lt;key app="EN" db-id="pd9ft9ta59zarqett5ppztd6pxp9vwe2pxd5" timestamp="1605003546"&gt;2367&lt;/key&gt;&lt;/foreign-keys&gt;&lt;ref-type name="Government Document"&gt;46&lt;/ref-type&gt;&lt;contributors&gt;&lt;authors&gt;&lt;author&gt;O’Brien,&lt;/author&gt;&lt;/authors&gt;&lt;/contributors&gt;&lt;titles&gt;&lt;title&gt;Best Practice Guide, Energy Efficiency: Steam, Hot Water and Process Heating Systems &lt;/title&gt;&lt;/titles&gt;&lt;dates&gt;&lt;year&gt;(2015)&lt;/year&gt;&lt;/dates&gt;&lt;publisher&gt;Sustainability Victoria&lt;/publisher&gt;&lt;urls&gt;&lt;/urls&gt;&lt;/record&gt;&lt;/Cite&gt;&lt;/EndNote&gt;</w:instrText>
            </w:r>
            <w:r>
              <w:fldChar w:fldCharType="separate"/>
            </w:r>
            <w:r w:rsidR="00EE2BAE">
              <w:rPr>
                <w:noProof/>
              </w:rPr>
              <w:t>[39, 40]</w:t>
            </w:r>
            <w:r>
              <w:fldChar w:fldCharType="end"/>
            </w:r>
            <w:r>
              <w:t>.</w:t>
            </w:r>
            <w:r w:rsidR="00A226DB">
              <w:t xml:space="preserve"> These levels of degradation were imposed on boiler manufacturer’s quoted efficiency of 78%</w:t>
            </w:r>
          </w:p>
          <w:p w14:paraId="3E2D6605" w14:textId="6B105175" w:rsidR="008747B6" w:rsidRDefault="008747B6" w:rsidP="008747B6">
            <w:pPr>
              <w:autoSpaceDE w:val="0"/>
              <w:autoSpaceDN w:val="0"/>
              <w:adjustRightInd w:val="0"/>
              <w:rPr>
                <w:rFonts w:ascii="Calibri" w:eastAsia="Times New Roman" w:hAnsi="Calibri" w:cs="Times New Roman"/>
                <w:lang w:eastAsia="en-GB"/>
              </w:rPr>
            </w:pPr>
            <w:r w:rsidRPr="00EE7CF8">
              <w:t>[c</w:t>
            </w:r>
            <w:r w:rsidR="00F7590E" w:rsidRPr="00EE7CF8">
              <w:t xml:space="preserve">] </w:t>
            </w:r>
            <w:r w:rsidR="00F7590E">
              <w:t>Although</w:t>
            </w:r>
            <w:r>
              <w:t xml:space="preserve"> most literature report in-situ wall and roof measurements to be better than elemental method calculation suggestions </w:t>
            </w:r>
            <w:r>
              <w:fldChar w:fldCharType="begin">
                <w:fldData xml:space="preserve">PEVuZE5vdGU+PENpdGU+PEF1dGhvcj5EZXNvZ3VzPC9BdXRob3I+PFllYXI+MjAxMTwvWWVhcj48
UmVjTnVtPjIzNTM8L1JlY051bT48RGlzcGxheVRleHQ+WzE0LCAxNiwgMTddPC9EaXNwbGF5VGV4
dD48cmVjb3JkPjxyZWMtbnVtYmVyPjIzNTM8L3JlYy1udW1iZXI+PGZvcmVpZ24ta2V5cz48a2V5
IGFwcD0iRU4iIGRiLWlkPSJwZDlmdDl0YTU5emFycWV0dDVwcHp0ZDZweHA5dndlMnB4ZDUiIHRp
bWVzdGFtcD0iMTYwNTAwMzU0NSI+MjM1Mzwva2V5PjwvZm9yZWlnbi1rZXlzPjxyZWYtdHlwZSBu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Y051bT4yMzU0PC9SZWNOdW0+PHJlY29yZD48cmVjLW51bWJlcj4yMzU0PC9yZWMtbnVtYmVyPjxm
b3JlaWduLWtleXM+PGtleSBhcHA9IkVOIiBkYi1pZD0icGQ5ZnQ5dGE1OXphcnFldHQ1cHB6dGQ2
cHhwOXZ3ZTJweGQ1IiB0aW1lc3RhbXA9IjE2MDUwMDM1NDUiPjIzNTQ8L2tleT48L2ZvcmVpZ24t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PjIzNTU8L1JlY051bT48cmVjb3JkPjxyZWMtbnVtYmVyPjIzNTU8L3JlYy1udW1iZXI+PGZvcmVp
Z24ta2V5cz48a2V5IGFwcD0iRU4iIGRiLWlkPSJwZDlmdDl0YTU5emFycWV0dDVwcHp0ZDZweHA5
dndlMnB4ZDUiIHRpbWVzdGFtcD0iMTYwNTAwMzU0NSI+MjM1NTwva2V5PjwvZm9yZWlnbi1rZXlz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rsidR="00D60E3A">
              <w:instrText xml:space="preserve"> ADDIN EN.CITE </w:instrText>
            </w:r>
            <w:r w:rsidR="00D60E3A">
              <w:fldChar w:fldCharType="begin">
                <w:fldData xml:space="preserve">PEVuZE5vdGU+PENpdGU+PEF1dGhvcj5EZXNvZ3VzPC9BdXRob3I+PFllYXI+MjAxMTwvWWVhcj48
UmVjTnVtPjIzNTM8L1JlY051bT48RGlzcGxheVRleHQ+WzE0LCAxNiwgMTddPC9EaXNwbGF5VGV4
dD48cmVjb3JkPjxyZWMtbnVtYmVyPjIzNTM8L3JlYy1udW1iZXI+PGZvcmVpZ24ta2V5cz48a2V5
IGFwcD0iRU4iIGRiLWlkPSJwZDlmdDl0YTU5emFycWV0dDVwcHp0ZDZweHA5dndlMnB4ZDUiIHRp
bWVzdGFtcD0iMTYwNTAwMzU0NSI+MjM1Mzwva2V5PjwvZm9yZWlnbi1rZXlzPjxyZWYtdHlwZSBu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Y051bT4yMzU0PC9SZWNOdW0+PHJlY29yZD48cmVjLW51bWJlcj4yMzU0PC9yZWMtbnVtYmVyPjxm
b3JlaWduLWtleXM+PGtleSBhcHA9IkVOIiBkYi1pZD0icGQ5ZnQ5dGE1OXphcnFldHQ1cHB6dGQ2
cHhwOXZ3ZTJweGQ1IiB0aW1lc3RhbXA9IjE2MDUwMDM1NDUiPjIzNTQ8L2tleT48L2ZvcmVpZ24t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PjIzNTU8L1JlY051bT48cmVjb3JkPjxyZWMtbnVtYmVyPjIzNTU8L3JlYy1udW1iZXI+PGZvcmVp
Z24ta2V5cz48a2V5IGFwcD0iRU4iIGRiLWlkPSJwZDlmdDl0YTU5emFycWV0dDVwcHp0ZDZweHA5
dndlMnB4ZDUiIHRpbWVzdGFtcD0iMTYwNTAwMzU0NSI+MjM1NTwva2V5PjwvZm9yZWlnbi1rZXlz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rsidR="00D60E3A">
              <w:instrText xml:space="preserve"> ADDIN EN.CITE.DATA </w:instrText>
            </w:r>
            <w:r w:rsidR="00D60E3A">
              <w:fldChar w:fldCharType="end"/>
            </w:r>
            <w:r>
              <w:fldChar w:fldCharType="separate"/>
            </w:r>
            <w:r w:rsidR="00D60E3A">
              <w:rPr>
                <w:noProof/>
              </w:rPr>
              <w:t>[14, 16, 17]</w:t>
            </w:r>
            <w:r>
              <w:fldChar w:fldCharType="end"/>
            </w:r>
            <w:r>
              <w:t xml:space="preserve">, an equally distributed </w:t>
            </w:r>
            <w:r w:rsidRPr="000019D9">
              <w:rPr>
                <w:rFonts w:ascii="Calibri" w:eastAsia="Times New Roman" w:hAnsi="Calibri" w:cs="Times New Roman"/>
                <w:lang w:eastAsia="en-GB"/>
              </w:rPr>
              <w:t>± 15%</w:t>
            </w:r>
            <w:r>
              <w:rPr>
                <w:rFonts w:ascii="Calibri" w:eastAsia="Times New Roman" w:hAnsi="Calibri" w:cs="Times New Roman"/>
                <w:lang w:eastAsia="en-GB"/>
              </w:rPr>
              <w:t xml:space="preserve"> imposed to first cater for </w:t>
            </w:r>
            <w:r w:rsidR="00A226DB">
              <w:rPr>
                <w:rFonts w:ascii="Calibri" w:eastAsia="Times New Roman" w:hAnsi="Calibri" w:cs="Times New Roman"/>
                <w:lang w:eastAsia="en-GB"/>
              </w:rPr>
              <w:t xml:space="preserve">all </w:t>
            </w:r>
            <w:r w:rsidR="008B39E7">
              <w:rPr>
                <w:rFonts w:ascii="Calibri" w:eastAsia="Times New Roman" w:hAnsi="Calibri" w:cs="Times New Roman"/>
                <w:lang w:eastAsia="en-GB"/>
              </w:rPr>
              <w:t>eventualities and</w:t>
            </w:r>
            <w:r>
              <w:rPr>
                <w:rFonts w:ascii="Calibri" w:eastAsia="Times New Roman" w:hAnsi="Calibri" w:cs="Times New Roman"/>
                <w:lang w:eastAsia="en-GB"/>
              </w:rPr>
              <w:t xml:space="preserve"> enable the uncertainty emulator to assess the entire Latin hypercube space (including worst scenario range).</w:t>
            </w:r>
          </w:p>
          <w:p w14:paraId="6EAFA541" w14:textId="176A8F93"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[d] as per [c] although the magnitude of variations reported for floors were smaller than those of walls/roofs </w:t>
            </w:r>
            <w:r>
              <w:rPr>
                <w:rFonts w:ascii="Calibri" w:eastAsia="Times New Roman" w:hAnsi="Calibri" w:cs="Times New Roman"/>
                <w:lang w:eastAsia="en-GB"/>
              </w:rPr>
              <w:fldChar w:fldCharType="begin"/>
            </w:r>
            <w:r w:rsidR="00D60E3A">
              <w:rPr>
                <w:rFonts w:ascii="Calibri" w:eastAsia="Times New Roman" w:hAnsi="Calibri" w:cs="Times New Roman"/>
                <w:lang w:eastAsia="en-GB"/>
              </w:rPr>
              <w:instrText xml:space="preserve"> ADDIN EN.CITE &lt;EndNote&gt;&lt;Cite&gt;&lt;Author&gt;P. Baker&lt;/Author&gt;&lt;Year&gt;2011&lt;/Year&gt;&lt;RecNum&gt;2355&lt;/RecNum&gt;&lt;DisplayText&gt;[17]&lt;/DisplayText&gt;&lt;record&gt;&lt;rec-number&gt;2355&lt;/rec-number&gt;&lt;foreign-keys&gt;&lt;key app="EN" db-id="pd9ft9ta59zarqett5ppztd6pxp9vwe2pxd5" timestamp="1605003545"&gt;2355&lt;/key&gt;&lt;/foreign-keys&gt;&lt;ref-type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Pr>
                <w:rFonts w:ascii="Calibri" w:eastAsia="Times New Roman" w:hAnsi="Calibri" w:cs="Times New Roman"/>
                <w:lang w:eastAsia="en-GB"/>
              </w:rPr>
              <w:fldChar w:fldCharType="separate"/>
            </w:r>
            <w:r w:rsidR="00D60E3A">
              <w:rPr>
                <w:rFonts w:ascii="Calibri" w:eastAsia="Times New Roman" w:hAnsi="Calibri" w:cs="Times New Roman"/>
                <w:noProof/>
                <w:lang w:eastAsia="en-GB"/>
              </w:rPr>
              <w:t>[17]</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and </w:t>
            </w:r>
            <w:r w:rsidRPr="000019D9">
              <w:rPr>
                <w:rFonts w:ascii="Calibri" w:eastAsia="Times New Roman" w:hAnsi="Calibri" w:cs="Times New Roman"/>
                <w:lang w:eastAsia="en-GB"/>
              </w:rPr>
              <w:t xml:space="preserve">non-suspended ground floors with no air cavities have much greater thermal unity </w:t>
            </w:r>
            <w:r>
              <w:rPr>
                <w:rFonts w:ascii="Calibri" w:eastAsia="Times New Roman" w:hAnsi="Calibri" w:cs="Times New Roman"/>
                <w:lang w:eastAsia="en-GB"/>
              </w:rPr>
              <w:fldChar w:fldCharType="begin"/>
            </w:r>
            <w:r w:rsidR="00EE2BAE">
              <w:rPr>
                <w:rFonts w:ascii="Calibri" w:eastAsia="Times New Roman" w:hAnsi="Calibri" w:cs="Times New Roman"/>
                <w:lang w:eastAsia="en-GB"/>
              </w:rPr>
              <w:instrText xml:space="preserve"> ADDIN EN.CITE &lt;EndNote&gt;&lt;Cite&gt;&lt;Author&gt;Brian Anderson&lt;/Author&gt;&lt;Year&gt;2006&lt;/Year&gt;&lt;RecNum&gt;2369&lt;/RecNum&gt;&lt;DisplayText&gt;[41]&lt;/DisplayText&gt;&lt;record&gt;&lt;rec-number&gt;2369&lt;/rec-number&gt;&lt;foreign-keys&gt;&lt;key app="EN" db-id="pd9ft9ta59zarqett5ppztd6pxp9vwe2pxd5" timestamp="1605003546"&gt;2369&lt;/key&gt;&lt;/foreign-keys&gt;&lt;ref-type name="Report"&gt;27&lt;/ref-type&gt;&lt;contributors&gt;&lt;authors&gt;&lt;author&gt;Brian Anderson,&lt;/author&gt;&lt;/authors&gt;&lt;/contributors&gt;&lt;titles&gt;&lt;title&gt;Conventions for U-value calculations&lt;/title&gt;&lt;/titles&gt;&lt;volume&gt;2nd&lt;/volume&gt;&lt;dates&gt;&lt;year&gt;2006&lt;/year&gt;&lt;/dates&gt;&lt;pub-location&gt;BRE Press, Garston, Watford.&lt;/pub-location&gt;&lt;publisher&gt;Building Research Establishment Scotland&lt;/publisher&gt;&lt;urls&gt;&lt;/urls&gt;&lt;/record&gt;&lt;/Cite&gt;&lt;/EndNote&gt;</w:instrText>
            </w:r>
            <w:r>
              <w:rPr>
                <w:rFonts w:ascii="Calibri" w:eastAsia="Times New Roman" w:hAnsi="Calibri" w:cs="Times New Roman"/>
                <w:lang w:eastAsia="en-GB"/>
              </w:rPr>
              <w:fldChar w:fldCharType="separate"/>
            </w:r>
            <w:r w:rsidR="00EE2BAE">
              <w:rPr>
                <w:rFonts w:ascii="Calibri" w:eastAsia="Times New Roman" w:hAnsi="Calibri" w:cs="Times New Roman"/>
                <w:noProof/>
                <w:lang w:eastAsia="en-GB"/>
              </w:rPr>
              <w:t>[41]</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so a tighter band of </w:t>
            </w:r>
            <w:r w:rsidRPr="000019D9">
              <w:rPr>
                <w:rFonts w:ascii="Calibri" w:eastAsia="Times New Roman" w:hAnsi="Calibri" w:cs="Times New Roman"/>
                <w:lang w:eastAsia="en-GB"/>
              </w:rPr>
              <w:t>± 5%</w:t>
            </w:r>
            <w:r>
              <w:rPr>
                <w:rFonts w:ascii="Calibri" w:eastAsia="Times New Roman" w:hAnsi="Calibri" w:cs="Times New Roman"/>
                <w:lang w:eastAsia="en-GB"/>
              </w:rPr>
              <w:t xml:space="preserve"> was imposed to reflect literature findings.</w:t>
            </w:r>
          </w:p>
          <w:p w14:paraId="08D80A6F" w14:textId="77777777"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[e] As outlined in the last paragraph of sections 2 and 4. </w:t>
            </w:r>
          </w:p>
          <w:p w14:paraId="6DE9C603" w14:textId="62B9569E"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[f] From f</w:t>
            </w:r>
            <w:r w:rsidRPr="00400BF5">
              <w:rPr>
                <w:rFonts w:ascii="Calibri" w:eastAsia="Times New Roman" w:hAnsi="Calibri" w:cs="Times New Roman"/>
                <w:lang w:eastAsia="en-GB"/>
              </w:rPr>
              <w:t xml:space="preserve">ield measurements of DHW consumption in the </w:t>
            </w:r>
            <w:r>
              <w:rPr>
                <w:rFonts w:ascii="Calibri" w:eastAsia="Times New Roman" w:hAnsi="Calibri" w:cs="Times New Roman"/>
                <w:lang w:eastAsia="en-GB"/>
              </w:rPr>
              <w:t xml:space="preserve">UK </w:t>
            </w:r>
            <w:r>
              <w:rPr>
                <w:rFonts w:ascii="Calibri" w:eastAsia="Times New Roman" w:hAnsi="Calibri" w:cs="Times New Roman"/>
                <w:lang w:eastAsia="en-GB"/>
              </w:rPr>
              <w:fldChar w:fldCharType="begin"/>
            </w:r>
            <w:r w:rsidR="00460076">
              <w:rPr>
                <w:rFonts w:ascii="Calibri" w:eastAsia="Times New Roman" w:hAnsi="Calibri" w:cs="Times New Roman"/>
                <w:lang w:eastAsia="en-GB"/>
              </w:rPr>
              <w:instrText xml:space="preserve"> ADDIN EN.CITE &lt;EndNote&gt;&lt;Cite&gt;&lt;Author&gt;Energy Saving Trust&lt;/Author&gt;&lt;Year&gt;2008&lt;/Year&gt;&lt;RecNum&gt;2297&lt;/RecNum&gt;&lt;DisplayText&gt;[25]&lt;/DisplayText&gt;&lt;record&gt;&lt;rec-number&gt;2297&lt;/rec-number&gt;&lt;foreign-keys&gt;&lt;key app="EN" db-id="pd9ft9ta59zarqett5ppztd6pxp9vwe2pxd5" timestamp="1605003527"&gt;2297&lt;/key&gt;&lt;/foreign-keys&gt;&lt;ref-type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Pr>
                <w:rFonts w:ascii="Calibri" w:eastAsia="Times New Roman" w:hAnsi="Calibri" w:cs="Times New Roman"/>
                <w:lang w:eastAsia="en-GB"/>
              </w:rPr>
              <w:fldChar w:fldCharType="separate"/>
            </w:r>
            <w:r w:rsidR="00460076">
              <w:rPr>
                <w:rFonts w:ascii="Calibri" w:eastAsia="Times New Roman" w:hAnsi="Calibri" w:cs="Times New Roman"/>
                <w:noProof/>
                <w:lang w:eastAsia="en-GB"/>
              </w:rPr>
              <w:t>[25]</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where t</w:t>
            </w:r>
            <w:r w:rsidRPr="00400BF5">
              <w:rPr>
                <w:rFonts w:ascii="Calibri" w:eastAsia="Times New Roman" w:hAnsi="Calibri" w:cs="Times New Roman"/>
                <w:lang w:eastAsia="en-GB"/>
              </w:rPr>
              <w:t xml:space="preserve">he mean DHW consumption per person in the UK is </w:t>
            </w:r>
            <w:r>
              <w:rPr>
                <w:rFonts w:ascii="Calibri" w:eastAsia="Times New Roman" w:hAnsi="Calibri" w:cs="Times New Roman"/>
                <w:lang w:eastAsia="en-GB"/>
              </w:rPr>
              <w:t xml:space="preserve">reported as </w:t>
            </w:r>
            <w:r w:rsidRPr="00400BF5">
              <w:rPr>
                <w:rFonts w:ascii="Calibri" w:eastAsia="Times New Roman" w:hAnsi="Calibri" w:cs="Times New Roman"/>
                <w:lang w:eastAsia="en-GB"/>
              </w:rPr>
              <w:t xml:space="preserve">122 litres/day ± 18 litres/day </w:t>
            </w:r>
            <w:r>
              <w:rPr>
                <w:rFonts w:ascii="Calibri" w:eastAsia="Times New Roman" w:hAnsi="Calibri" w:cs="Times New Roman"/>
                <w:lang w:eastAsia="en-GB"/>
              </w:rPr>
              <w:t xml:space="preserve">(i.e. </w:t>
            </w:r>
            <w:r w:rsidRPr="00EE7CF8">
              <w:t>±</w:t>
            </w:r>
            <w:r>
              <w:t xml:space="preserve">15% variation) </w:t>
            </w:r>
            <w:r w:rsidRPr="00400BF5">
              <w:rPr>
                <w:rFonts w:ascii="Calibri" w:eastAsia="Times New Roman" w:hAnsi="Calibri" w:cs="Times New Roman"/>
                <w:lang w:eastAsia="en-GB"/>
              </w:rPr>
              <w:t>leading to mean DHW energy consumption of 16.8 MJ/day ± 2.2 MJ/day (9</w:t>
            </w:r>
            <w:r>
              <w:rPr>
                <w:rFonts w:ascii="Calibri" w:eastAsia="Times New Roman" w:hAnsi="Calibri" w:cs="Times New Roman"/>
                <w:lang w:eastAsia="en-GB"/>
              </w:rPr>
              <w:t>5% statistical confidence). In the 1</w:t>
            </w:r>
            <w:r w:rsidRPr="008747B6">
              <w:rPr>
                <w:rFonts w:ascii="Calibri" w:eastAsia="Times New Roman" w:hAnsi="Calibri" w:cs="Times New Roman"/>
                <w:vertAlign w:val="superscript"/>
                <w:lang w:eastAsia="en-GB"/>
              </w:rPr>
              <w:t>st</w:t>
            </w:r>
            <w:r>
              <w:rPr>
                <w:rFonts w:ascii="Calibri" w:eastAsia="Times New Roman" w:hAnsi="Calibri" w:cs="Times New Roman"/>
                <w:lang w:eastAsia="en-GB"/>
              </w:rPr>
              <w:t xml:space="preserve"> wave the</w:t>
            </w:r>
            <w:r w:rsidRPr="00400BF5">
              <w:rPr>
                <w:rFonts w:ascii="Calibri" w:eastAsia="Times New Roman" w:hAnsi="Calibri" w:cs="Times New Roman"/>
                <w:lang w:eastAsia="en-GB"/>
              </w:rPr>
              <w:t xml:space="preserve"> model </w:t>
            </w:r>
            <w:r>
              <w:rPr>
                <w:rFonts w:ascii="Calibri" w:eastAsia="Times New Roman" w:hAnsi="Calibri" w:cs="Times New Roman"/>
                <w:lang w:eastAsia="en-GB"/>
              </w:rPr>
              <w:t>input was</w:t>
            </w:r>
            <w:r w:rsidRPr="00400BF5">
              <w:rPr>
                <w:rFonts w:ascii="Calibri" w:eastAsia="Times New Roman" w:hAnsi="Calibri" w:cs="Times New Roman"/>
                <w:lang w:eastAsia="en-GB"/>
              </w:rPr>
              <w:t xml:space="preserve"> a much larger values of &gt;300</w:t>
            </w:r>
            <w:r>
              <w:rPr>
                <w:rFonts w:ascii="Calibri" w:eastAsia="Times New Roman" w:hAnsi="Calibri" w:cs="Times New Roman"/>
                <w:lang w:eastAsia="en-GB"/>
              </w:rPr>
              <w:t xml:space="preserve">l/day and 53MJ/day, </w:t>
            </w:r>
            <w:r w:rsidRPr="00400BF5">
              <w:rPr>
                <w:rFonts w:ascii="Calibri" w:eastAsia="Times New Roman" w:hAnsi="Calibri" w:cs="Times New Roman"/>
                <w:lang w:eastAsia="en-GB"/>
              </w:rPr>
              <w:t xml:space="preserve">However the model predictions were calibrated to return close results to the </w:t>
            </w:r>
            <w:r w:rsidR="00A87479">
              <w:rPr>
                <w:rFonts w:ascii="Calibri" w:eastAsia="Times New Roman" w:hAnsi="Calibri" w:cs="Times New Roman"/>
                <w:lang w:eastAsia="en-GB"/>
              </w:rPr>
              <w:t xml:space="preserve">observed </w:t>
            </w:r>
            <w:r w:rsidRPr="00400BF5">
              <w:rPr>
                <w:rFonts w:ascii="Calibri" w:eastAsia="Times New Roman" w:hAnsi="Calibri" w:cs="Times New Roman"/>
                <w:lang w:eastAsia="en-GB"/>
              </w:rPr>
              <w:t xml:space="preserve">energy </w:t>
            </w:r>
            <w:r w:rsidR="00A87479">
              <w:rPr>
                <w:rFonts w:ascii="Calibri" w:eastAsia="Times New Roman" w:hAnsi="Calibri" w:cs="Times New Roman"/>
                <w:lang w:eastAsia="en-GB"/>
              </w:rPr>
              <w:t>consumption</w:t>
            </w:r>
            <w:r w:rsidRPr="00400BF5">
              <w:rPr>
                <w:rFonts w:ascii="Calibri" w:eastAsia="Times New Roman" w:hAnsi="Calibri" w:cs="Times New Roman"/>
                <w:lang w:eastAsia="en-GB"/>
              </w:rPr>
              <w:t xml:space="preserve"> for the case-study building </w:t>
            </w:r>
            <w:r w:rsidR="00A87479">
              <w:rPr>
                <w:rFonts w:ascii="Calibri" w:eastAsia="Times New Roman" w:hAnsi="Calibri" w:cs="Times New Roman"/>
                <w:lang w:eastAsia="en-GB"/>
              </w:rPr>
              <w:t xml:space="preserve">given its </w:t>
            </w:r>
            <w:r w:rsidRPr="00400BF5">
              <w:rPr>
                <w:rFonts w:ascii="Calibri" w:eastAsia="Times New Roman" w:hAnsi="Calibri" w:cs="Times New Roman"/>
                <w:lang w:eastAsia="en-GB"/>
              </w:rPr>
              <w:t>high fossil fuel consumption</w:t>
            </w:r>
            <w:r w:rsidR="00A87479">
              <w:rPr>
                <w:rFonts w:ascii="Calibri" w:eastAsia="Times New Roman" w:hAnsi="Calibri" w:cs="Times New Roman"/>
                <w:lang w:eastAsia="en-GB"/>
              </w:rPr>
              <w:t>s</w:t>
            </w:r>
            <w:r w:rsidRPr="00400BF5">
              <w:rPr>
                <w:rFonts w:ascii="Calibri" w:eastAsia="Times New Roman" w:hAnsi="Calibri" w:cs="Times New Roman"/>
                <w:lang w:eastAsia="en-GB"/>
              </w:rPr>
              <w:t>.</w:t>
            </w:r>
          </w:p>
          <w:p w14:paraId="343B678A" w14:textId="727EC785" w:rsidR="008747B6" w:rsidRDefault="008747B6" w:rsidP="0087178C">
            <w:pPr>
              <w:autoSpaceDE w:val="0"/>
              <w:autoSpaceDN w:val="0"/>
              <w:adjustRightInd w:val="0"/>
            </w:pPr>
            <w:r>
              <w:rPr>
                <w:rFonts w:ascii="Calibri" w:eastAsia="Times New Roman" w:hAnsi="Calibri" w:cs="Times New Roman"/>
                <w:lang w:eastAsia="en-GB"/>
              </w:rPr>
              <w:lastRenderedPageBreak/>
              <w:t xml:space="preserve">[g] Cooking has been observed to currently account for an average of 3% of total household energy demand with historical data also indicating a maximum of 6% </w:t>
            </w:r>
            <w:r>
              <w:rPr>
                <w:rFonts w:ascii="Calibri" w:eastAsia="Times New Roman" w:hAnsi="Calibri" w:cs="Times New Roman"/>
                <w:lang w:eastAsia="en-GB"/>
              </w:rPr>
              <w:fldChar w:fldCharType="begin"/>
            </w:r>
            <w:r w:rsidR="003C07BA">
              <w:rPr>
                <w:rFonts w:ascii="Calibri" w:eastAsia="Times New Roman" w:hAnsi="Calibri" w:cs="Times New Roman"/>
                <w:lang w:eastAsia="en-GB"/>
              </w:rPr>
              <w:instrText xml:space="preserve"> ADDIN EN.CITE &lt;EndNote&gt;&lt;Cite&gt;&lt;Author&gt;Jason Palmer; Ian Cooper&lt;/Author&gt;&lt;Year&gt;2013&lt;/Year&gt;&lt;RecNum&gt;1657&lt;/RecNum&gt;&lt;DisplayText&gt;[30]&lt;/DisplayText&gt;&lt;record&gt;&lt;rec-number&gt;1657&lt;/rec-number&gt;&lt;foreign-keys&gt;&lt;key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Pr>
                <w:rFonts w:ascii="Calibri" w:eastAsia="Times New Roman" w:hAnsi="Calibri" w:cs="Times New Roman"/>
                <w:lang w:eastAsia="en-GB"/>
              </w:rPr>
              <w:fldChar w:fldCharType="separate"/>
            </w:r>
            <w:r w:rsidR="003C07BA">
              <w:rPr>
                <w:rFonts w:ascii="Calibri" w:eastAsia="Times New Roman" w:hAnsi="Calibri" w:cs="Times New Roman"/>
                <w:noProof/>
                <w:lang w:eastAsia="en-GB"/>
              </w:rPr>
              <w:t>[30]</w:t>
            </w:r>
            <w:r>
              <w:rPr>
                <w:rFonts w:ascii="Calibri" w:eastAsia="Times New Roman" w:hAnsi="Calibri" w:cs="Times New Roman"/>
                <w:lang w:eastAsia="en-GB"/>
              </w:rPr>
              <w:fldChar w:fldCharType="end"/>
            </w:r>
            <w:r>
              <w:rPr>
                <w:rFonts w:ascii="Calibri" w:eastAsia="Times New Roman" w:hAnsi="Calibri" w:cs="Times New Roman"/>
                <w:lang w:eastAsia="en-GB"/>
              </w:rPr>
              <w:t>. This observed data informs the average and maximum cooking demand with 1% also selected by the authors to represent a probable lower boundary.</w:t>
            </w:r>
            <w:r w:rsidR="0087178C">
              <w:rPr>
                <w:rFonts w:ascii="Calibri" w:eastAsia="Times New Roman" w:hAnsi="Calibri" w:cs="Times New Roman"/>
                <w:lang w:eastAsia="en-GB"/>
              </w:rPr>
              <w:t xml:space="preserve"> </w:t>
            </w:r>
          </w:p>
        </w:tc>
      </w:tr>
      <w:bookmarkEnd w:id="2"/>
    </w:tbl>
    <w:p w14:paraId="389382B5" w14:textId="77777777" w:rsidR="006937B1" w:rsidRDefault="006937B1" w:rsidP="006937B1"/>
    <w:p w14:paraId="4C741404" w14:textId="14674916" w:rsidR="00047752" w:rsidRDefault="00047752" w:rsidP="00047752">
      <w:pPr>
        <w:spacing w:after="0" w:line="240" w:lineRule="auto"/>
        <w:rPr>
          <w:rFonts w:ascii="Calibri" w:hAnsi="Calibri"/>
          <w:color w:val="1F497D"/>
        </w:rPr>
      </w:pPr>
    </w:p>
    <w:p w14:paraId="1B19A9D7" w14:textId="42956377" w:rsidR="002E41FF" w:rsidRDefault="002E41FF" w:rsidP="00047752">
      <w:pPr>
        <w:spacing w:after="0" w:line="240" w:lineRule="auto"/>
        <w:rPr>
          <w:rFonts w:ascii="Calibri" w:hAnsi="Calibri"/>
          <w:color w:val="1F497D"/>
        </w:rPr>
      </w:pPr>
    </w:p>
    <w:p w14:paraId="78159535" w14:textId="6F0A0F4F" w:rsidR="002E41FF" w:rsidRDefault="002E41FF" w:rsidP="00047752">
      <w:pPr>
        <w:spacing w:after="0" w:line="240" w:lineRule="auto"/>
        <w:rPr>
          <w:rFonts w:ascii="Calibri" w:hAnsi="Calibri"/>
          <w:color w:val="1F497D"/>
        </w:rPr>
      </w:pPr>
    </w:p>
    <w:p w14:paraId="6FFA29AE" w14:textId="6B1DEC46" w:rsidR="002E41FF" w:rsidRDefault="002E41FF" w:rsidP="00047752">
      <w:pPr>
        <w:spacing w:after="0" w:line="240" w:lineRule="auto"/>
        <w:rPr>
          <w:rFonts w:ascii="Calibri" w:hAnsi="Calibri"/>
          <w:color w:val="1F497D"/>
        </w:rPr>
      </w:pPr>
    </w:p>
    <w:p w14:paraId="75FE2134" w14:textId="314CB7C3" w:rsidR="002E41FF" w:rsidRDefault="002E41FF" w:rsidP="00047752">
      <w:pPr>
        <w:spacing w:after="0" w:line="240" w:lineRule="auto"/>
        <w:rPr>
          <w:rFonts w:ascii="Calibri" w:hAnsi="Calibri"/>
          <w:color w:val="1F497D"/>
        </w:rPr>
      </w:pPr>
    </w:p>
    <w:p w14:paraId="67326EA8" w14:textId="14CC136D" w:rsidR="002E41FF" w:rsidRDefault="002E41FF" w:rsidP="00047752">
      <w:pPr>
        <w:spacing w:after="0" w:line="240" w:lineRule="auto"/>
        <w:rPr>
          <w:rFonts w:ascii="Calibri" w:hAnsi="Calibri"/>
          <w:color w:val="1F497D"/>
        </w:rPr>
      </w:pPr>
    </w:p>
    <w:p w14:paraId="741201C1" w14:textId="71DA3C0D" w:rsidR="002E41FF" w:rsidRDefault="002E41FF" w:rsidP="00047752">
      <w:pPr>
        <w:spacing w:after="0" w:line="240" w:lineRule="auto"/>
        <w:rPr>
          <w:rFonts w:ascii="Calibri" w:hAnsi="Calibri"/>
          <w:color w:val="1F497D"/>
        </w:rPr>
      </w:pPr>
    </w:p>
    <w:p w14:paraId="5C3EB123" w14:textId="6C1E73A3" w:rsidR="002E41FF" w:rsidRDefault="002E41FF" w:rsidP="00047752">
      <w:pPr>
        <w:spacing w:after="0" w:line="240" w:lineRule="auto"/>
        <w:rPr>
          <w:rFonts w:ascii="Calibri" w:hAnsi="Calibri"/>
          <w:color w:val="1F497D"/>
        </w:rPr>
      </w:pPr>
    </w:p>
    <w:p w14:paraId="674731F1" w14:textId="3153E2F6" w:rsidR="002E41FF" w:rsidRDefault="002E41FF" w:rsidP="00047752">
      <w:pPr>
        <w:spacing w:after="0" w:line="240" w:lineRule="auto"/>
        <w:rPr>
          <w:rFonts w:ascii="Calibri" w:hAnsi="Calibri"/>
          <w:color w:val="1F497D"/>
        </w:rPr>
      </w:pPr>
    </w:p>
    <w:p w14:paraId="7A36CD3B" w14:textId="236C56C8" w:rsidR="002E41FF" w:rsidRDefault="002E41FF" w:rsidP="00047752">
      <w:pPr>
        <w:spacing w:after="0" w:line="240" w:lineRule="auto"/>
        <w:rPr>
          <w:rFonts w:ascii="Calibri" w:hAnsi="Calibri"/>
          <w:color w:val="1F497D"/>
        </w:rPr>
      </w:pPr>
    </w:p>
    <w:p w14:paraId="0E4A045C" w14:textId="4895FEC2" w:rsidR="002E41FF" w:rsidRDefault="002E41FF" w:rsidP="00047752">
      <w:pPr>
        <w:spacing w:after="0" w:line="240" w:lineRule="auto"/>
        <w:rPr>
          <w:rFonts w:ascii="Calibri" w:hAnsi="Calibri"/>
          <w:color w:val="1F497D"/>
        </w:rPr>
      </w:pPr>
    </w:p>
    <w:p w14:paraId="3D5B414D" w14:textId="77777777" w:rsidR="002E41FF" w:rsidRDefault="002E41FF" w:rsidP="00047752">
      <w:pPr>
        <w:spacing w:after="0" w:line="240" w:lineRule="auto"/>
        <w:rPr>
          <w:rFonts w:ascii="Calibri" w:hAnsi="Calibri"/>
          <w:color w:val="1F497D"/>
        </w:rPr>
      </w:pPr>
    </w:p>
    <w:p w14:paraId="1C30CDEC" w14:textId="77777777" w:rsidR="00047752" w:rsidRDefault="00047752" w:rsidP="00047752">
      <w:pPr>
        <w:spacing w:after="0" w:line="240" w:lineRule="auto"/>
        <w:rPr>
          <w:rFonts w:ascii="Calibri" w:hAnsi="Calibri"/>
          <w:color w:val="1F497D"/>
        </w:rPr>
      </w:pPr>
    </w:p>
    <w:p w14:paraId="1758A2DD" w14:textId="77777777" w:rsidR="00047752" w:rsidRDefault="00047752" w:rsidP="00047752">
      <w:pPr>
        <w:spacing w:after="0" w:line="240" w:lineRule="auto"/>
        <w:rPr>
          <w:rFonts w:ascii="Calibri" w:hAnsi="Calibri"/>
          <w:color w:val="1F497D"/>
        </w:rPr>
      </w:pPr>
    </w:p>
    <w:p w14:paraId="1170C19A" w14:textId="6945C38D" w:rsidR="009A4E0C" w:rsidRDefault="009A4E0C" w:rsidP="00675CBA"/>
    <w:sectPr w:rsidR="009A4E0C" w:rsidSect="006E7D90">
      <w:pgSz w:w="16838" w:h="11906" w:orient="landscape"/>
      <w:pgMar w:top="1134"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OMINGO, DARIO" w:date="2021-09-27T16:05:00Z" w:initials="DD">
    <w:p w14:paraId="41434BB5" w14:textId="45C56854" w:rsidR="00915DEA" w:rsidRDefault="00915DEA">
      <w:pPr>
        <w:pStyle w:val="CommentText"/>
      </w:pPr>
      <w:r>
        <w:rPr>
          <w:rStyle w:val="CommentReference"/>
        </w:rPr>
        <w:annotationRef/>
      </w:r>
      <w:r>
        <w:t>I think we should link more explicitly the statistical and energy sides of the work here. And highlight the convenience of an emulator to the energy community, to handle uncertainties and to get instantaneous predictions of complex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434BB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C64C0" w14:textId="77777777" w:rsidR="00160916" w:rsidRDefault="00160916" w:rsidP="00E06B35">
      <w:pPr>
        <w:spacing w:after="0" w:line="240" w:lineRule="auto"/>
      </w:pPr>
      <w:r>
        <w:separator/>
      </w:r>
    </w:p>
  </w:endnote>
  <w:endnote w:type="continuationSeparator" w:id="0">
    <w:p w14:paraId="06DED27A" w14:textId="77777777" w:rsidR="00160916" w:rsidRDefault="00160916" w:rsidP="00E0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933668"/>
      <w:docPartObj>
        <w:docPartGallery w:val="Page Numbers (Bottom of Page)"/>
        <w:docPartUnique/>
      </w:docPartObj>
    </w:sdtPr>
    <w:sdtEndPr>
      <w:rPr>
        <w:noProof/>
      </w:rPr>
    </w:sdtEndPr>
    <w:sdtContent>
      <w:p w14:paraId="3C06995D" w14:textId="75CA796B" w:rsidR="00915DEA" w:rsidRDefault="00915DEA">
        <w:pPr>
          <w:pStyle w:val="Footer"/>
          <w:jc w:val="right"/>
        </w:pPr>
        <w:r>
          <w:fldChar w:fldCharType="begin"/>
        </w:r>
        <w:r>
          <w:instrText xml:space="preserve"> PAGE   \* MERGEFORMAT </w:instrText>
        </w:r>
        <w:r>
          <w:fldChar w:fldCharType="separate"/>
        </w:r>
        <w:r w:rsidR="00F54B30">
          <w:rPr>
            <w:noProof/>
          </w:rPr>
          <w:t>2</w:t>
        </w:r>
        <w:r>
          <w:rPr>
            <w:noProof/>
          </w:rPr>
          <w:fldChar w:fldCharType="end"/>
        </w:r>
      </w:p>
    </w:sdtContent>
  </w:sdt>
  <w:p w14:paraId="2BF1BB3D" w14:textId="77777777" w:rsidR="00915DEA" w:rsidRDefault="0091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7FE60" w14:textId="77777777" w:rsidR="00160916" w:rsidRDefault="00160916" w:rsidP="00E06B35">
      <w:pPr>
        <w:spacing w:after="0" w:line="240" w:lineRule="auto"/>
      </w:pPr>
      <w:r>
        <w:separator/>
      </w:r>
    </w:p>
  </w:footnote>
  <w:footnote w:type="continuationSeparator" w:id="0">
    <w:p w14:paraId="0228DEB2" w14:textId="77777777" w:rsidR="00160916" w:rsidRDefault="00160916" w:rsidP="00E0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C52"/>
    <w:multiLevelType w:val="hybridMultilevel"/>
    <w:tmpl w:val="E4ECEB70"/>
    <w:lvl w:ilvl="0" w:tplc="9C52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47376"/>
    <w:multiLevelType w:val="hybridMultilevel"/>
    <w:tmpl w:val="D988DC40"/>
    <w:lvl w:ilvl="0" w:tplc="3274D2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67A6B"/>
    <w:multiLevelType w:val="hybridMultilevel"/>
    <w:tmpl w:val="286AF466"/>
    <w:lvl w:ilvl="0" w:tplc="42BA2B5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07FD4"/>
    <w:multiLevelType w:val="hybridMultilevel"/>
    <w:tmpl w:val="49FCB4A4"/>
    <w:lvl w:ilvl="0" w:tplc="6EAC23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53E69"/>
    <w:multiLevelType w:val="hybridMultilevel"/>
    <w:tmpl w:val="1068D886"/>
    <w:lvl w:ilvl="0" w:tplc="F1A4B9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33660"/>
    <w:multiLevelType w:val="hybridMultilevel"/>
    <w:tmpl w:val="C8E44858"/>
    <w:lvl w:ilvl="0" w:tplc="ECEE0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121C1"/>
    <w:multiLevelType w:val="hybridMultilevel"/>
    <w:tmpl w:val="447CAF22"/>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7" w15:restartNumberingAfterBreak="0">
    <w:nsid w:val="31FF5308"/>
    <w:multiLevelType w:val="hybridMultilevel"/>
    <w:tmpl w:val="3B4A17A8"/>
    <w:lvl w:ilvl="0" w:tplc="07A81E74">
      <w:start w:val="1"/>
      <w:numFmt w:val="bullet"/>
      <w:lvlText w:val=""/>
      <w:lvlJc w:val="left"/>
      <w:pPr>
        <w:ind w:left="720" w:hanging="360"/>
      </w:pPr>
      <w:rPr>
        <w:rFonts w:ascii="Symbol" w:hAnsi="Symbol" w:hint="default"/>
      </w:rPr>
    </w:lvl>
    <w:lvl w:ilvl="1" w:tplc="95F09EBE">
      <w:start w:val="1"/>
      <w:numFmt w:val="bullet"/>
      <w:lvlText w:val="o"/>
      <w:lvlJc w:val="left"/>
      <w:pPr>
        <w:ind w:left="1440" w:hanging="360"/>
      </w:pPr>
      <w:rPr>
        <w:rFonts w:ascii="Courier New" w:hAnsi="Courier New" w:hint="default"/>
      </w:rPr>
    </w:lvl>
    <w:lvl w:ilvl="2" w:tplc="4D7294C4">
      <w:start w:val="1"/>
      <w:numFmt w:val="bullet"/>
      <w:lvlText w:val=""/>
      <w:lvlJc w:val="left"/>
      <w:pPr>
        <w:ind w:left="2160" w:hanging="360"/>
      </w:pPr>
      <w:rPr>
        <w:rFonts w:ascii="Wingdings" w:hAnsi="Wingdings" w:hint="default"/>
      </w:rPr>
    </w:lvl>
    <w:lvl w:ilvl="3" w:tplc="917CABF0">
      <w:start w:val="1"/>
      <w:numFmt w:val="bullet"/>
      <w:lvlText w:val=""/>
      <w:lvlJc w:val="left"/>
      <w:pPr>
        <w:ind w:left="2880" w:hanging="360"/>
      </w:pPr>
      <w:rPr>
        <w:rFonts w:ascii="Symbol" w:hAnsi="Symbol" w:hint="default"/>
      </w:rPr>
    </w:lvl>
    <w:lvl w:ilvl="4" w:tplc="A79CAFE6">
      <w:start w:val="1"/>
      <w:numFmt w:val="bullet"/>
      <w:lvlText w:val="o"/>
      <w:lvlJc w:val="left"/>
      <w:pPr>
        <w:ind w:left="3600" w:hanging="360"/>
      </w:pPr>
      <w:rPr>
        <w:rFonts w:ascii="Courier New" w:hAnsi="Courier New" w:hint="default"/>
      </w:rPr>
    </w:lvl>
    <w:lvl w:ilvl="5" w:tplc="9522D5AC">
      <w:start w:val="1"/>
      <w:numFmt w:val="bullet"/>
      <w:lvlText w:val=""/>
      <w:lvlJc w:val="left"/>
      <w:pPr>
        <w:ind w:left="4320" w:hanging="360"/>
      </w:pPr>
      <w:rPr>
        <w:rFonts w:ascii="Wingdings" w:hAnsi="Wingdings" w:hint="default"/>
      </w:rPr>
    </w:lvl>
    <w:lvl w:ilvl="6" w:tplc="AA60A4D4">
      <w:start w:val="1"/>
      <w:numFmt w:val="bullet"/>
      <w:lvlText w:val=""/>
      <w:lvlJc w:val="left"/>
      <w:pPr>
        <w:ind w:left="5040" w:hanging="360"/>
      </w:pPr>
      <w:rPr>
        <w:rFonts w:ascii="Symbol" w:hAnsi="Symbol" w:hint="default"/>
      </w:rPr>
    </w:lvl>
    <w:lvl w:ilvl="7" w:tplc="CA1E6006">
      <w:start w:val="1"/>
      <w:numFmt w:val="bullet"/>
      <w:lvlText w:val="o"/>
      <w:lvlJc w:val="left"/>
      <w:pPr>
        <w:ind w:left="5760" w:hanging="360"/>
      </w:pPr>
      <w:rPr>
        <w:rFonts w:ascii="Courier New" w:hAnsi="Courier New" w:hint="default"/>
      </w:rPr>
    </w:lvl>
    <w:lvl w:ilvl="8" w:tplc="1952AE4E">
      <w:start w:val="1"/>
      <w:numFmt w:val="bullet"/>
      <w:lvlText w:val=""/>
      <w:lvlJc w:val="left"/>
      <w:pPr>
        <w:ind w:left="6480" w:hanging="360"/>
      </w:pPr>
      <w:rPr>
        <w:rFonts w:ascii="Wingdings" w:hAnsi="Wingdings" w:hint="default"/>
      </w:rPr>
    </w:lvl>
  </w:abstractNum>
  <w:abstractNum w:abstractNumId="8" w15:restartNumberingAfterBreak="0">
    <w:nsid w:val="32E667DF"/>
    <w:multiLevelType w:val="hybridMultilevel"/>
    <w:tmpl w:val="AA284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C82801"/>
    <w:multiLevelType w:val="hybridMultilevel"/>
    <w:tmpl w:val="E72E5BFC"/>
    <w:lvl w:ilvl="0" w:tplc="345E5D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0F9511D"/>
    <w:multiLevelType w:val="hybridMultilevel"/>
    <w:tmpl w:val="43208D80"/>
    <w:lvl w:ilvl="0" w:tplc="8D2C426A">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296821"/>
    <w:multiLevelType w:val="hybridMultilevel"/>
    <w:tmpl w:val="9B441B66"/>
    <w:lvl w:ilvl="0" w:tplc="F65CD1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C76257"/>
    <w:multiLevelType w:val="hybridMultilevel"/>
    <w:tmpl w:val="DA881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047D06"/>
    <w:multiLevelType w:val="hybridMultilevel"/>
    <w:tmpl w:val="E02C7AE4"/>
    <w:lvl w:ilvl="0" w:tplc="6BE24A2C">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A50CA2"/>
    <w:multiLevelType w:val="hybridMultilevel"/>
    <w:tmpl w:val="BD060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A579B5"/>
    <w:multiLevelType w:val="hybridMultilevel"/>
    <w:tmpl w:val="EF7CF4B0"/>
    <w:lvl w:ilvl="0" w:tplc="24C85E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4CAB"/>
    <w:multiLevelType w:val="hybridMultilevel"/>
    <w:tmpl w:val="E118E68E"/>
    <w:lvl w:ilvl="0" w:tplc="FB3482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3825DC"/>
    <w:multiLevelType w:val="hybridMultilevel"/>
    <w:tmpl w:val="25BC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A5652E"/>
    <w:multiLevelType w:val="hybridMultilevel"/>
    <w:tmpl w:val="77E87EDE"/>
    <w:lvl w:ilvl="0" w:tplc="677ECE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943DA"/>
    <w:multiLevelType w:val="hybridMultilevel"/>
    <w:tmpl w:val="FCB2C7B4"/>
    <w:lvl w:ilvl="0" w:tplc="741242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33123B"/>
    <w:multiLevelType w:val="hybridMultilevel"/>
    <w:tmpl w:val="F28459D8"/>
    <w:lvl w:ilvl="0" w:tplc="48509F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D13946"/>
    <w:multiLevelType w:val="hybridMultilevel"/>
    <w:tmpl w:val="A7D65C32"/>
    <w:lvl w:ilvl="0" w:tplc="29CE516A">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B063A3"/>
    <w:multiLevelType w:val="hybridMultilevel"/>
    <w:tmpl w:val="B4C2E6B8"/>
    <w:lvl w:ilvl="0" w:tplc="E528C5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D3498E"/>
    <w:multiLevelType w:val="hybridMultilevel"/>
    <w:tmpl w:val="E4ECEB70"/>
    <w:lvl w:ilvl="0" w:tplc="9C52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7"/>
  </w:num>
  <w:num w:numId="4">
    <w:abstractNumId w:val="15"/>
  </w:num>
  <w:num w:numId="5">
    <w:abstractNumId w:val="22"/>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6"/>
  </w:num>
  <w:num w:numId="10">
    <w:abstractNumId w:val="4"/>
  </w:num>
  <w:num w:numId="11">
    <w:abstractNumId w:val="16"/>
  </w:num>
  <w:num w:numId="12">
    <w:abstractNumId w:val="0"/>
  </w:num>
  <w:num w:numId="13">
    <w:abstractNumId w:val="23"/>
  </w:num>
  <w:num w:numId="14">
    <w:abstractNumId w:val="12"/>
  </w:num>
  <w:num w:numId="15">
    <w:abstractNumId w:val="3"/>
  </w:num>
  <w:num w:numId="16">
    <w:abstractNumId w:val="20"/>
  </w:num>
  <w:num w:numId="17">
    <w:abstractNumId w:val="1"/>
  </w:num>
  <w:num w:numId="18">
    <w:abstractNumId w:val="5"/>
  </w:num>
  <w:num w:numId="19">
    <w:abstractNumId w:val="2"/>
  </w:num>
  <w:num w:numId="20">
    <w:abstractNumId w:val="9"/>
  </w:num>
  <w:num w:numId="21">
    <w:abstractNumId w:val="14"/>
  </w:num>
  <w:num w:numId="22">
    <w:abstractNumId w:val="10"/>
  </w:num>
  <w:num w:numId="23">
    <w:abstractNumId w:val="18"/>
  </w:num>
  <w:num w:numId="24">
    <w:abstractNumId w:val="21"/>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GO, DARIO">
    <w15:presenceInfo w15:providerId="None" w15:userId="DOMINGO, D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9ft9ta59zarqett5ppztd6pxp9vwe2pxd5&quot;&gt;My EndNote Library&lt;record-ids&gt;&lt;item&gt;1393&lt;/item&gt;&lt;item&gt;1657&lt;/item&gt;&lt;item&gt;2297&lt;/item&gt;&lt;item&gt;2342&lt;/item&gt;&lt;item&gt;2343&lt;/item&gt;&lt;item&gt;2344&lt;/item&gt;&lt;item&gt;2345&lt;/item&gt;&lt;item&gt;2346&lt;/item&gt;&lt;item&gt;2347&lt;/item&gt;&lt;item&gt;2348&lt;/item&gt;&lt;item&gt;2349&lt;/item&gt;&lt;item&gt;2350&lt;/item&gt;&lt;item&gt;2351&lt;/item&gt;&lt;item&gt;2352&lt;/item&gt;&lt;item&gt;2353&lt;/item&gt;&lt;item&gt;2354&lt;/item&gt;&lt;item&gt;2355&lt;/item&gt;&lt;item&gt;2356&lt;/item&gt;&lt;item&gt;2357&lt;/item&gt;&lt;item&gt;2367&lt;/item&gt;&lt;item&gt;2368&lt;/item&gt;&lt;item&gt;2369&lt;/item&gt;&lt;item&gt;2370&lt;/item&gt;&lt;item&gt;2412&lt;/item&gt;&lt;item&gt;2431&lt;/item&gt;&lt;item&gt;2450&lt;/item&gt;&lt;item&gt;2630&lt;/item&gt;&lt;/record-ids&gt;&lt;/item&gt;&lt;/Libraries&gt;"/>
  </w:docVars>
  <w:rsids>
    <w:rsidRoot w:val="00A83DB6"/>
    <w:rsid w:val="000016AE"/>
    <w:rsid w:val="00001941"/>
    <w:rsid w:val="000058B1"/>
    <w:rsid w:val="00006851"/>
    <w:rsid w:val="00006B06"/>
    <w:rsid w:val="00021D0F"/>
    <w:rsid w:val="00023E12"/>
    <w:rsid w:val="00024CCC"/>
    <w:rsid w:val="00025B67"/>
    <w:rsid w:val="00033B73"/>
    <w:rsid w:val="0003534F"/>
    <w:rsid w:val="0004042F"/>
    <w:rsid w:val="00040687"/>
    <w:rsid w:val="00041CCB"/>
    <w:rsid w:val="00043572"/>
    <w:rsid w:val="00047752"/>
    <w:rsid w:val="00054C50"/>
    <w:rsid w:val="00057CD3"/>
    <w:rsid w:val="00064758"/>
    <w:rsid w:val="00065231"/>
    <w:rsid w:val="0007036F"/>
    <w:rsid w:val="0007543D"/>
    <w:rsid w:val="0007691C"/>
    <w:rsid w:val="000771A0"/>
    <w:rsid w:val="0007731A"/>
    <w:rsid w:val="00077A8F"/>
    <w:rsid w:val="00080F32"/>
    <w:rsid w:val="000813A7"/>
    <w:rsid w:val="000828A9"/>
    <w:rsid w:val="00083509"/>
    <w:rsid w:val="000936D2"/>
    <w:rsid w:val="00094B2E"/>
    <w:rsid w:val="00095AE3"/>
    <w:rsid w:val="000A0FE6"/>
    <w:rsid w:val="000A1013"/>
    <w:rsid w:val="000A3CD3"/>
    <w:rsid w:val="000B2DAD"/>
    <w:rsid w:val="000C2CFC"/>
    <w:rsid w:val="000D022A"/>
    <w:rsid w:val="000D3521"/>
    <w:rsid w:val="000D6B55"/>
    <w:rsid w:val="000D7263"/>
    <w:rsid w:val="000E15A6"/>
    <w:rsid w:val="000E22A6"/>
    <w:rsid w:val="000F03E4"/>
    <w:rsid w:val="000F2195"/>
    <w:rsid w:val="000F5C7D"/>
    <w:rsid w:val="000F7264"/>
    <w:rsid w:val="001001F1"/>
    <w:rsid w:val="0010043A"/>
    <w:rsid w:val="00104A76"/>
    <w:rsid w:val="0010560F"/>
    <w:rsid w:val="00107AB8"/>
    <w:rsid w:val="00111E4E"/>
    <w:rsid w:val="00116941"/>
    <w:rsid w:val="00116B3A"/>
    <w:rsid w:val="001173C5"/>
    <w:rsid w:val="00121186"/>
    <w:rsid w:val="001217C4"/>
    <w:rsid w:val="001244B3"/>
    <w:rsid w:val="00131B62"/>
    <w:rsid w:val="001369E4"/>
    <w:rsid w:val="001374D2"/>
    <w:rsid w:val="00137CB6"/>
    <w:rsid w:val="00141E5B"/>
    <w:rsid w:val="00147CCD"/>
    <w:rsid w:val="0015555D"/>
    <w:rsid w:val="00156977"/>
    <w:rsid w:val="00160916"/>
    <w:rsid w:val="001642EC"/>
    <w:rsid w:val="0016558B"/>
    <w:rsid w:val="001666B9"/>
    <w:rsid w:val="001769CF"/>
    <w:rsid w:val="0017754E"/>
    <w:rsid w:val="00180144"/>
    <w:rsid w:val="00181EE7"/>
    <w:rsid w:val="001820BC"/>
    <w:rsid w:val="001849DF"/>
    <w:rsid w:val="00187BFC"/>
    <w:rsid w:val="0019129C"/>
    <w:rsid w:val="0019248A"/>
    <w:rsid w:val="0019694C"/>
    <w:rsid w:val="00197BDB"/>
    <w:rsid w:val="001A1233"/>
    <w:rsid w:val="001A65CD"/>
    <w:rsid w:val="001B113A"/>
    <w:rsid w:val="001B346A"/>
    <w:rsid w:val="001B3A91"/>
    <w:rsid w:val="001B756E"/>
    <w:rsid w:val="001C0331"/>
    <w:rsid w:val="001C5BBB"/>
    <w:rsid w:val="001C7864"/>
    <w:rsid w:val="001C79AD"/>
    <w:rsid w:val="001D2A0E"/>
    <w:rsid w:val="001D46C9"/>
    <w:rsid w:val="001D5CD0"/>
    <w:rsid w:val="001D711B"/>
    <w:rsid w:val="001D78CE"/>
    <w:rsid w:val="001E0B38"/>
    <w:rsid w:val="001E3933"/>
    <w:rsid w:val="001E7A58"/>
    <w:rsid w:val="001E7B27"/>
    <w:rsid w:val="001F537A"/>
    <w:rsid w:val="001F64DB"/>
    <w:rsid w:val="001F6EC7"/>
    <w:rsid w:val="0020152E"/>
    <w:rsid w:val="0020559C"/>
    <w:rsid w:val="002074F1"/>
    <w:rsid w:val="00210B8E"/>
    <w:rsid w:val="00211127"/>
    <w:rsid w:val="00213E63"/>
    <w:rsid w:val="0021446A"/>
    <w:rsid w:val="00214B7D"/>
    <w:rsid w:val="002175E3"/>
    <w:rsid w:val="00217B7F"/>
    <w:rsid w:val="00220452"/>
    <w:rsid w:val="00220BDC"/>
    <w:rsid w:val="00222330"/>
    <w:rsid w:val="00223F7F"/>
    <w:rsid w:val="002335EB"/>
    <w:rsid w:val="00235F0E"/>
    <w:rsid w:val="00242D5E"/>
    <w:rsid w:val="002443EE"/>
    <w:rsid w:val="00244DA2"/>
    <w:rsid w:val="0024618B"/>
    <w:rsid w:val="00253B37"/>
    <w:rsid w:val="002547E8"/>
    <w:rsid w:val="00254D16"/>
    <w:rsid w:val="0025761F"/>
    <w:rsid w:val="00257DF2"/>
    <w:rsid w:val="00260073"/>
    <w:rsid w:val="00263EBA"/>
    <w:rsid w:val="00264DFF"/>
    <w:rsid w:val="002662FC"/>
    <w:rsid w:val="00272176"/>
    <w:rsid w:val="0027795A"/>
    <w:rsid w:val="00281CB0"/>
    <w:rsid w:val="002825B9"/>
    <w:rsid w:val="002830E9"/>
    <w:rsid w:val="00283F2B"/>
    <w:rsid w:val="00283FBE"/>
    <w:rsid w:val="002850FE"/>
    <w:rsid w:val="00285248"/>
    <w:rsid w:val="002859ED"/>
    <w:rsid w:val="00285CF5"/>
    <w:rsid w:val="00285D6C"/>
    <w:rsid w:val="00291C87"/>
    <w:rsid w:val="00291DFF"/>
    <w:rsid w:val="00296548"/>
    <w:rsid w:val="002A1624"/>
    <w:rsid w:val="002A70DB"/>
    <w:rsid w:val="002A777C"/>
    <w:rsid w:val="002B0B35"/>
    <w:rsid w:val="002B3B32"/>
    <w:rsid w:val="002B6461"/>
    <w:rsid w:val="002C02BC"/>
    <w:rsid w:val="002C2DDC"/>
    <w:rsid w:val="002C5E8D"/>
    <w:rsid w:val="002C7290"/>
    <w:rsid w:val="002D5443"/>
    <w:rsid w:val="002E13CA"/>
    <w:rsid w:val="002E18E7"/>
    <w:rsid w:val="002E3487"/>
    <w:rsid w:val="002E41FF"/>
    <w:rsid w:val="002F54A2"/>
    <w:rsid w:val="002F7A36"/>
    <w:rsid w:val="00301F89"/>
    <w:rsid w:val="00314760"/>
    <w:rsid w:val="00317F9F"/>
    <w:rsid w:val="00332081"/>
    <w:rsid w:val="00344B06"/>
    <w:rsid w:val="003550C4"/>
    <w:rsid w:val="00362B82"/>
    <w:rsid w:val="003650E2"/>
    <w:rsid w:val="00365522"/>
    <w:rsid w:val="003701CF"/>
    <w:rsid w:val="003838AF"/>
    <w:rsid w:val="00383C01"/>
    <w:rsid w:val="0039196C"/>
    <w:rsid w:val="003927F8"/>
    <w:rsid w:val="003973FE"/>
    <w:rsid w:val="003A0017"/>
    <w:rsid w:val="003A37C6"/>
    <w:rsid w:val="003A4AB8"/>
    <w:rsid w:val="003B4244"/>
    <w:rsid w:val="003B696F"/>
    <w:rsid w:val="003B6E86"/>
    <w:rsid w:val="003B6ED9"/>
    <w:rsid w:val="003C054F"/>
    <w:rsid w:val="003C07BA"/>
    <w:rsid w:val="003C2103"/>
    <w:rsid w:val="003C6440"/>
    <w:rsid w:val="003D02B2"/>
    <w:rsid w:val="003D23C3"/>
    <w:rsid w:val="003D2B00"/>
    <w:rsid w:val="003D35BD"/>
    <w:rsid w:val="003D3894"/>
    <w:rsid w:val="003D3D58"/>
    <w:rsid w:val="003D53A3"/>
    <w:rsid w:val="003E0333"/>
    <w:rsid w:val="003E4C5C"/>
    <w:rsid w:val="003F2AAE"/>
    <w:rsid w:val="003F512A"/>
    <w:rsid w:val="003F5357"/>
    <w:rsid w:val="00400BF5"/>
    <w:rsid w:val="00413252"/>
    <w:rsid w:val="0042742C"/>
    <w:rsid w:val="0043242B"/>
    <w:rsid w:val="00432A0B"/>
    <w:rsid w:val="004352FB"/>
    <w:rsid w:val="0044169D"/>
    <w:rsid w:val="00441B55"/>
    <w:rsid w:val="00446344"/>
    <w:rsid w:val="0045493F"/>
    <w:rsid w:val="00456B46"/>
    <w:rsid w:val="00456F32"/>
    <w:rsid w:val="00460076"/>
    <w:rsid w:val="0046110D"/>
    <w:rsid w:val="0046399B"/>
    <w:rsid w:val="00465AFD"/>
    <w:rsid w:val="00473809"/>
    <w:rsid w:val="00475F00"/>
    <w:rsid w:val="0048013E"/>
    <w:rsid w:val="004815E7"/>
    <w:rsid w:val="00486E61"/>
    <w:rsid w:val="00487089"/>
    <w:rsid w:val="00487A7C"/>
    <w:rsid w:val="00490E8C"/>
    <w:rsid w:val="00494F4F"/>
    <w:rsid w:val="004951FA"/>
    <w:rsid w:val="00496ED4"/>
    <w:rsid w:val="00497F93"/>
    <w:rsid w:val="004A09AB"/>
    <w:rsid w:val="004A5480"/>
    <w:rsid w:val="004A731E"/>
    <w:rsid w:val="004B3FB5"/>
    <w:rsid w:val="004C0276"/>
    <w:rsid w:val="004C4958"/>
    <w:rsid w:val="004C7BAF"/>
    <w:rsid w:val="004D2AA3"/>
    <w:rsid w:val="004D2DEC"/>
    <w:rsid w:val="004D4716"/>
    <w:rsid w:val="004E09E8"/>
    <w:rsid w:val="004E0AFD"/>
    <w:rsid w:val="004E2CCC"/>
    <w:rsid w:val="004E3639"/>
    <w:rsid w:val="004E4ED8"/>
    <w:rsid w:val="004E7FC1"/>
    <w:rsid w:val="004F21BC"/>
    <w:rsid w:val="00501FC5"/>
    <w:rsid w:val="00502331"/>
    <w:rsid w:val="00502AED"/>
    <w:rsid w:val="005063EB"/>
    <w:rsid w:val="00507B8F"/>
    <w:rsid w:val="005109AB"/>
    <w:rsid w:val="00512C4E"/>
    <w:rsid w:val="00515786"/>
    <w:rsid w:val="00516B3D"/>
    <w:rsid w:val="00521F21"/>
    <w:rsid w:val="00530E21"/>
    <w:rsid w:val="00530EB2"/>
    <w:rsid w:val="00536D9B"/>
    <w:rsid w:val="00536F2D"/>
    <w:rsid w:val="00540277"/>
    <w:rsid w:val="005450DC"/>
    <w:rsid w:val="00545A22"/>
    <w:rsid w:val="00546F9E"/>
    <w:rsid w:val="00547925"/>
    <w:rsid w:val="005501C3"/>
    <w:rsid w:val="00562223"/>
    <w:rsid w:val="00563060"/>
    <w:rsid w:val="0056578D"/>
    <w:rsid w:val="00567F79"/>
    <w:rsid w:val="00571E38"/>
    <w:rsid w:val="00572501"/>
    <w:rsid w:val="00572EAC"/>
    <w:rsid w:val="0057391B"/>
    <w:rsid w:val="00573E32"/>
    <w:rsid w:val="00574742"/>
    <w:rsid w:val="005753A1"/>
    <w:rsid w:val="00580A0F"/>
    <w:rsid w:val="0058418D"/>
    <w:rsid w:val="0059005F"/>
    <w:rsid w:val="00590CFC"/>
    <w:rsid w:val="00593F70"/>
    <w:rsid w:val="0059733B"/>
    <w:rsid w:val="005A0FD6"/>
    <w:rsid w:val="005A58FC"/>
    <w:rsid w:val="005A5DD3"/>
    <w:rsid w:val="005A74F8"/>
    <w:rsid w:val="005B146C"/>
    <w:rsid w:val="005B3B04"/>
    <w:rsid w:val="005B6CE0"/>
    <w:rsid w:val="005B6E45"/>
    <w:rsid w:val="005B7608"/>
    <w:rsid w:val="005C5DAB"/>
    <w:rsid w:val="005D08F2"/>
    <w:rsid w:val="005D1A60"/>
    <w:rsid w:val="005D5A62"/>
    <w:rsid w:val="005D6684"/>
    <w:rsid w:val="005E0EE7"/>
    <w:rsid w:val="005E1F66"/>
    <w:rsid w:val="005E229F"/>
    <w:rsid w:val="005E3336"/>
    <w:rsid w:val="005E42A4"/>
    <w:rsid w:val="005E4EB4"/>
    <w:rsid w:val="005E6CDE"/>
    <w:rsid w:val="005F19D9"/>
    <w:rsid w:val="005F2356"/>
    <w:rsid w:val="005F7E3C"/>
    <w:rsid w:val="00600681"/>
    <w:rsid w:val="00603863"/>
    <w:rsid w:val="00607000"/>
    <w:rsid w:val="00607102"/>
    <w:rsid w:val="00607A9E"/>
    <w:rsid w:val="00613500"/>
    <w:rsid w:val="0062266F"/>
    <w:rsid w:val="00622736"/>
    <w:rsid w:val="006230D5"/>
    <w:rsid w:val="00632157"/>
    <w:rsid w:val="00640087"/>
    <w:rsid w:val="00641017"/>
    <w:rsid w:val="00642383"/>
    <w:rsid w:val="00642BE3"/>
    <w:rsid w:val="00643538"/>
    <w:rsid w:val="00643601"/>
    <w:rsid w:val="00643DB6"/>
    <w:rsid w:val="00647321"/>
    <w:rsid w:val="00650642"/>
    <w:rsid w:val="00656326"/>
    <w:rsid w:val="006617E1"/>
    <w:rsid w:val="0066320C"/>
    <w:rsid w:val="00674B80"/>
    <w:rsid w:val="00675CBA"/>
    <w:rsid w:val="00684BE9"/>
    <w:rsid w:val="00685615"/>
    <w:rsid w:val="00685D1E"/>
    <w:rsid w:val="006937B1"/>
    <w:rsid w:val="006965DC"/>
    <w:rsid w:val="0069746D"/>
    <w:rsid w:val="006A027B"/>
    <w:rsid w:val="006A04C8"/>
    <w:rsid w:val="006A0E37"/>
    <w:rsid w:val="006A3410"/>
    <w:rsid w:val="006A499F"/>
    <w:rsid w:val="006A5E18"/>
    <w:rsid w:val="006A625A"/>
    <w:rsid w:val="006A736F"/>
    <w:rsid w:val="006C0188"/>
    <w:rsid w:val="006C0523"/>
    <w:rsid w:val="006D0296"/>
    <w:rsid w:val="006D12D8"/>
    <w:rsid w:val="006D3FEC"/>
    <w:rsid w:val="006D441F"/>
    <w:rsid w:val="006D5439"/>
    <w:rsid w:val="006D553D"/>
    <w:rsid w:val="006D6F2B"/>
    <w:rsid w:val="006E03C9"/>
    <w:rsid w:val="006E0400"/>
    <w:rsid w:val="006E28BD"/>
    <w:rsid w:val="006E6FF5"/>
    <w:rsid w:val="006E7D90"/>
    <w:rsid w:val="006F1FE6"/>
    <w:rsid w:val="006F576A"/>
    <w:rsid w:val="006F6A8A"/>
    <w:rsid w:val="0070729A"/>
    <w:rsid w:val="0071501C"/>
    <w:rsid w:val="00723D18"/>
    <w:rsid w:val="00723DEF"/>
    <w:rsid w:val="00724E8B"/>
    <w:rsid w:val="00730B80"/>
    <w:rsid w:val="00731784"/>
    <w:rsid w:val="0073203A"/>
    <w:rsid w:val="007333E0"/>
    <w:rsid w:val="00735C56"/>
    <w:rsid w:val="007401A2"/>
    <w:rsid w:val="00740357"/>
    <w:rsid w:val="00741010"/>
    <w:rsid w:val="00745075"/>
    <w:rsid w:val="00752662"/>
    <w:rsid w:val="0076060A"/>
    <w:rsid w:val="00764986"/>
    <w:rsid w:val="0076565C"/>
    <w:rsid w:val="00767F93"/>
    <w:rsid w:val="00770B59"/>
    <w:rsid w:val="00772230"/>
    <w:rsid w:val="00773A81"/>
    <w:rsid w:val="007758CD"/>
    <w:rsid w:val="00777E47"/>
    <w:rsid w:val="00790F00"/>
    <w:rsid w:val="0079269A"/>
    <w:rsid w:val="007937A9"/>
    <w:rsid w:val="007A373B"/>
    <w:rsid w:val="007A3874"/>
    <w:rsid w:val="007A4D2A"/>
    <w:rsid w:val="007A5C04"/>
    <w:rsid w:val="007A7078"/>
    <w:rsid w:val="007B1A6B"/>
    <w:rsid w:val="007B2F4B"/>
    <w:rsid w:val="007B7114"/>
    <w:rsid w:val="007B7FF7"/>
    <w:rsid w:val="007C6B5F"/>
    <w:rsid w:val="007C76A8"/>
    <w:rsid w:val="007D1294"/>
    <w:rsid w:val="007D1C4D"/>
    <w:rsid w:val="007D3F5E"/>
    <w:rsid w:val="007D6198"/>
    <w:rsid w:val="007E09AD"/>
    <w:rsid w:val="007E1B2A"/>
    <w:rsid w:val="007E536F"/>
    <w:rsid w:val="007F0337"/>
    <w:rsid w:val="007F0A5F"/>
    <w:rsid w:val="007F17E4"/>
    <w:rsid w:val="007F18A4"/>
    <w:rsid w:val="007F5B8E"/>
    <w:rsid w:val="007F6098"/>
    <w:rsid w:val="007F6381"/>
    <w:rsid w:val="007F65DC"/>
    <w:rsid w:val="00801328"/>
    <w:rsid w:val="00807B52"/>
    <w:rsid w:val="00812045"/>
    <w:rsid w:val="00813522"/>
    <w:rsid w:val="00822EA5"/>
    <w:rsid w:val="0082C960"/>
    <w:rsid w:val="00831A59"/>
    <w:rsid w:val="00833883"/>
    <w:rsid w:val="00846EFD"/>
    <w:rsid w:val="00853F64"/>
    <w:rsid w:val="008577BD"/>
    <w:rsid w:val="008612C9"/>
    <w:rsid w:val="0086133C"/>
    <w:rsid w:val="00862C5E"/>
    <w:rsid w:val="00864D00"/>
    <w:rsid w:val="0087178C"/>
    <w:rsid w:val="00873B6A"/>
    <w:rsid w:val="008747B6"/>
    <w:rsid w:val="00880BD6"/>
    <w:rsid w:val="00891493"/>
    <w:rsid w:val="00891B2E"/>
    <w:rsid w:val="008923DD"/>
    <w:rsid w:val="0089662D"/>
    <w:rsid w:val="008A0132"/>
    <w:rsid w:val="008A0AB5"/>
    <w:rsid w:val="008A0B62"/>
    <w:rsid w:val="008A0C3D"/>
    <w:rsid w:val="008A57A2"/>
    <w:rsid w:val="008B39E7"/>
    <w:rsid w:val="008B3D0D"/>
    <w:rsid w:val="008B4948"/>
    <w:rsid w:val="008B719F"/>
    <w:rsid w:val="008B7411"/>
    <w:rsid w:val="008C1E0F"/>
    <w:rsid w:val="008C31C1"/>
    <w:rsid w:val="008C35D2"/>
    <w:rsid w:val="008D3CDB"/>
    <w:rsid w:val="008D44BC"/>
    <w:rsid w:val="008E18C1"/>
    <w:rsid w:val="008E4256"/>
    <w:rsid w:val="008F49FC"/>
    <w:rsid w:val="008F6EB1"/>
    <w:rsid w:val="008F757A"/>
    <w:rsid w:val="00900EC0"/>
    <w:rsid w:val="00901242"/>
    <w:rsid w:val="00901B44"/>
    <w:rsid w:val="00902C8F"/>
    <w:rsid w:val="00907936"/>
    <w:rsid w:val="00907FC4"/>
    <w:rsid w:val="00915DEA"/>
    <w:rsid w:val="00916700"/>
    <w:rsid w:val="00921437"/>
    <w:rsid w:val="0093536E"/>
    <w:rsid w:val="00936C10"/>
    <w:rsid w:val="0094000E"/>
    <w:rsid w:val="00940F1D"/>
    <w:rsid w:val="009454BB"/>
    <w:rsid w:val="00957FA9"/>
    <w:rsid w:val="00961F55"/>
    <w:rsid w:val="00962ADC"/>
    <w:rsid w:val="0096512E"/>
    <w:rsid w:val="00965574"/>
    <w:rsid w:val="00970D15"/>
    <w:rsid w:val="00975D51"/>
    <w:rsid w:val="00977993"/>
    <w:rsid w:val="00980620"/>
    <w:rsid w:val="009854D6"/>
    <w:rsid w:val="009855CF"/>
    <w:rsid w:val="00986C16"/>
    <w:rsid w:val="00993B12"/>
    <w:rsid w:val="00994750"/>
    <w:rsid w:val="009A13C9"/>
    <w:rsid w:val="009A316A"/>
    <w:rsid w:val="009A3542"/>
    <w:rsid w:val="009A4E0C"/>
    <w:rsid w:val="009A51A6"/>
    <w:rsid w:val="009A738B"/>
    <w:rsid w:val="009B03E2"/>
    <w:rsid w:val="009B048C"/>
    <w:rsid w:val="009B13CC"/>
    <w:rsid w:val="009B7090"/>
    <w:rsid w:val="009B78C7"/>
    <w:rsid w:val="009C2810"/>
    <w:rsid w:val="009C2B27"/>
    <w:rsid w:val="009C4669"/>
    <w:rsid w:val="009C4C92"/>
    <w:rsid w:val="009C5504"/>
    <w:rsid w:val="009D45F5"/>
    <w:rsid w:val="009E0668"/>
    <w:rsid w:val="009E09B5"/>
    <w:rsid w:val="009E168A"/>
    <w:rsid w:val="009E2877"/>
    <w:rsid w:val="009E38B3"/>
    <w:rsid w:val="009E5D9D"/>
    <w:rsid w:val="009E74AA"/>
    <w:rsid w:val="009F019D"/>
    <w:rsid w:val="009F5793"/>
    <w:rsid w:val="00A06268"/>
    <w:rsid w:val="00A137D2"/>
    <w:rsid w:val="00A17A4A"/>
    <w:rsid w:val="00A226DB"/>
    <w:rsid w:val="00A23E00"/>
    <w:rsid w:val="00A30184"/>
    <w:rsid w:val="00A304C0"/>
    <w:rsid w:val="00A33BDA"/>
    <w:rsid w:val="00A37A67"/>
    <w:rsid w:val="00A43992"/>
    <w:rsid w:val="00A466A3"/>
    <w:rsid w:val="00A50CCB"/>
    <w:rsid w:val="00A52371"/>
    <w:rsid w:val="00A5512B"/>
    <w:rsid w:val="00A556E1"/>
    <w:rsid w:val="00A55A9A"/>
    <w:rsid w:val="00A60C6C"/>
    <w:rsid w:val="00A61DDF"/>
    <w:rsid w:val="00A65185"/>
    <w:rsid w:val="00A66F51"/>
    <w:rsid w:val="00A71477"/>
    <w:rsid w:val="00A75E67"/>
    <w:rsid w:val="00A75FD5"/>
    <w:rsid w:val="00A83DB6"/>
    <w:rsid w:val="00A8534F"/>
    <w:rsid w:val="00A87247"/>
    <w:rsid w:val="00A87351"/>
    <w:rsid w:val="00A87479"/>
    <w:rsid w:val="00A87D27"/>
    <w:rsid w:val="00A908E7"/>
    <w:rsid w:val="00A917A9"/>
    <w:rsid w:val="00A961A7"/>
    <w:rsid w:val="00AA325B"/>
    <w:rsid w:val="00AA3C88"/>
    <w:rsid w:val="00AA47FC"/>
    <w:rsid w:val="00AA5E29"/>
    <w:rsid w:val="00AA61A4"/>
    <w:rsid w:val="00AB261A"/>
    <w:rsid w:val="00AC2E30"/>
    <w:rsid w:val="00AC3136"/>
    <w:rsid w:val="00AC3335"/>
    <w:rsid w:val="00AC4A6F"/>
    <w:rsid w:val="00AC4D3C"/>
    <w:rsid w:val="00AC7550"/>
    <w:rsid w:val="00AC7AE1"/>
    <w:rsid w:val="00AD06E4"/>
    <w:rsid w:val="00AD2E56"/>
    <w:rsid w:val="00AD784B"/>
    <w:rsid w:val="00AE370B"/>
    <w:rsid w:val="00AE6C4C"/>
    <w:rsid w:val="00AE7532"/>
    <w:rsid w:val="00AF1B31"/>
    <w:rsid w:val="00AF5928"/>
    <w:rsid w:val="00B034A5"/>
    <w:rsid w:val="00B03871"/>
    <w:rsid w:val="00B045AF"/>
    <w:rsid w:val="00B05995"/>
    <w:rsid w:val="00B0729F"/>
    <w:rsid w:val="00B1260C"/>
    <w:rsid w:val="00B1290C"/>
    <w:rsid w:val="00B13FD1"/>
    <w:rsid w:val="00B1400C"/>
    <w:rsid w:val="00B2075D"/>
    <w:rsid w:val="00B22963"/>
    <w:rsid w:val="00B248F7"/>
    <w:rsid w:val="00B264EF"/>
    <w:rsid w:val="00B268F8"/>
    <w:rsid w:val="00B43705"/>
    <w:rsid w:val="00B47DF2"/>
    <w:rsid w:val="00B505A5"/>
    <w:rsid w:val="00B51A5E"/>
    <w:rsid w:val="00B55E42"/>
    <w:rsid w:val="00B5665B"/>
    <w:rsid w:val="00B72BFE"/>
    <w:rsid w:val="00B745DB"/>
    <w:rsid w:val="00B75C8F"/>
    <w:rsid w:val="00B81F35"/>
    <w:rsid w:val="00B82404"/>
    <w:rsid w:val="00B87108"/>
    <w:rsid w:val="00B938E3"/>
    <w:rsid w:val="00B9562E"/>
    <w:rsid w:val="00B965D3"/>
    <w:rsid w:val="00B97E64"/>
    <w:rsid w:val="00BA0272"/>
    <w:rsid w:val="00BA37A0"/>
    <w:rsid w:val="00BA7065"/>
    <w:rsid w:val="00BB2876"/>
    <w:rsid w:val="00BB66CC"/>
    <w:rsid w:val="00BC77BA"/>
    <w:rsid w:val="00BD1CD4"/>
    <w:rsid w:val="00BE00D9"/>
    <w:rsid w:val="00BE15B2"/>
    <w:rsid w:val="00BE496A"/>
    <w:rsid w:val="00BE5EA6"/>
    <w:rsid w:val="00BF14E5"/>
    <w:rsid w:val="00BF1A9F"/>
    <w:rsid w:val="00BF4D5F"/>
    <w:rsid w:val="00BF6BEC"/>
    <w:rsid w:val="00C00084"/>
    <w:rsid w:val="00C0172B"/>
    <w:rsid w:val="00C02988"/>
    <w:rsid w:val="00C02E94"/>
    <w:rsid w:val="00C13339"/>
    <w:rsid w:val="00C322EE"/>
    <w:rsid w:val="00C42BFD"/>
    <w:rsid w:val="00C46156"/>
    <w:rsid w:val="00C60A40"/>
    <w:rsid w:val="00C6170D"/>
    <w:rsid w:val="00C73D87"/>
    <w:rsid w:val="00C73FB6"/>
    <w:rsid w:val="00C753D4"/>
    <w:rsid w:val="00C76C8C"/>
    <w:rsid w:val="00C82461"/>
    <w:rsid w:val="00C828CB"/>
    <w:rsid w:val="00C8483D"/>
    <w:rsid w:val="00C84DF3"/>
    <w:rsid w:val="00C90CB4"/>
    <w:rsid w:val="00C95B40"/>
    <w:rsid w:val="00C97ADE"/>
    <w:rsid w:val="00CA1728"/>
    <w:rsid w:val="00CA2DDD"/>
    <w:rsid w:val="00CA2EF2"/>
    <w:rsid w:val="00CA46E2"/>
    <w:rsid w:val="00CB2F08"/>
    <w:rsid w:val="00CB4AF2"/>
    <w:rsid w:val="00CC23ED"/>
    <w:rsid w:val="00CC30AA"/>
    <w:rsid w:val="00CC5A9B"/>
    <w:rsid w:val="00CD2AA2"/>
    <w:rsid w:val="00CD2CA7"/>
    <w:rsid w:val="00CD3679"/>
    <w:rsid w:val="00CE1EBB"/>
    <w:rsid w:val="00CE2B97"/>
    <w:rsid w:val="00CF2123"/>
    <w:rsid w:val="00CF5BAD"/>
    <w:rsid w:val="00CF664B"/>
    <w:rsid w:val="00D00F7B"/>
    <w:rsid w:val="00D02AB5"/>
    <w:rsid w:val="00D049AF"/>
    <w:rsid w:val="00D056B2"/>
    <w:rsid w:val="00D06781"/>
    <w:rsid w:val="00D07353"/>
    <w:rsid w:val="00D122E5"/>
    <w:rsid w:val="00D17C58"/>
    <w:rsid w:val="00D17FB8"/>
    <w:rsid w:val="00D20ABB"/>
    <w:rsid w:val="00D30CF4"/>
    <w:rsid w:val="00D320E5"/>
    <w:rsid w:val="00D37059"/>
    <w:rsid w:val="00D42D68"/>
    <w:rsid w:val="00D43D2A"/>
    <w:rsid w:val="00D50E94"/>
    <w:rsid w:val="00D60E3A"/>
    <w:rsid w:val="00D64EAF"/>
    <w:rsid w:val="00D70577"/>
    <w:rsid w:val="00D76B6E"/>
    <w:rsid w:val="00D770DC"/>
    <w:rsid w:val="00D805AB"/>
    <w:rsid w:val="00D84287"/>
    <w:rsid w:val="00D842B1"/>
    <w:rsid w:val="00D86583"/>
    <w:rsid w:val="00D9083C"/>
    <w:rsid w:val="00D97CD1"/>
    <w:rsid w:val="00D97DE4"/>
    <w:rsid w:val="00DA69C5"/>
    <w:rsid w:val="00DB224C"/>
    <w:rsid w:val="00DB798B"/>
    <w:rsid w:val="00DC0483"/>
    <w:rsid w:val="00DC1341"/>
    <w:rsid w:val="00DC505C"/>
    <w:rsid w:val="00DC5A26"/>
    <w:rsid w:val="00DC5EDA"/>
    <w:rsid w:val="00DC7E43"/>
    <w:rsid w:val="00DD06FB"/>
    <w:rsid w:val="00DD21F2"/>
    <w:rsid w:val="00DD716A"/>
    <w:rsid w:val="00DE0C91"/>
    <w:rsid w:val="00DE42D8"/>
    <w:rsid w:val="00DF0E3A"/>
    <w:rsid w:val="00DF22F7"/>
    <w:rsid w:val="00DF26F5"/>
    <w:rsid w:val="00DF63D3"/>
    <w:rsid w:val="00E02EE4"/>
    <w:rsid w:val="00E06B35"/>
    <w:rsid w:val="00E074C5"/>
    <w:rsid w:val="00E128A2"/>
    <w:rsid w:val="00E1299C"/>
    <w:rsid w:val="00E136C8"/>
    <w:rsid w:val="00E1728E"/>
    <w:rsid w:val="00E20ED6"/>
    <w:rsid w:val="00E23756"/>
    <w:rsid w:val="00E25D6B"/>
    <w:rsid w:val="00E26C5F"/>
    <w:rsid w:val="00E354ED"/>
    <w:rsid w:val="00E40C82"/>
    <w:rsid w:val="00E42991"/>
    <w:rsid w:val="00E550B0"/>
    <w:rsid w:val="00E55A66"/>
    <w:rsid w:val="00E567BA"/>
    <w:rsid w:val="00E6468C"/>
    <w:rsid w:val="00E70499"/>
    <w:rsid w:val="00E7163B"/>
    <w:rsid w:val="00E71651"/>
    <w:rsid w:val="00E72AF5"/>
    <w:rsid w:val="00E76971"/>
    <w:rsid w:val="00E773B1"/>
    <w:rsid w:val="00E77B25"/>
    <w:rsid w:val="00E93134"/>
    <w:rsid w:val="00E932E1"/>
    <w:rsid w:val="00E95BD2"/>
    <w:rsid w:val="00E960A2"/>
    <w:rsid w:val="00E9781E"/>
    <w:rsid w:val="00EA0476"/>
    <w:rsid w:val="00EA2B92"/>
    <w:rsid w:val="00EB317A"/>
    <w:rsid w:val="00EB5AE4"/>
    <w:rsid w:val="00EB7C58"/>
    <w:rsid w:val="00EC2E7C"/>
    <w:rsid w:val="00EC3C87"/>
    <w:rsid w:val="00EC4392"/>
    <w:rsid w:val="00ED1F9D"/>
    <w:rsid w:val="00ED3648"/>
    <w:rsid w:val="00EE2BAE"/>
    <w:rsid w:val="00EE7CF8"/>
    <w:rsid w:val="00EF6756"/>
    <w:rsid w:val="00EF7119"/>
    <w:rsid w:val="00F01A9C"/>
    <w:rsid w:val="00F02144"/>
    <w:rsid w:val="00F02267"/>
    <w:rsid w:val="00F02B74"/>
    <w:rsid w:val="00F03040"/>
    <w:rsid w:val="00F06031"/>
    <w:rsid w:val="00F072DF"/>
    <w:rsid w:val="00F117ED"/>
    <w:rsid w:val="00F140B1"/>
    <w:rsid w:val="00F16903"/>
    <w:rsid w:val="00F20713"/>
    <w:rsid w:val="00F20D1A"/>
    <w:rsid w:val="00F233E3"/>
    <w:rsid w:val="00F259B5"/>
    <w:rsid w:val="00F27575"/>
    <w:rsid w:val="00F32597"/>
    <w:rsid w:val="00F349BC"/>
    <w:rsid w:val="00F373AB"/>
    <w:rsid w:val="00F428A9"/>
    <w:rsid w:val="00F443BF"/>
    <w:rsid w:val="00F44C35"/>
    <w:rsid w:val="00F45F44"/>
    <w:rsid w:val="00F46662"/>
    <w:rsid w:val="00F4735F"/>
    <w:rsid w:val="00F476A3"/>
    <w:rsid w:val="00F53F57"/>
    <w:rsid w:val="00F54B30"/>
    <w:rsid w:val="00F550D3"/>
    <w:rsid w:val="00F5659D"/>
    <w:rsid w:val="00F646BE"/>
    <w:rsid w:val="00F64E2C"/>
    <w:rsid w:val="00F7590E"/>
    <w:rsid w:val="00F765B5"/>
    <w:rsid w:val="00F8379A"/>
    <w:rsid w:val="00F83855"/>
    <w:rsid w:val="00F9521C"/>
    <w:rsid w:val="00F95D12"/>
    <w:rsid w:val="00FA0B7E"/>
    <w:rsid w:val="00FA1315"/>
    <w:rsid w:val="00FA2939"/>
    <w:rsid w:val="00FB776B"/>
    <w:rsid w:val="00FC0D4C"/>
    <w:rsid w:val="00FC22B7"/>
    <w:rsid w:val="00FC4405"/>
    <w:rsid w:val="00FD005D"/>
    <w:rsid w:val="00FD16D1"/>
    <w:rsid w:val="00FD28FD"/>
    <w:rsid w:val="00FD4AE5"/>
    <w:rsid w:val="00FE14FC"/>
    <w:rsid w:val="00FE2EE0"/>
    <w:rsid w:val="00FE2F50"/>
    <w:rsid w:val="00FF1AE3"/>
    <w:rsid w:val="00FF20BF"/>
    <w:rsid w:val="00FF37CF"/>
    <w:rsid w:val="00FF5618"/>
    <w:rsid w:val="00FF600B"/>
    <w:rsid w:val="00FF6497"/>
    <w:rsid w:val="00FF65F9"/>
    <w:rsid w:val="013A2BB9"/>
    <w:rsid w:val="02A59EA7"/>
    <w:rsid w:val="03D12F12"/>
    <w:rsid w:val="04D7A222"/>
    <w:rsid w:val="054E1090"/>
    <w:rsid w:val="055C1873"/>
    <w:rsid w:val="05E0D432"/>
    <w:rsid w:val="0743E765"/>
    <w:rsid w:val="07F4823C"/>
    <w:rsid w:val="08F161D9"/>
    <w:rsid w:val="0BD19085"/>
    <w:rsid w:val="0CDE8417"/>
    <w:rsid w:val="0D3FFB72"/>
    <w:rsid w:val="0D42A0D1"/>
    <w:rsid w:val="0EA3BF8C"/>
    <w:rsid w:val="0EC40A2B"/>
    <w:rsid w:val="0F6E092F"/>
    <w:rsid w:val="0F99BE81"/>
    <w:rsid w:val="0FB37AC4"/>
    <w:rsid w:val="113D2FCB"/>
    <w:rsid w:val="123DDF55"/>
    <w:rsid w:val="13D9AFB6"/>
    <w:rsid w:val="145DCF8F"/>
    <w:rsid w:val="16D70996"/>
    <w:rsid w:val="16F6DEA8"/>
    <w:rsid w:val="1787332C"/>
    <w:rsid w:val="188E69D1"/>
    <w:rsid w:val="1895FB4C"/>
    <w:rsid w:val="1A890EAD"/>
    <w:rsid w:val="1B0B123E"/>
    <w:rsid w:val="1B826384"/>
    <w:rsid w:val="1BC60A93"/>
    <w:rsid w:val="1CD8848E"/>
    <w:rsid w:val="1D62C5A0"/>
    <w:rsid w:val="1F2F1F8E"/>
    <w:rsid w:val="1F6B5A5A"/>
    <w:rsid w:val="208DA7E6"/>
    <w:rsid w:val="20C8988A"/>
    <w:rsid w:val="20CB9351"/>
    <w:rsid w:val="22640D5D"/>
    <w:rsid w:val="233A10C2"/>
    <w:rsid w:val="2363D346"/>
    <w:rsid w:val="254DBE9C"/>
    <w:rsid w:val="270D6099"/>
    <w:rsid w:val="28A20FA3"/>
    <w:rsid w:val="28F7B923"/>
    <w:rsid w:val="2900E031"/>
    <w:rsid w:val="29A95246"/>
    <w:rsid w:val="29C39636"/>
    <w:rsid w:val="2A6F42D6"/>
    <w:rsid w:val="2B7147D1"/>
    <w:rsid w:val="2BCDF159"/>
    <w:rsid w:val="2CB34EE5"/>
    <w:rsid w:val="2DFAC311"/>
    <w:rsid w:val="2F262DAC"/>
    <w:rsid w:val="3014412B"/>
    <w:rsid w:val="30590913"/>
    <w:rsid w:val="31E31D7D"/>
    <w:rsid w:val="3389CCA3"/>
    <w:rsid w:val="34C75998"/>
    <w:rsid w:val="350B5CF6"/>
    <w:rsid w:val="370B3767"/>
    <w:rsid w:val="38CAD408"/>
    <w:rsid w:val="3A304036"/>
    <w:rsid w:val="3A38F70A"/>
    <w:rsid w:val="3A4546EF"/>
    <w:rsid w:val="3AB307C8"/>
    <w:rsid w:val="3AE25A39"/>
    <w:rsid w:val="3B6333F7"/>
    <w:rsid w:val="3B678EB1"/>
    <w:rsid w:val="3CFF0458"/>
    <w:rsid w:val="3F40F037"/>
    <w:rsid w:val="3F5658F3"/>
    <w:rsid w:val="40C5F4CC"/>
    <w:rsid w:val="40DCC098"/>
    <w:rsid w:val="40FC95AA"/>
    <w:rsid w:val="423DBC3C"/>
    <w:rsid w:val="42FDE502"/>
    <w:rsid w:val="432884A4"/>
    <w:rsid w:val="43B4EF3D"/>
    <w:rsid w:val="44C45505"/>
    <w:rsid w:val="46A6B00C"/>
    <w:rsid w:val="483E843E"/>
    <w:rsid w:val="496FEFB7"/>
    <w:rsid w:val="4A674906"/>
    <w:rsid w:val="4C1CD8B7"/>
    <w:rsid w:val="4C204725"/>
    <w:rsid w:val="4C3C2F65"/>
    <w:rsid w:val="4C61A7A7"/>
    <w:rsid w:val="4CCF66EA"/>
    <w:rsid w:val="4DDE6DEC"/>
    <w:rsid w:val="4E6B374B"/>
    <w:rsid w:val="4E891787"/>
    <w:rsid w:val="4F420496"/>
    <w:rsid w:val="4F4F88F1"/>
    <w:rsid w:val="4FB1A02F"/>
    <w:rsid w:val="4FBE519B"/>
    <w:rsid w:val="5238711C"/>
    <w:rsid w:val="54171F3E"/>
    <w:rsid w:val="544EC8FA"/>
    <w:rsid w:val="576A0C23"/>
    <w:rsid w:val="5938BA82"/>
    <w:rsid w:val="59C39A07"/>
    <w:rsid w:val="5A9DC0B5"/>
    <w:rsid w:val="5BFD3DAF"/>
    <w:rsid w:val="5C0D8ED0"/>
    <w:rsid w:val="5C76FADA"/>
    <w:rsid w:val="5CE109F3"/>
    <w:rsid w:val="5DDBBC6D"/>
    <w:rsid w:val="5E103F8B"/>
    <w:rsid w:val="5EC0EF15"/>
    <w:rsid w:val="602518FC"/>
    <w:rsid w:val="60C29E96"/>
    <w:rsid w:val="60D329DA"/>
    <w:rsid w:val="60E1DDF3"/>
    <w:rsid w:val="622EBFD4"/>
    <w:rsid w:val="644AFDF1"/>
    <w:rsid w:val="644CC8AE"/>
    <w:rsid w:val="66562E95"/>
    <w:rsid w:val="66EEA440"/>
    <w:rsid w:val="67647C79"/>
    <w:rsid w:val="68375D9A"/>
    <w:rsid w:val="6866D351"/>
    <w:rsid w:val="6A669717"/>
    <w:rsid w:val="6ABFBE35"/>
    <w:rsid w:val="6B038634"/>
    <w:rsid w:val="6B14DD40"/>
    <w:rsid w:val="6C603F33"/>
    <w:rsid w:val="6DD234E2"/>
    <w:rsid w:val="6F289959"/>
    <w:rsid w:val="708DA0D3"/>
    <w:rsid w:val="714BC987"/>
    <w:rsid w:val="729CF4AE"/>
    <w:rsid w:val="72EC0936"/>
    <w:rsid w:val="730D3CDB"/>
    <w:rsid w:val="744D781E"/>
    <w:rsid w:val="74A79B76"/>
    <w:rsid w:val="74ADC141"/>
    <w:rsid w:val="752B07E9"/>
    <w:rsid w:val="75ED1BFC"/>
    <w:rsid w:val="765C9D2D"/>
    <w:rsid w:val="782FB604"/>
    <w:rsid w:val="7833DA4C"/>
    <w:rsid w:val="7871C97C"/>
    <w:rsid w:val="7912D99D"/>
    <w:rsid w:val="79580879"/>
    <w:rsid w:val="79CB8665"/>
    <w:rsid w:val="7ABF2868"/>
    <w:rsid w:val="7C9082C6"/>
    <w:rsid w:val="7CB57A5F"/>
    <w:rsid w:val="7D6A98AD"/>
    <w:rsid w:val="7EB9451F"/>
    <w:rsid w:val="7ED1A6E7"/>
    <w:rsid w:val="7F902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4E5F"/>
  <w15:chartTrackingRefBased/>
  <w15:docId w15:val="{F9E70515-4659-43EA-A6CC-C1D4D3E8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FF5"/>
  </w:style>
  <w:style w:type="paragraph" w:styleId="Heading1">
    <w:name w:val="heading 1"/>
    <w:aliases w:val="My Heading 1"/>
    <w:basedOn w:val="Normal"/>
    <w:next w:val="Normal"/>
    <w:link w:val="Heading1Char"/>
    <w:uiPriority w:val="9"/>
    <w:qFormat/>
    <w:rsid w:val="00A83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A83D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E12"/>
    <w:pPr>
      <w:ind w:left="720"/>
      <w:contextualSpacing/>
    </w:pPr>
  </w:style>
  <w:style w:type="paragraph" w:styleId="PlainText">
    <w:name w:val="Plain Text"/>
    <w:basedOn w:val="Normal"/>
    <w:link w:val="PlainTextChar"/>
    <w:uiPriority w:val="99"/>
    <w:unhideWhenUsed/>
    <w:rsid w:val="003F2AA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F2AAE"/>
    <w:rPr>
      <w:rFonts w:ascii="Calibri" w:hAnsi="Calibri"/>
      <w:szCs w:val="21"/>
    </w:rPr>
  </w:style>
  <w:style w:type="character" w:styleId="CommentReference">
    <w:name w:val="annotation reference"/>
    <w:basedOn w:val="DefaultParagraphFont"/>
    <w:uiPriority w:val="99"/>
    <w:semiHidden/>
    <w:unhideWhenUsed/>
    <w:rsid w:val="00AA325B"/>
    <w:rPr>
      <w:sz w:val="16"/>
      <w:szCs w:val="16"/>
    </w:rPr>
  </w:style>
  <w:style w:type="paragraph" w:styleId="CommentText">
    <w:name w:val="annotation text"/>
    <w:basedOn w:val="Normal"/>
    <w:link w:val="CommentTextChar"/>
    <w:uiPriority w:val="99"/>
    <w:semiHidden/>
    <w:unhideWhenUsed/>
    <w:rsid w:val="00AA325B"/>
    <w:pPr>
      <w:spacing w:line="240" w:lineRule="auto"/>
    </w:pPr>
    <w:rPr>
      <w:sz w:val="20"/>
      <w:szCs w:val="20"/>
    </w:rPr>
  </w:style>
  <w:style w:type="character" w:customStyle="1" w:styleId="CommentTextChar">
    <w:name w:val="Comment Text Char"/>
    <w:basedOn w:val="DefaultParagraphFont"/>
    <w:link w:val="CommentText"/>
    <w:uiPriority w:val="99"/>
    <w:semiHidden/>
    <w:rsid w:val="00AA325B"/>
    <w:rPr>
      <w:sz w:val="20"/>
      <w:szCs w:val="20"/>
    </w:rPr>
  </w:style>
  <w:style w:type="paragraph" w:styleId="CommentSubject">
    <w:name w:val="annotation subject"/>
    <w:basedOn w:val="CommentText"/>
    <w:next w:val="CommentText"/>
    <w:link w:val="CommentSubjectChar"/>
    <w:uiPriority w:val="99"/>
    <w:semiHidden/>
    <w:unhideWhenUsed/>
    <w:rsid w:val="00AA325B"/>
    <w:rPr>
      <w:b/>
      <w:bCs/>
    </w:rPr>
  </w:style>
  <w:style w:type="character" w:customStyle="1" w:styleId="CommentSubjectChar">
    <w:name w:val="Comment Subject Char"/>
    <w:basedOn w:val="CommentTextChar"/>
    <w:link w:val="CommentSubject"/>
    <w:uiPriority w:val="99"/>
    <w:semiHidden/>
    <w:rsid w:val="00AA325B"/>
    <w:rPr>
      <w:b/>
      <w:bCs/>
      <w:sz w:val="20"/>
      <w:szCs w:val="20"/>
    </w:rPr>
  </w:style>
  <w:style w:type="paragraph" w:styleId="BalloonText">
    <w:name w:val="Balloon Text"/>
    <w:basedOn w:val="Normal"/>
    <w:link w:val="BalloonTextChar"/>
    <w:uiPriority w:val="99"/>
    <w:semiHidden/>
    <w:unhideWhenUsed/>
    <w:rsid w:val="00AA32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5B"/>
    <w:rPr>
      <w:rFonts w:ascii="Segoe UI" w:hAnsi="Segoe UI" w:cs="Segoe UI"/>
      <w:sz w:val="18"/>
      <w:szCs w:val="18"/>
    </w:rPr>
  </w:style>
  <w:style w:type="paragraph" w:styleId="HTMLPreformatted">
    <w:name w:val="HTML Preformatted"/>
    <w:basedOn w:val="Normal"/>
    <w:link w:val="HTMLPreformattedChar"/>
    <w:uiPriority w:val="99"/>
    <w:semiHidden/>
    <w:unhideWhenUsed/>
    <w:rsid w:val="00AF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1B31"/>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06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B35"/>
  </w:style>
  <w:style w:type="paragraph" w:styleId="Footer">
    <w:name w:val="footer"/>
    <w:basedOn w:val="Normal"/>
    <w:link w:val="FooterChar"/>
    <w:uiPriority w:val="99"/>
    <w:unhideWhenUsed/>
    <w:rsid w:val="00E06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B35"/>
  </w:style>
  <w:style w:type="paragraph" w:customStyle="1" w:styleId="EndNoteBibliographyTitle">
    <w:name w:val="EndNote Bibliography Title"/>
    <w:basedOn w:val="Normal"/>
    <w:link w:val="EndNoteBibliographyTitleChar"/>
    <w:rsid w:val="00C0298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02988"/>
    <w:rPr>
      <w:rFonts w:ascii="Calibri" w:hAnsi="Calibri" w:cs="Calibri"/>
      <w:noProof/>
      <w:lang w:val="en-US"/>
    </w:rPr>
  </w:style>
  <w:style w:type="paragraph" w:customStyle="1" w:styleId="EndNoteBibliography">
    <w:name w:val="EndNote Bibliography"/>
    <w:basedOn w:val="Normal"/>
    <w:link w:val="EndNoteBibliographyChar"/>
    <w:rsid w:val="00C0298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02988"/>
    <w:rPr>
      <w:rFonts w:ascii="Calibri" w:hAnsi="Calibri" w:cs="Calibri"/>
      <w:noProof/>
      <w:lang w:val="en-US"/>
    </w:rPr>
  </w:style>
  <w:style w:type="character" w:styleId="Hyperlink">
    <w:name w:val="Hyperlink"/>
    <w:basedOn w:val="DefaultParagraphFont"/>
    <w:uiPriority w:val="99"/>
    <w:unhideWhenUsed/>
    <w:rsid w:val="008B3D0D"/>
    <w:rPr>
      <w:color w:val="0563C1" w:themeColor="hyperlink"/>
      <w:u w:val="single"/>
    </w:rPr>
  </w:style>
  <w:style w:type="paragraph" w:styleId="Caption">
    <w:name w:val="caption"/>
    <w:basedOn w:val="Normal"/>
    <w:next w:val="Normal"/>
    <w:uiPriority w:val="35"/>
    <w:unhideWhenUsed/>
    <w:qFormat/>
    <w:rsid w:val="00512C4E"/>
    <w:pPr>
      <w:spacing w:after="200" w:line="240" w:lineRule="auto"/>
    </w:pPr>
    <w:rPr>
      <w:i/>
      <w:iCs/>
      <w:color w:val="44546A" w:themeColor="text2"/>
      <w:sz w:val="18"/>
      <w:szCs w:val="18"/>
    </w:rPr>
  </w:style>
  <w:style w:type="table" w:styleId="TableGrid">
    <w:name w:val="Table Grid"/>
    <w:basedOn w:val="TableNormal"/>
    <w:uiPriority w:val="39"/>
    <w:rsid w:val="0069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465AFD"/>
  </w:style>
  <w:style w:type="character" w:styleId="FollowedHyperlink">
    <w:name w:val="FollowedHyperlink"/>
    <w:basedOn w:val="DefaultParagraphFont"/>
    <w:uiPriority w:val="99"/>
    <w:semiHidden/>
    <w:unhideWhenUsed/>
    <w:rsid w:val="00891B2E"/>
    <w:rPr>
      <w:color w:val="954F72" w:themeColor="followedHyperlink"/>
      <w:u w:val="single"/>
    </w:rPr>
  </w:style>
  <w:style w:type="character" w:styleId="PlaceholderText">
    <w:name w:val="Placeholder Text"/>
    <w:basedOn w:val="DefaultParagraphFont"/>
    <w:uiPriority w:val="99"/>
    <w:semiHidden/>
    <w:rsid w:val="001B113A"/>
    <w:rPr>
      <w:color w:val="808080"/>
    </w:rPr>
  </w:style>
  <w:style w:type="character" w:customStyle="1" w:styleId="UnresolvedMention">
    <w:name w:val="Unresolved Mention"/>
    <w:basedOn w:val="DefaultParagraphFont"/>
    <w:uiPriority w:val="99"/>
    <w:semiHidden/>
    <w:unhideWhenUsed/>
    <w:rsid w:val="00632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83257">
      <w:bodyDiv w:val="1"/>
      <w:marLeft w:val="0"/>
      <w:marRight w:val="0"/>
      <w:marTop w:val="0"/>
      <w:marBottom w:val="0"/>
      <w:divBdr>
        <w:top w:val="none" w:sz="0" w:space="0" w:color="auto"/>
        <w:left w:val="none" w:sz="0" w:space="0" w:color="auto"/>
        <w:bottom w:val="none" w:sz="0" w:space="0" w:color="auto"/>
        <w:right w:val="none" w:sz="0" w:space="0" w:color="auto"/>
      </w:divBdr>
    </w:div>
    <w:div w:id="697390247">
      <w:bodyDiv w:val="1"/>
      <w:marLeft w:val="0"/>
      <w:marRight w:val="0"/>
      <w:marTop w:val="0"/>
      <w:marBottom w:val="0"/>
      <w:divBdr>
        <w:top w:val="none" w:sz="0" w:space="0" w:color="auto"/>
        <w:left w:val="none" w:sz="0" w:space="0" w:color="auto"/>
        <w:bottom w:val="none" w:sz="0" w:space="0" w:color="auto"/>
        <w:right w:val="none" w:sz="0" w:space="0" w:color="auto"/>
      </w:divBdr>
    </w:div>
    <w:div w:id="926429370">
      <w:bodyDiv w:val="1"/>
      <w:marLeft w:val="0"/>
      <w:marRight w:val="0"/>
      <w:marTop w:val="0"/>
      <w:marBottom w:val="0"/>
      <w:divBdr>
        <w:top w:val="none" w:sz="0" w:space="0" w:color="auto"/>
        <w:left w:val="none" w:sz="0" w:space="0" w:color="auto"/>
        <w:bottom w:val="none" w:sz="0" w:space="0" w:color="auto"/>
        <w:right w:val="none" w:sz="0" w:space="0" w:color="auto"/>
      </w:divBdr>
    </w:div>
    <w:div w:id="952711535">
      <w:bodyDiv w:val="1"/>
      <w:marLeft w:val="0"/>
      <w:marRight w:val="0"/>
      <w:marTop w:val="0"/>
      <w:marBottom w:val="0"/>
      <w:divBdr>
        <w:top w:val="none" w:sz="0" w:space="0" w:color="auto"/>
        <w:left w:val="none" w:sz="0" w:space="0" w:color="auto"/>
        <w:bottom w:val="none" w:sz="0" w:space="0" w:color="auto"/>
        <w:right w:val="none" w:sz="0" w:space="0" w:color="auto"/>
      </w:divBdr>
    </w:div>
    <w:div w:id="963196100">
      <w:bodyDiv w:val="1"/>
      <w:marLeft w:val="0"/>
      <w:marRight w:val="0"/>
      <w:marTop w:val="0"/>
      <w:marBottom w:val="0"/>
      <w:divBdr>
        <w:top w:val="none" w:sz="0" w:space="0" w:color="auto"/>
        <w:left w:val="none" w:sz="0" w:space="0" w:color="auto"/>
        <w:bottom w:val="none" w:sz="0" w:space="0" w:color="auto"/>
        <w:right w:val="none" w:sz="0" w:space="0" w:color="auto"/>
      </w:divBdr>
    </w:div>
    <w:div w:id="1192692980">
      <w:bodyDiv w:val="1"/>
      <w:marLeft w:val="0"/>
      <w:marRight w:val="0"/>
      <w:marTop w:val="0"/>
      <w:marBottom w:val="0"/>
      <w:divBdr>
        <w:top w:val="none" w:sz="0" w:space="0" w:color="auto"/>
        <w:left w:val="none" w:sz="0" w:space="0" w:color="auto"/>
        <w:bottom w:val="none" w:sz="0" w:space="0" w:color="auto"/>
        <w:right w:val="none" w:sz="0" w:space="0" w:color="auto"/>
      </w:divBdr>
    </w:div>
    <w:div w:id="1257708738">
      <w:bodyDiv w:val="1"/>
      <w:marLeft w:val="0"/>
      <w:marRight w:val="0"/>
      <w:marTop w:val="0"/>
      <w:marBottom w:val="0"/>
      <w:divBdr>
        <w:top w:val="none" w:sz="0" w:space="0" w:color="auto"/>
        <w:left w:val="none" w:sz="0" w:space="0" w:color="auto"/>
        <w:bottom w:val="none" w:sz="0" w:space="0" w:color="auto"/>
        <w:right w:val="none" w:sz="0" w:space="0" w:color="auto"/>
      </w:divBdr>
    </w:div>
    <w:div w:id="1264145554">
      <w:bodyDiv w:val="1"/>
      <w:marLeft w:val="0"/>
      <w:marRight w:val="0"/>
      <w:marTop w:val="0"/>
      <w:marBottom w:val="0"/>
      <w:divBdr>
        <w:top w:val="none" w:sz="0" w:space="0" w:color="auto"/>
        <w:left w:val="none" w:sz="0" w:space="0" w:color="auto"/>
        <w:bottom w:val="none" w:sz="0" w:space="0" w:color="auto"/>
        <w:right w:val="none" w:sz="0" w:space="0" w:color="auto"/>
      </w:divBdr>
    </w:div>
    <w:div w:id="1280990384">
      <w:bodyDiv w:val="1"/>
      <w:marLeft w:val="0"/>
      <w:marRight w:val="0"/>
      <w:marTop w:val="0"/>
      <w:marBottom w:val="0"/>
      <w:divBdr>
        <w:top w:val="none" w:sz="0" w:space="0" w:color="auto"/>
        <w:left w:val="none" w:sz="0" w:space="0" w:color="auto"/>
        <w:bottom w:val="none" w:sz="0" w:space="0" w:color="auto"/>
        <w:right w:val="none" w:sz="0" w:space="0" w:color="auto"/>
      </w:divBdr>
    </w:div>
    <w:div w:id="1316102795">
      <w:bodyDiv w:val="1"/>
      <w:marLeft w:val="0"/>
      <w:marRight w:val="0"/>
      <w:marTop w:val="0"/>
      <w:marBottom w:val="0"/>
      <w:divBdr>
        <w:top w:val="none" w:sz="0" w:space="0" w:color="auto"/>
        <w:left w:val="none" w:sz="0" w:space="0" w:color="auto"/>
        <w:bottom w:val="none" w:sz="0" w:space="0" w:color="auto"/>
        <w:right w:val="none" w:sz="0" w:space="0" w:color="auto"/>
      </w:divBdr>
    </w:div>
    <w:div w:id="1614900493">
      <w:bodyDiv w:val="1"/>
      <w:marLeft w:val="0"/>
      <w:marRight w:val="0"/>
      <w:marTop w:val="0"/>
      <w:marBottom w:val="0"/>
      <w:divBdr>
        <w:top w:val="none" w:sz="0" w:space="0" w:color="auto"/>
        <w:left w:val="none" w:sz="0" w:space="0" w:color="auto"/>
        <w:bottom w:val="none" w:sz="0" w:space="0" w:color="auto"/>
        <w:right w:val="none" w:sz="0" w:space="0" w:color="auto"/>
      </w:divBdr>
    </w:div>
    <w:div w:id="1659073550">
      <w:bodyDiv w:val="1"/>
      <w:marLeft w:val="0"/>
      <w:marRight w:val="0"/>
      <w:marTop w:val="0"/>
      <w:marBottom w:val="0"/>
      <w:divBdr>
        <w:top w:val="none" w:sz="0" w:space="0" w:color="auto"/>
        <w:left w:val="none" w:sz="0" w:space="0" w:color="auto"/>
        <w:bottom w:val="none" w:sz="0" w:space="0" w:color="auto"/>
        <w:right w:val="none" w:sz="0" w:space="0" w:color="auto"/>
      </w:divBdr>
    </w:div>
    <w:div w:id="1904945577">
      <w:bodyDiv w:val="1"/>
      <w:marLeft w:val="0"/>
      <w:marRight w:val="0"/>
      <w:marTop w:val="0"/>
      <w:marBottom w:val="0"/>
      <w:divBdr>
        <w:top w:val="none" w:sz="0" w:space="0" w:color="auto"/>
        <w:left w:val="none" w:sz="0" w:space="0" w:color="auto"/>
        <w:bottom w:val="none" w:sz="0" w:space="0" w:color="auto"/>
        <w:right w:val="none" w:sz="0" w:space="0" w:color="auto"/>
      </w:divBdr>
    </w:div>
    <w:div w:id="1910573839">
      <w:bodyDiv w:val="1"/>
      <w:marLeft w:val="0"/>
      <w:marRight w:val="0"/>
      <w:marTop w:val="0"/>
      <w:marBottom w:val="0"/>
      <w:divBdr>
        <w:top w:val="none" w:sz="0" w:space="0" w:color="auto"/>
        <w:left w:val="none" w:sz="0" w:space="0" w:color="auto"/>
        <w:bottom w:val="none" w:sz="0" w:space="0" w:color="auto"/>
        <w:right w:val="none" w:sz="0" w:space="0" w:color="auto"/>
      </w:divBdr>
    </w:div>
    <w:div w:id="1985116710">
      <w:bodyDiv w:val="1"/>
      <w:marLeft w:val="0"/>
      <w:marRight w:val="0"/>
      <w:marTop w:val="0"/>
      <w:marBottom w:val="0"/>
      <w:divBdr>
        <w:top w:val="none" w:sz="0" w:space="0" w:color="auto"/>
        <w:left w:val="none" w:sz="0" w:space="0" w:color="auto"/>
        <w:bottom w:val="none" w:sz="0" w:space="0" w:color="auto"/>
        <w:right w:val="none" w:sz="0" w:space="0" w:color="auto"/>
      </w:divBdr>
    </w:div>
    <w:div w:id="20567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gladdersoftware.com/epx/docs/8-5/input-output-reference/group-airflow-network.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banobservatory.ac.u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ofgem.gov.uk/gas/retail-market/monitoring-data-and-statistics/typical-domestic-consumption-valu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1C84-2257-43A9-BF64-07550930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8</Pages>
  <Words>6937</Words>
  <Characters>39542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Royapoor</dc:creator>
  <cp:keywords/>
  <dc:description/>
  <cp:lastModifiedBy>DOMINGO, DARIO</cp:lastModifiedBy>
  <cp:revision>355</cp:revision>
  <cp:lastPrinted>2019-11-12T12:25:00Z</cp:lastPrinted>
  <dcterms:created xsi:type="dcterms:W3CDTF">2020-05-13T09:36:00Z</dcterms:created>
  <dcterms:modified xsi:type="dcterms:W3CDTF">2021-10-21T16:42:00Z</dcterms:modified>
</cp:coreProperties>
</file>