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7490"/>
        </w:rPr>
        <w:t>Guía Práctica y Explicativa del Taller 6</w:t>
      </w:r>
    </w:p>
    <w:p>
      <w:r>
        <w:rPr>
          <w:i/>
          <w:color w:val="64748B"/>
          <w:sz w:val="26"/>
        </w:rPr>
        <w:t>Sprint Review, Retrospective y Liberación Segura en Continuous Deployment (CD + TBD)</w:t>
      </w:r>
    </w:p>
    <w:p>
      <w:r>
        <w:t>Nota informal para el equipo: Esta guía resume de manera directa, sencilla y sin rodeos todo lo que se implementó y acordó durante el Taller 6, incluyendo las capturas de pantalla de los momentos más relevantes.</w:t>
      </w:r>
    </w:p>
    <w:p>
      <w:pPr>
        <w:pStyle w:val="Heading1"/>
      </w:pPr>
      <w:r>
        <w:t>1. ¿De qué va este Taller 6? (En cristiano)</w:t>
      </w:r>
    </w:p>
    <w:p>
      <w:r>
        <w:t>Hasta el Taller 5 teníamos el pipeline completo: el código se prueba con CI, se integra a main y se despliega solo a Render, usando Feature Flags con ConfigCat para no romperle nada al usuario. Pero surgió la gran pregunta: si desplegamos varias veces por semana... ¿cómo cambian el Sprint Review y la Retrospective? En este taller adaptamos las ceremonias a este nuevo ritmo y practicamos la liberación segura en vivo resolviendo el caso de estudio de 'Pagos Express'.</w:t>
      </w:r>
    </w:p>
    <w:p>
      <w:pPr>
        <w:pStyle w:val="Heading1"/>
      </w:pPr>
      <w:r>
        <w:t>2. La Nueva Sprint Review (Adiós a las demos en localhost)</w:t>
      </w:r>
    </w:p>
    <w:p>
      <w:r>
        <w:t>En Continuous Deployment, la Review ya no es para mostrar diapositivas ni código en máquinas locales. La demo se hace en producción (Render). Se muestra lo que ya está vivo o protegido por Feature Toggles, se exhibe telemetría real y se valida el valor directamente con el Product Owner.</w:t>
      </w:r>
    </w:p>
    <w:p>
      <w:r>
        <w:rPr>
          <w:b/>
        </w:rPr>
        <w:t>Estructura obligatoria de demo (4-5 min por ítem):</w:t>
        <w:br/>
      </w:r>
      <w:r>
        <w:t>1. ¿Qué problema de usuario resuelve?</w:t>
        <w:br/>
        <w:t>2. ¿Está activo para todos o detrás de toggle?</w:t>
        <w:br/>
        <w:t>3. Demo en vivo en Render (con toggle ON/OFF).</w:t>
        <w:br/>
        <w:t>4. Métricas de telemetría.</w:t>
        <w:br/>
        <w:t>5. Pregunta al PO: '¿Esto genera el valor esperado?'</w:t>
      </w:r>
    </w:p>
    <w:p>
      <w:r>
        <w:drawing>
          <wp:inline xmlns:a="http://schemas.openxmlformats.org/drawingml/2006/main" xmlns:pic="http://schemas.openxmlformats.org/drawingml/2006/picture">
            <wp:extent cx="5669280" cy="4207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3_sprint_review_dem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1: Tablero interactivo de Sprint Review con comparación oficial y 3 demos reales.</w:t>
      </w:r>
    </w:p>
    <w:p>
      <w:pPr>
        <w:pStyle w:val="Heading1"/>
      </w:pPr>
      <w:r>
        <w:t>3. Liberación Segura de Valor y el Caso 'Pagos Express'</w:t>
      </w:r>
    </w:p>
    <w:p>
      <w:r>
        <w:t>El caso presentaba la funcionalidad 'Pagos Express con un clic' en main hace 9 días detrás del toggle 'pagos-express-v1' al 0%. Había miedo por caídas previas en health check y falta de métricas. Se acordó la estrategia de liberación controlada:</w:t>
      </w:r>
    </w:p>
    <w:p>
      <w:r>
        <w:t>• Cohorte Canary (20%): Activación para usuarios beta con telemetría activa antes de abrir al 100% comercial.</w:t>
      </w:r>
    </w:p>
    <w:p>
      <w:r>
        <w:t>• Kill Switch (&lt; 1 segundo): Si la tasa de error supera el 1% o la latencia pasa de 500ms, el toggle se apaga inmediatamente en ConfigCat sin re-desplegar.</w:t>
      </w:r>
    </w:p>
    <w:p>
      <w:r>
        <w:t>• Limpieza de Deuda: Identificación y remoción de 3 toggles viejos (&gt; 45 días).</w:t>
      </w:r>
    </w:p>
    <w:p>
      <w:r>
        <w:drawing>
          <wp:inline xmlns:a="http://schemas.openxmlformats.org/drawingml/2006/main" xmlns:pic="http://schemas.openxmlformats.org/drawingml/2006/picture">
            <wp:extent cx="5669280" cy="4872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4_pagos_express_canary_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7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2: Consola de Pago Express con cohorte Canary (20%) y telemetría en tiempo real.</w:t>
      </w:r>
    </w:p>
    <w:p>
      <w:r>
        <w:drawing>
          <wp:inline xmlns:a="http://schemas.openxmlformats.org/drawingml/2006/main" xmlns:pic="http://schemas.openxmlformats.org/drawingml/2006/picture">
            <wp:extent cx="5669280" cy="4872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5_kill_switch_emerg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7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3: Activación del Kill Switch de emergencia bloqueando la funcionalidad en &lt; 1s.</w:t>
      </w:r>
    </w:p>
    <w:p>
      <w:pPr>
        <w:pStyle w:val="Heading1"/>
      </w:pPr>
      <w:r>
        <w:t>4. La Nueva Sprint Retrospective (Enfocada en el Pipeline)</w:t>
      </w:r>
    </w:p>
    <w:p>
      <w:r>
        <w:t>La Retrospectiva ahora inspecciona formalmente tres pilares técnicos: Salud del Pipeline (fallos de CI, tiempo de deploy, rollbacks), Disciplina TBD (integraciones diarias a main, vida de ramas &lt; 24h) y Flujo de Valor (Lead Time).</w:t>
      </w:r>
    </w:p>
    <w:p>
      <w:r>
        <w:t>Siguiendo la regla de oro, se definieron exactamente 3 acciones de mejora asignadas:</w:t>
      </w:r>
    </w:p>
    <w:p>
      <w:r>
        <w:t>1. Acción #1 (Tech Lead): Retiro de flags a los 30 días posteriores a GA. Prohibido acumular toggles de más de 45 días.</w:t>
      </w:r>
    </w:p>
    <w:p>
      <w:r>
        <w:t>2. Acción #2 (Dev Team): Observabilidad obligatoria (latencia y error) antes de autorizar cualquier rollout &gt; 0%.</w:t>
      </w:r>
    </w:p>
    <w:p>
      <w:r>
        <w:t>3. Acción #3 (PO &amp; SM): Política de No-Releases en Viernes; liberaciones canary solo de lunes a jueves con 24-48h de observación.</w:t>
      </w:r>
    </w:p>
    <w:p>
      <w:r>
        <w:drawing>
          <wp:inline xmlns:a="http://schemas.openxmlformats.org/drawingml/2006/main" xmlns:pic="http://schemas.openxmlformats.org/drawingml/2006/picture">
            <wp:extent cx="5669280" cy="5093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6_sprint_retro_tabl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9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4: Tablero de Sprint Retrospective estilo Miro con las 4 columnas de análisis.</w:t>
      </w:r>
    </w:p>
    <w:p>
      <w:pPr>
        <w:pStyle w:val="Heading1"/>
      </w:pPr>
      <w:r>
        <w:t>5. Salud Técnica y Validación del Pipeline (CI/CD)</w:t>
      </w:r>
    </w:p>
    <w:p>
      <w:r>
        <w:t>Para garantizar que main se mantuviera siempre verde y desplegable, se ejecutó la suite completa de pruebas: 79 tests en verde (100% pasando en 0.23 segundos) y linters limpios con Ruff.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1_ci_cd_tests_ru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5: Terminal de ejecución de pruebas y verificación de Ruff linter.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2_health_check_ren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6: Endpoint /health verificado y operativo para Render.</w:t>
      </w:r>
    </w:p>
    <w:p>
      <w:pPr>
        <w:pStyle w:val="Heading1"/>
      </w:pPr>
      <w:r>
        <w:t>6. Playbook Versión 3.0 y Checklist Fase 1 al 100%</w:t>
      </w:r>
    </w:p>
    <w:p>
      <w:r>
        <w:t>Se actualizó SCRUM_TBD_PLAYBOOK.md a la versión 3.0 con todos los acuerdos oficiales y se completó al 100% el Checklist de Fase 1.</w:t>
      </w:r>
    </w:p>
    <w:p>
      <w:r>
        <w:drawing>
          <wp:inline xmlns:a="http://schemas.openxmlformats.org/drawingml/2006/main" xmlns:pic="http://schemas.openxmlformats.org/drawingml/2006/picture">
            <wp:extent cx="5669280" cy="4207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07_checklist_fase1_playbo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7: Checklist Oficial de Fase 1 cerrado y validado al 100%.</w:t>
      </w:r>
    </w:p>
    <w:p>
      <w:pPr>
        <w:pStyle w:val="Heading1"/>
      </w:pPr>
      <w:r>
        <w:t>7. Conclusión del Taller</w:t>
      </w:r>
    </w:p>
    <w:p>
      <w:r>
        <w:t>"Nunca más llegaremos a una Review a mostrar diapositivas o código local sin desplegar: mostramos lo que ya corre en producción tras toggles con métricas reales. Y en cada Retro, antes de hablar de percepciones, auditaremos primero la salud del pipeline, el tiempo de los deploys y la disciplina de integrar a main cada día."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