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C57"/>
          <w:sz w:val="48"/>
        </w:rPr>
        <w:t>PRESENTACIÓN EJECUTIVA</w:t>
      </w:r>
    </w:p>
    <w:p>
      <w:pPr>
        <w:jc w:val="center"/>
      </w:pPr>
      <w:r>
        <w:rPr>
          <w:rFonts w:ascii="Arial" w:hAnsi="Arial"/>
          <w:b/>
          <w:color w:val="1E9096"/>
          <w:sz w:val="26"/>
        </w:rPr>
        <w:t>Resultados de Implementación: Taller 3 y Taller 4</w:t>
        <w:br/>
        <w:t>Trunk-Based Development, CI/CD y Planificación Incremental</w:t>
      </w:r>
    </w:p>
    <w:p>
      <w:pPr>
        <w:jc w:val="center"/>
      </w:pPr>
      <w:r>
        <w:rPr>
          <w:rFonts w:ascii="Arial" w:hAnsi="Arial"/>
          <w:i/>
          <w:color w:val="64748B"/>
          <w:sz w:val="20"/>
        </w:rPr>
        <w:t>Repositorio: github.com/darioHer/Tests-and-Build</w:t>
      </w:r>
    </w:p>
    <w:p/>
    <w:p>
      <w:pPr>
        <w:spacing w:before="280" w:after="80"/>
      </w:pPr>
      <w:r>
        <w:rPr>
          <w:rFonts w:ascii="Arial" w:hAnsi="Arial"/>
          <w:b/>
          <w:color w:val="102C57"/>
          <w:sz w:val="30"/>
        </w:rPr>
        <w:t xml:space="preserve"> 1. Resumen Ejecutivo del Proyecto</w:t>
      </w:r>
    </w:p>
    <w:p>
      <w:pPr>
        <w:spacing w:after="160"/>
      </w:pPr>
      <w:r>
        <w:rPr>
          <w:color w:val="1E9096"/>
          <w:sz w:val="20"/>
        </w:rPr>
        <w:t>―――――――――――――――――――――――――――――――――――――――――――――</w:t>
      </w:r>
    </w:p>
    <w:p>
      <w:pPr>
        <w:spacing w:after="120"/>
      </w:pPr>
      <w:r>
        <w:rPr>
          <w:rFonts w:ascii="Arial" w:hAnsi="Arial"/>
          <w:color w:val="2D3748"/>
          <w:sz w:val="21"/>
        </w:rPr>
        <w:t>En el marco de los Talleres 3 y 4, se transformó el flujo de desarrollo de la Calculadora Web en el repositorio Tests-and-Build, adoptando prácticas de Trunk-Based Development (TBD), Despliegue Continuo (CD), Feature Flags con ConfigCat y sliceado vertical de historias para integración diaria sin riesgo a producción.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2D3748"/>
          <w:sz w:val="21"/>
        </w:rPr>
        <w:t xml:space="preserve">• Trunk-Based Development: </w:t>
      </w:r>
      <w:r>
        <w:rPr>
          <w:rFonts w:ascii="Arial" w:hAnsi="Arial"/>
          <w:color w:val="2D3748"/>
          <w:sz w:val="21"/>
        </w:rPr>
        <w:t>Desarrollo sobre una rama troncal única (main) con ramas efímeras (&lt; 24 horas).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2D3748"/>
          <w:sz w:val="21"/>
        </w:rPr>
        <w:t xml:space="preserve">• CI/CD Automatizado: </w:t>
      </w:r>
      <w:r>
        <w:rPr>
          <w:rFonts w:ascii="Arial" w:hAnsi="Arial"/>
          <w:color w:val="2D3748"/>
          <w:sz w:val="21"/>
        </w:rPr>
        <w:t>Pipeline en GitHub Actions con linter Ruff y 38 tests automatizados en &lt; 20 segundos.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2D3748"/>
          <w:sz w:val="21"/>
        </w:rPr>
        <w:t xml:space="preserve">• Feature Flags (ConfigCat): </w:t>
      </w:r>
      <w:r>
        <w:rPr>
          <w:rFonts w:ascii="Arial" w:hAnsi="Arial"/>
          <w:color w:val="2D3748"/>
          <w:sz w:val="21"/>
        </w:rPr>
        <w:t>Desacoplamiento de Despliegue vs. Lanzamiento mediante flags (resta, potencia, raíz).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2D3748"/>
          <w:sz w:val="21"/>
        </w:rPr>
        <w:t xml:space="preserve">• Docker Container: </w:t>
      </w:r>
      <w:r>
        <w:rPr>
          <w:rFonts w:ascii="Arial" w:hAnsi="Arial"/>
          <w:color w:val="2D3748"/>
          <w:sz w:val="21"/>
        </w:rPr>
        <w:t>Empaquetado inmutable publicado en GitHub Container Registry (GHCR).</w:t>
      </w:r>
    </w:p>
    <w:p>
      <w:pPr>
        <w:spacing w:before="280" w:after="80"/>
      </w:pPr>
      <w:r>
        <w:rPr>
          <w:rFonts w:ascii="Arial" w:hAnsi="Arial"/>
          <w:b/>
          <w:color w:val="102C57"/>
          <w:sz w:val="30"/>
        </w:rPr>
        <w:t xml:space="preserve"> 2. Entregables del Taller 3 (Scrum + TBD Playbook)</w:t>
      </w:r>
    </w:p>
    <w:p>
      <w:pPr>
        <w:spacing w:after="160"/>
      </w:pPr>
      <w:r>
        <w:rPr>
          <w:color w:val="1E9096"/>
          <w:sz w:val="20"/>
        </w:rPr>
        <w:t>―――――――――――――――――――――――――――――――――――――――――――――</w:t>
      </w:r>
    </w:p>
    <w:p>
      <w:r>
        <w:rPr>
          <w:rFonts w:ascii="Arial" w:hAnsi="Arial"/>
          <w:i/>
          <w:color w:val="2D3748"/>
          <w:sz w:val="21"/>
        </w:rPr>
        <w:t>Se formalizó la metodología en el documento maestro SCRUM_TBD_PLAYBOOK.md: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2D3748"/>
          <w:sz w:val="21"/>
        </w:rPr>
        <w:t xml:space="preserve">1. Diagnóstico del Flujo: </w:t>
      </w:r>
      <w:r>
        <w:rPr>
          <w:rFonts w:ascii="Arial" w:hAnsi="Arial"/>
          <w:color w:val="2D3748"/>
          <w:sz w:val="21"/>
        </w:rPr>
        <w:t>Commit Local ➔ PR a main ➔ CI (Ruff + Pytest) ➔ Code Review ➔ Merge a main ➔ Docker GHCR ➔ Feature Flags ➔ Producción.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2D3748"/>
          <w:sz w:val="21"/>
        </w:rPr>
        <w:t xml:space="preserve">2. Semáforo de Fricciones: </w:t>
      </w:r>
      <w:r>
        <w:rPr>
          <w:rFonts w:ascii="Arial" w:hAnsi="Arial"/>
          <w:color w:val="2D3748"/>
          <w:sz w:val="21"/>
        </w:rPr>
        <w:t>🟢 CI rápido y ramas cortas | 🟡 Esperas en Code Review (&gt;2h) | 🔴 Mitigación de riesgos mediante toggles en False.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2D3748"/>
          <w:sz w:val="21"/>
        </w:rPr>
        <w:t xml:space="preserve">3. Roles Adaptados: </w:t>
      </w:r>
      <w:r>
        <w:rPr>
          <w:rFonts w:ascii="Arial" w:hAnsi="Arial"/>
          <w:color w:val="2D3748"/>
          <w:sz w:val="21"/>
        </w:rPr>
        <w:t>Product Owner (gestiona toggles y rollout gradual), Developers (main siempre verde y Andon Cord), Scrum Master (cadencia diaria y cultura blameless).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2D3748"/>
          <w:sz w:val="21"/>
        </w:rPr>
        <w:t xml:space="preserve">4. Ceremonias Adaptadas: </w:t>
      </w:r>
      <w:r>
        <w:rPr>
          <w:rFonts w:ascii="Arial" w:hAnsi="Arial"/>
          <w:color w:val="2D3748"/>
          <w:sz w:val="21"/>
        </w:rPr>
        <w:t>Daily orientada a integración diaria ('¿Qué voy a integrar hoy a main?'), Review en producción real y Retro basada en métricas DORA.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2D3748"/>
          <w:sz w:val="21"/>
        </w:rPr>
        <w:t xml:space="preserve">5. Las 5 Reglas de Oro: </w:t>
      </w:r>
      <w:r>
        <w:rPr>
          <w:rFonts w:ascii="Arial" w:hAnsi="Arial"/>
          <w:color w:val="2D3748"/>
          <w:sz w:val="21"/>
        </w:rPr>
        <w:t>Batch size ≤ 1 día, main siempre verde, feature flags para código incompleto, 100% de tests y Code Review &lt; 2h.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2D3748"/>
          <w:sz w:val="21"/>
        </w:rPr>
        <w:t xml:space="preserve">6. DoR y DoD: </w:t>
      </w:r>
      <w:r>
        <w:rPr>
          <w:rFonts w:ascii="Arial" w:hAnsi="Arial"/>
          <w:color w:val="2D3748"/>
          <w:sz w:val="21"/>
        </w:rPr>
        <w:t>Criterios rigurosos de entrada (DoR: sliceable en ≤ 1 día, AC claros) y salida (DoD: CI verde, Docker en GHCR, flag verificado).</w:t>
      </w:r>
    </w:p>
    <w:p>
      <w:pPr>
        <w:spacing w:before="280" w:after="80"/>
      </w:pPr>
      <w:r>
        <w:rPr>
          <w:rFonts w:ascii="Arial" w:hAnsi="Arial"/>
          <w:b/>
          <w:color w:val="102C57"/>
          <w:sz w:val="30"/>
        </w:rPr>
        <w:t xml:space="preserve"> 3. Entregables del Taller 4 (Backlog y Planificación Incremental)</w:t>
      </w:r>
    </w:p>
    <w:p>
      <w:pPr>
        <w:spacing w:after="160"/>
      </w:pPr>
      <w:r>
        <w:rPr>
          <w:color w:val="1E9096"/>
          <w:sz w:val="20"/>
        </w:rPr>
        <w:t>―――――――――――――――――――――――――――――――――――――――――――――</w:t>
      </w:r>
    </w:p>
    <w:p>
      <w:r>
        <w:rPr>
          <w:rFonts w:ascii="Arial" w:hAnsi="Arial"/>
          <w:i/>
          <w:color w:val="2D3748"/>
          <w:sz w:val="21"/>
        </w:rPr>
        <w:t>Se formalizó el sliceado y planificación en BACKLOG_Y_PLANIFICACION_SPRINT.md: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2D3748"/>
          <w:sz w:val="21"/>
        </w:rPr>
        <w:t xml:space="preserve">1. Diagnóstico del Backlog: </w:t>
      </w:r>
      <w:r>
        <w:rPr>
          <w:rFonts w:ascii="Arial" w:hAnsi="Arial"/>
          <w:color w:val="2D3748"/>
          <w:sz w:val="21"/>
        </w:rPr>
        <w:t>Evaluación con los 4 criterios TBD (Tamaño ≤ 1 día, Verticalidad, Feature Toggle definido, Validación en Producción).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2D3748"/>
          <w:sz w:val="21"/>
        </w:rPr>
        <w:t xml:space="preserve">2. Técnicas de Sliceado Vertical: </w:t>
      </w:r>
      <w:r>
        <w:rPr>
          <w:rFonts w:ascii="Arial" w:hAnsi="Arial"/>
          <w:color w:val="2D3748"/>
          <w:sz w:val="21"/>
        </w:rPr>
        <w:t>Sustitución de slices horizontales por verticales (rebanada completa UI + API + Lógica + Tests).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2D3748"/>
          <w:sz w:val="21"/>
        </w:rPr>
        <w:t xml:space="preserve">3. Re-sliceado de Historias: </w:t>
      </w:r>
      <w:r>
        <w:rPr>
          <w:rFonts w:ascii="Arial" w:hAnsi="Arial"/>
          <w:color w:val="2D3748"/>
          <w:sz w:val="21"/>
        </w:rPr>
        <w:t>Desglose estructurado de las operaciones de la calculadora en 4 incrementos:</w:t>
      </w:r>
    </w:p>
    <w:p>
      <w:pPr>
        <w:pStyle w:val="ListBullet"/>
        <w:spacing w:before="40" w:after="60"/>
        <w:ind w:left="360"/>
      </w:pPr>
      <w:r>
        <w:rPr>
          <w:rFonts w:ascii="Arial" w:hAnsi="Arial"/>
          <w:b/>
          <w:color w:val="2D3748"/>
          <w:sz w:val="21"/>
        </w:rPr>
        <w:t xml:space="preserve">• Inc. 1: </w:t>
      </w:r>
      <w:r>
        <w:rPr>
          <w:rFonts w:ascii="Arial" w:hAnsi="Arial"/>
          <w:color w:val="2D3748"/>
          <w:sz w:val="21"/>
        </w:rPr>
        <w:t>Potencia en backend con flag potencia_enabled=False y tests unitarios.</w:t>
      </w:r>
    </w:p>
    <w:p>
      <w:pPr>
        <w:pStyle w:val="ListBullet"/>
        <w:spacing w:before="40" w:after="60"/>
        <w:ind w:left="360"/>
      </w:pPr>
      <w:r>
        <w:rPr>
          <w:rFonts w:ascii="Arial" w:hAnsi="Arial"/>
          <w:b/>
          <w:color w:val="2D3748"/>
          <w:sz w:val="21"/>
        </w:rPr>
        <w:t xml:space="preserve">• Inc. 2: </w:t>
      </w:r>
      <w:r>
        <w:rPr>
          <w:rFonts w:ascii="Arial" w:hAnsi="Arial"/>
          <w:color w:val="2D3748"/>
          <w:sz w:val="21"/>
        </w:rPr>
        <w:t>Endpoint /api/potencia, UI y rollout inicial al 10% en ConfigCat.</w:t>
      </w:r>
    </w:p>
    <w:p>
      <w:pPr>
        <w:pStyle w:val="ListBullet"/>
        <w:spacing w:before="40" w:after="60"/>
        <w:ind w:left="360"/>
      </w:pPr>
      <w:r>
        <w:rPr>
          <w:rFonts w:ascii="Arial" w:hAnsi="Arial"/>
          <w:b/>
          <w:color w:val="2D3748"/>
          <w:sz w:val="21"/>
        </w:rPr>
        <w:t xml:space="preserve">• Inc. 3: </w:t>
      </w:r>
      <w:r>
        <w:rPr>
          <w:rFonts w:ascii="Arial" w:hAnsi="Arial"/>
          <w:color w:val="2D3748"/>
          <w:sz w:val="21"/>
        </w:rPr>
        <w:t>Raíz cuadrada en backend con validación de NumeroNegativoError y flag raiz_enabled.</w:t>
      </w:r>
    </w:p>
    <w:p>
      <w:pPr>
        <w:pStyle w:val="ListBullet"/>
        <w:spacing w:before="40" w:after="60"/>
        <w:ind w:left="360"/>
      </w:pPr>
      <w:r>
        <w:rPr>
          <w:rFonts w:ascii="Arial" w:hAnsi="Arial"/>
          <w:b/>
          <w:color w:val="2D3748"/>
          <w:sz w:val="21"/>
        </w:rPr>
        <w:t xml:space="preserve">• Inc. 4: </w:t>
      </w:r>
      <w:r>
        <w:rPr>
          <w:rFonts w:ascii="Arial" w:hAnsi="Arial"/>
          <w:color w:val="2D3748"/>
          <w:sz w:val="21"/>
        </w:rPr>
        <w:t>Endpoint /api/raiz, UI de raíz cuadrada, historial interactivo y rollout al 100%.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2D3748"/>
          <w:sz w:val="21"/>
        </w:rPr>
        <w:t xml:space="preserve">4. Sprint Goal TBD: </w:t>
      </w:r>
      <w:r>
        <w:rPr>
          <w:rFonts w:ascii="Arial" w:hAnsi="Arial"/>
          <w:color w:val="2D3748"/>
          <w:sz w:val="21"/>
        </w:rPr>
        <w:t>'Al final del sprint los usuarios podrán realizar potencias y raíces con historial interactivo, controladas por feature flags con despliegue diario'.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2D3748"/>
          <w:sz w:val="21"/>
        </w:rPr>
        <w:t xml:space="preserve">5. Plan de Integración Diaria: </w:t>
      </w:r>
      <w:r>
        <w:rPr>
          <w:rFonts w:ascii="Arial" w:hAnsi="Arial"/>
          <w:color w:val="2D3748"/>
          <w:sz w:val="21"/>
        </w:rPr>
        <w:t>Día 1-2 (Inc 1 y 2), Día 3-4 (Inc 3 y 4 inicial), Día 5+ (Rollout 100% y cierre). Cumplimiento de regla de oro: primer merge el Día 1.</w:t>
      </w:r>
    </w:p>
    <w:p>
      <w:pPr>
        <w:spacing w:before="280" w:after="80"/>
      </w:pPr>
      <w:r>
        <w:rPr>
          <w:rFonts w:ascii="Arial" w:hAnsi="Arial"/>
          <w:b/>
          <w:color w:val="102C57"/>
          <w:sz w:val="30"/>
        </w:rPr>
        <w:t xml:space="preserve"> 4. Tablero Interactivo en Miro</w:t>
      </w:r>
    </w:p>
    <w:p>
      <w:pPr>
        <w:spacing w:after="160"/>
      </w:pPr>
      <w:r>
        <w:rPr>
          <w:color w:val="1E9096"/>
          <w:sz w:val="20"/>
        </w:rPr>
        <w:t>―――――――――――――――――――――――――――――――――――――――――――――</w:t>
      </w:r>
    </w:p>
    <w:p>
      <w:r>
        <w:rPr>
          <w:rFonts w:ascii="Arial" w:hAnsi="Arial"/>
          <w:color w:val="2D3748"/>
          <w:sz w:val="21"/>
        </w:rPr>
        <w:t>Se construyó y estructuró la presentación en Miro (https://miro.com/app/board/uXjVHhgvxiE=/) con 8 marcos secuenciales y un marco destacado en una sola columna con el flujo vertical de entrega, semáforo de fricciones, respuestas a las 3 preguntas clave y guía para el expositor.</w:t>
      </w:r>
    </w:p>
    <w:p>
      <w:pPr>
        <w:spacing w:before="280" w:after="80"/>
      </w:pPr>
      <w:r>
        <w:rPr>
          <w:rFonts w:ascii="Arial" w:hAnsi="Arial"/>
          <w:b/>
          <w:color w:val="102C57"/>
          <w:sz w:val="30"/>
        </w:rPr>
        <w:t xml:space="preserve"> 5. Estado Final y Resultados Técnicos</w:t>
      </w:r>
    </w:p>
    <w:p>
      <w:pPr>
        <w:spacing w:after="160"/>
      </w:pPr>
      <w:r>
        <w:rPr>
          <w:color w:val="1E9096"/>
          <w:sz w:val="20"/>
        </w:rPr>
        <w:t>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02C57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Componente / Área</w:t>
            </w:r>
          </w:p>
        </w:tc>
        <w:tc>
          <w:tcPr>
            <w:tcW w:type="dxa" w:w="3216"/>
            <w:shd w:fill="102C57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Resultado Obtenido</w:t>
            </w:r>
          </w:p>
        </w:tc>
        <w:tc>
          <w:tcPr>
            <w:tcW w:type="dxa" w:w="3216"/>
            <w:shd w:fill="102C57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Suite de Pruebas (Pytest)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38 pruebas unitarias y de integración pasando al 100% en 0.15s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9"/>
              </w:rPr>
              <w:t>🟢 100% Aprobado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Linter de Código (Ruff)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0 advertencias y 0 errores de estilo/tipado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9"/>
              </w:rPr>
              <w:t>🟢 100% Limpio</w:t>
            </w:r>
          </w:p>
        </w:tc>
      </w:tr>
      <w:tr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CI/CD (GitHub Actions)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Workflows de test y build automáticos hacia GHCR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9"/>
              </w:rPr>
              <w:t>🟢 Operativo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Feature Flags (ConfigCat)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Flags configurados con fallback seguro fail-closed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9"/>
              </w:rPr>
              <w:t>🟢 Configurado</w:t>
            </w:r>
          </w:p>
        </w:tc>
      </w:tr>
      <w:tr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Documentación &amp; Playbook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SCRUM_TBD_PLAYBOOK.md, BACKLOG_Y_PLANIFICACION_SPRINT.md y README.md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9"/>
              </w:rPr>
              <w:t>🟢 Completado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64748B"/>
          <w:sz w:val="18"/>
        </w:rPr>
        <w:t>Documento generado automáticamente a partir de la ejecución y auditoría de los Talleres 3 y 4.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