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DOCUMENTAZIONE</w:t>
      </w:r>
    </w:p>
    <w:p>
      <w:pPr>
        <w:jc w:val="center"/>
      </w:pPr>
      <w:r>
        <w:rPr>
          <w:i/>
          <w:iCs/>
        </w:rPr>
        <w:t xml:space="preserve">Modulo di validazione contro il catalogo pubblicato di Foschini (Universe 8, 587)</w:t>
      </w:r>
    </w:p>
    <w:p>
      <w:pPr>
        <w:jc w:val="center"/>
      </w:pPr>
      <w:r>
        <w:rPr>
          <w:i/>
          <w:iCs/>
        </w:rPr>
        <w:t xml:space="preserve">Versione 1.2 — Agosto 2026</w:t>
      </w:r>
    </w:p>
    <w:p/>
    <w:p>
      <w:pPr>
        <w:pStyle w:val="Heading1"/>
      </w:pPr>
      <w:r>
        <w:t xml:space="preserve">1. Obiettivo</w:t>
      </w:r>
    </w:p>
    <w:p>
      <w:r>
        <w:t xml:space="preserve">Questo modulo confronta l'output della pipeline di ricerca in letteratura (vedi documentazione principale) con il catalogo gia' pubblicato da L. Foschini et al. (Foschini et al. 2022, Universe, 8, 587), usato come ground truth indipendente.</w:t>
      </w:r>
    </w:p>
    <w:p>
      <w:r>
        <w:t xml:space="preserve">Il catalogo di Foschini e' disponibile su VizieR con l'identificativo J/other/Univ/8.587 e copre 2980 sorgenti del 4FGL-DR2, con una colonna di classificazione rivista (RevCl) in 8 categorie e, per molte sorgenti, un redshift con flag di qualita'.</w:t>
      </w:r>
    </w:p>
    <w:p/>
    <w:p>
      <w:pPr>
        <w:pStyle w:val="Heading1"/>
      </w:pPr>
      <w:r>
        <w:t xml:space="preserve">2. Schema di classificazione di Foschini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tcPr>
          <w:p>
            <w:r>
              <w:rPr>
                <w:b/>
                <w:bCs/>
              </w:rPr>
              <w:t xml:space="preserve">Sigla</w:t>
            </w:r>
          </w:p>
        </w:tc>
        <w:tc>
          <w:tcPr>
            <w:tcW w:type="dxa" w:w="5800"/>
            <w:shd w:fill="D9E2F3" w:val="clear"/>
          </w:tcPr>
          <w:p>
            <w:r>
              <w:rPr>
                <w:b/>
                <w:bCs/>
              </w:rPr>
              <w:t xml:space="preserve">Significato</w:t>
            </w:r>
          </w:p>
        </w:tc>
      </w:tr>
      <w:tr>
        <w:tc>
          <w:tcPr>
            <w:tcW w:type="dxa" w:w="3200"/>
          </w:tcPr>
          <w:p>
            <w:r>
              <w:rPr>
                <w:b w:val="false"/>
                <w:bCs w:val="false"/>
              </w:rPr>
              <w:t xml:space="preserve">FSRQ</w:t>
            </w:r>
          </w:p>
        </w:tc>
        <w:tc>
          <w:tcPr>
            <w:tcW w:type="dxa" w:w="5800"/>
          </w:tcPr>
          <w:p>
            <w:r>
              <w:rPr>
                <w:b w:val="false"/>
                <w:bCs w:val="false"/>
              </w:rPr>
              <w:t xml:space="preserve">Flat-Spectrum Radio Quasar</w:t>
            </w:r>
          </w:p>
        </w:tc>
      </w:tr>
      <w:tr>
        <w:tc>
          <w:tcPr>
            <w:tcW w:type="dxa" w:w="3200"/>
          </w:tcPr>
          <w:p>
            <w:r>
              <w:rPr>
                <w:b w:val="false"/>
                <w:bCs w:val="false"/>
              </w:rPr>
              <w:t xml:space="preserve">BLLAC</w:t>
            </w:r>
          </w:p>
        </w:tc>
        <w:tc>
          <w:tcPr>
            <w:tcW w:type="dxa" w:w="5800"/>
          </w:tcPr>
          <w:p>
            <w:r>
              <w:rPr>
                <w:b w:val="false"/>
                <w:bCs w:val="false"/>
              </w:rPr>
              <w:t xml:space="preserve">BL Lac Object</w:t>
            </w:r>
          </w:p>
        </w:tc>
      </w:tr>
      <w:tr>
        <w:tc>
          <w:tcPr>
            <w:tcW w:type="dxa" w:w="3200"/>
          </w:tcPr>
          <w:p>
            <w:r>
              <w:rPr>
                <w:b w:val="false"/>
                <w:bCs w:val="false"/>
              </w:rPr>
              <w:t xml:space="preserve">NLS1</w:t>
            </w:r>
          </w:p>
        </w:tc>
        <w:tc>
          <w:tcPr>
            <w:tcW w:type="dxa" w:w="5800"/>
          </w:tcPr>
          <w:p>
            <w:r>
              <w:rPr>
                <w:b w:val="false"/>
                <w:bCs w:val="false"/>
              </w:rPr>
              <w:t xml:space="preserve">Narrow-Line Seyfert 1 Galaxy</w:t>
            </w:r>
          </w:p>
        </w:tc>
      </w:tr>
      <w:tr>
        <w:tc>
          <w:tcPr>
            <w:tcW w:type="dxa" w:w="3200"/>
          </w:tcPr>
          <w:p>
            <w:r>
              <w:rPr>
                <w:b w:val="false"/>
                <w:bCs w:val="false"/>
              </w:rPr>
              <w:t xml:space="preserve">SEY</w:t>
            </w:r>
          </w:p>
        </w:tc>
        <w:tc>
          <w:tcPr>
            <w:tcW w:type="dxa" w:w="5800"/>
          </w:tcPr>
          <w:p>
            <w:r>
              <w:rPr>
                <w:b w:val="false"/>
                <w:bCs w:val="false"/>
              </w:rPr>
              <w:t xml:space="preserve">Seyfert galaxy (Type 1, 2, intermedia, LINER)</w:t>
            </w:r>
          </w:p>
        </w:tc>
      </w:tr>
      <w:tr>
        <w:tc>
          <w:tcPr>
            <w:tcW w:type="dxa" w:w="3200"/>
          </w:tcPr>
          <w:p>
            <w:r>
              <w:rPr>
                <w:b w:val="false"/>
                <w:bCs w:val="false"/>
              </w:rPr>
              <w:t xml:space="preserve">MIS</w:t>
            </w:r>
          </w:p>
        </w:tc>
        <w:tc>
          <w:tcPr>
            <w:tcW w:type="dxa" w:w="5800"/>
          </w:tcPr>
          <w:p>
            <w:r>
              <w:rPr>
                <w:b w:val="false"/>
                <w:bCs w:val="false"/>
              </w:rPr>
              <w:t xml:space="preserve">Misaligned Jetted AGN</w:t>
            </w:r>
          </w:p>
        </w:tc>
      </w:tr>
      <w:tr>
        <w:tc>
          <w:tcPr>
            <w:tcW w:type="dxa" w:w="3200"/>
          </w:tcPr>
          <w:p>
            <w:r>
              <w:rPr>
                <w:b w:val="false"/>
                <w:bCs w:val="false"/>
              </w:rPr>
              <w:t xml:space="preserve">CLAGN</w:t>
            </w:r>
          </w:p>
        </w:tc>
        <w:tc>
          <w:tcPr>
            <w:tcW w:type="dxa" w:w="5800"/>
          </w:tcPr>
          <w:p>
            <w:r>
              <w:rPr>
                <w:b w:val="false"/>
                <w:bCs w:val="false"/>
              </w:rPr>
              <w:t xml:space="preserve">Changing-look AGN</w:t>
            </w:r>
          </w:p>
        </w:tc>
      </w:tr>
      <w:tr>
        <w:tc>
          <w:tcPr>
            <w:tcW w:type="dxa" w:w="3200"/>
          </w:tcPr>
          <w:p>
            <w:r>
              <w:rPr>
                <w:b w:val="false"/>
                <w:bCs w:val="false"/>
              </w:rPr>
              <w:t xml:space="preserve">AMB</w:t>
            </w:r>
          </w:p>
        </w:tc>
        <w:tc>
          <w:tcPr>
            <w:tcW w:type="dxa" w:w="5800"/>
          </w:tcPr>
          <w:p>
            <w:r>
              <w:rPr>
                <w:b w:val="false"/>
                <w:bCs w:val="false"/>
              </w:rPr>
              <w:t xml:space="preserve">Ambiguous</w:t>
            </w:r>
          </w:p>
        </w:tc>
      </w:tr>
      <w:tr>
        <w:tc>
          <w:tcPr>
            <w:tcW w:type="dxa" w:w="3200"/>
          </w:tcPr>
          <w:p>
            <w:r>
              <w:rPr>
                <w:b w:val="false"/>
                <w:bCs w:val="false"/>
              </w:rPr>
              <w:t xml:space="preserve">UNCL</w:t>
            </w:r>
          </w:p>
        </w:tc>
        <w:tc>
          <w:tcPr>
            <w:tcW w:type="dxa" w:w="5800"/>
          </w:tcPr>
          <w:p>
            <w:r>
              <w:rPr>
                <w:b w:val="false"/>
                <w:bCs w:val="false"/>
              </w:rPr>
              <w:t xml:space="preserve">Unclassified</w:t>
            </w:r>
          </w:p>
        </w:tc>
      </w:tr>
    </w:tbl>
    <w:p/>
    <w:p>
      <w:pPr>
        <w:pStyle w:val="Heading1"/>
      </w:pPr>
      <w:r>
        <w:t xml:space="preserve">3.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E2F3" w:val="clear"/>
          </w:tcPr>
          <w:p>
            <w:r>
              <w:rPr>
                <w:b/>
                <w:bCs/>
              </w:rPr>
              <w:t xml:space="preserve">File</w:t>
            </w:r>
          </w:p>
        </w:tc>
        <w:tc>
          <w:tcPr>
            <w:tcW w:type="dxa" w:w="6400"/>
            <w:shd w:fill="D9E2F3" w:val="clear"/>
          </w:tcPr>
          <w:p>
            <w:r>
              <w:rPr>
                <w:b/>
                <w:bCs/>
              </w:rPr>
              <w:t xml:space="preserve">Funzione</w:t>
            </w:r>
          </w:p>
        </w:tc>
      </w:tr>
      <w:tr>
        <w:tc>
          <w:tcPr>
            <w:tcW w:type="dxa" w:w="2600"/>
          </w:tcPr>
          <w:p>
            <w:r>
              <w:rPr>
                <w:b w:val="false"/>
                <w:bCs w:val="false"/>
              </w:rPr>
              <w:t xml:space="preserve">fetch_foschini_catalog.py</w:t>
            </w:r>
          </w:p>
        </w:tc>
        <w:tc>
          <w:tcPr>
            <w:tcW w:type="dxa" w:w="6400"/>
          </w:tcPr>
          <w:p>
            <w:r>
              <w:rPr>
                <w:b w:val="false"/>
                <w:bCs w:val="false"/>
              </w:rPr>
              <w:t xml:space="preserve">Scarica il catalogo J/other/Univ/8.587 da VizieR via astroquery e lo salva come foschini_catalog_full.csv. Recupera ED UNISCE anche la tabella notes.dat (note testuali estese per sorgente, es. il bibcode specifico usato da Foschini per una classificazione dubbia), assente dalla sola tabella principale.</w:t>
            </w:r>
          </w:p>
        </w:tc>
      </w:tr>
      <w:tr>
        <w:tc>
          <w:tcPr>
            <w:tcW w:type="dxa" w:w="2600"/>
          </w:tcPr>
          <w:p>
            <w:r>
              <w:rPr>
                <w:b w:val="false"/>
                <w:bCs w:val="false"/>
              </w:rPr>
              <w:t xml:space="preserve">reproduce_foschini.py</w:t>
            </w:r>
          </w:p>
        </w:tc>
        <w:tc>
          <w:tcPr>
            <w:tcW w:type="dxa" w:w="6400"/>
          </w:tcPr>
          <w:p>
            <w:r>
              <w:rPr>
                <w:b w:val="false"/>
                <w:bCs w:val="false"/>
              </w:rPr>
              <w:t xml:space="preserve">Fa girare pipeline.process_source() sulle sorgenti del catalogo (o su un sottoinsieme campionato), mappa l'output della pipeline nello schema di Foschini, e produce statistiche di accordo su classificazione e redshift. Il campione selezionato viene salvato in foschini_reproduction_sample.txt e riusato nei run successivi: il seed casuale da solo NON garantisce lo stesso campione tra versioni diverse del codice. Salva anche il dettaglio per-paper in foschini_reproduction_detailed.csv.</w:t>
            </w:r>
          </w:p>
        </w:tc>
      </w:tr>
      <w:tr>
        <w:tc>
          <w:tcPr>
            <w:tcW w:type="dxa" w:w="2600"/>
          </w:tcPr>
          <w:p>
            <w:r>
              <w:rPr>
                <w:b w:val="false"/>
                <w:bCs w:val="false"/>
              </w:rPr>
              <w:t xml:space="preserve">inspect_source.py</w:t>
            </w:r>
          </w:p>
        </w:tc>
        <w:tc>
          <w:tcPr>
            <w:tcW w:type="dxa" w:w="6400"/>
          </w:tcPr>
          <w:p>
            <w:r>
              <w:rPr>
                <w:b w:val="false"/>
                <w:bCs w:val="false"/>
              </w:rPr>
              <w:t xml:space="preserve">Stampa la riga completa del catalogo ufficiale (classificazione, redshift, note testuali) per una o piu' sorgenti specifiche.</w:t>
            </w:r>
          </w:p>
        </w:tc>
      </w:tr>
      <w:tr>
        <w:tc>
          <w:tcPr>
            <w:tcW w:type="dxa" w:w="2600"/>
          </w:tcPr>
          <w:p>
            <w:r>
              <w:rPr>
                <w:b w:val="false"/>
                <w:bCs w:val="false"/>
              </w:rPr>
              <w:t xml:space="preserve">inspect_papers.py</w:t>
            </w:r>
          </w:p>
        </w:tc>
        <w:tc>
          <w:tcPr>
            <w:tcW w:type="dxa" w:w="6400"/>
          </w:tcPr>
          <w:p>
            <w:r>
              <w:rPr>
                <w:b w:val="false"/>
                <w:bCs w:val="false"/>
              </w:rPr>
              <w:t xml:space="preserve">Rilancia la pipeline SOLO sulle sorgenti indicate e stampa il dettaglio completo per-paper (bibcode, anno, classificazione estratta, quote a supporto): il modo principale usato per diagnosticare i disaccordi con Foschini caso per caso senza il costo di rilanciare l'intero campione.</w:t>
            </w:r>
          </w:p>
        </w:tc>
      </w:tr>
    </w:tbl>
    <w:p/>
    <w:p>
      <w:pPr>
        <w:pStyle w:val="Heading1"/>
      </w:pPr>
      <w:r>
        <w:t xml:space="preserve">4. Mappatura verso lo schema di Foschini</w:t>
      </w:r>
    </w:p>
    <w:p>
      <w:r>
        <w:t xml:space="preserve">L'estrazione LLM della pipeline principale restituisce testo libero (la dicitura esatta usata nel paper). La mappatura verso lo schema di Foschini avviene in un passaggio successivo, DETERMINISTICO (nessun LLM), con regole esplicite: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tcPr>
          <w:p>
            <w:r>
              <w:rPr>
                <w:b/>
                <w:bCs/>
              </w:rPr>
              <w:t xml:space="preserve">Pattern riconosciuto</w:t>
            </w:r>
          </w:p>
        </w:tc>
        <w:tc>
          <w:tcPr>
            <w:tcW w:type="dxa" w:w="5800"/>
            <w:shd w:fill="D9E2F3" w:val="clear"/>
          </w:tcPr>
          <w:p>
            <w:r>
              <w:rPr>
                <w:b/>
                <w:bCs/>
              </w:rPr>
              <w:t xml:space="preserve">Categoria Foschini</w:t>
            </w:r>
          </w:p>
        </w:tc>
      </w:tr>
      <w:tr>
        <w:tc>
          <w:tcPr>
            <w:tcW w:type="dxa" w:w="3200"/>
          </w:tcPr>
          <w:p>
            <w:r>
              <w:rPr>
                <w:b w:val="false"/>
                <w:bCs w:val="false"/>
              </w:rPr>
              <w:t xml:space="preserve">narrow-line seyfert, nls1, nlsy1</w:t>
            </w:r>
          </w:p>
        </w:tc>
        <w:tc>
          <w:tcPr>
            <w:tcW w:type="dxa" w:w="5800"/>
          </w:tcPr>
          <w:p>
            <w:r>
              <w:rPr>
                <w:b w:val="false"/>
                <w:bCs w:val="false"/>
              </w:rPr>
              <w:t xml:space="preserve">nls1</w:t>
            </w:r>
          </w:p>
        </w:tc>
      </w:tr>
      <w:tr>
        <w:tc>
          <w:tcPr>
            <w:tcW w:type="dxa" w:w="3200"/>
          </w:tcPr>
          <w:p>
            <w:r>
              <w:rPr>
                <w:b w:val="false"/>
                <w:bCs w:val="false"/>
              </w:rPr>
              <w:t xml:space="preserve">changing-look</w:t>
            </w:r>
          </w:p>
        </w:tc>
        <w:tc>
          <w:tcPr>
            <w:tcW w:type="dxa" w:w="5800"/>
          </w:tcPr>
          <w:p>
            <w:r>
              <w:rPr>
                <w:b w:val="false"/>
                <w:bCs w:val="false"/>
              </w:rPr>
              <w:t xml:space="preserve">clagn</w:t>
            </w:r>
          </w:p>
        </w:tc>
      </w:tr>
      <w:tr>
        <w:tc>
          <w:tcPr>
            <w:tcW w:type="dxa" w:w="3200"/>
          </w:tcPr>
          <w:p>
            <w:r>
              <w:rPr>
                <w:b w:val="false"/>
                <w:bCs w:val="false"/>
              </w:rPr>
              <w:t xml:space="preserve">bzb (sigla Roma-BZCAT), bl lac, bll, lbl/ibl/hbl, lsp/isp/hsp</w:t>
            </w:r>
          </w:p>
        </w:tc>
        <w:tc>
          <w:tcPr>
            <w:tcW w:type="dxa" w:w="5800"/>
          </w:tcPr>
          <w:p>
            <w:r>
              <w:rPr>
                <w:b w:val="false"/>
                <w:bCs w:val="false"/>
              </w:rPr>
              <w:t xml:space="preserve">bll</w:t>
            </w:r>
          </w:p>
        </w:tc>
      </w:tr>
      <w:tr>
        <w:tc>
          <w:tcPr>
            <w:tcW w:type="dxa" w:w="3200"/>
          </w:tcPr>
          <w:p>
            <w:r>
              <w:rPr>
                <w:b w:val="false"/>
                <w:bCs w:val="false"/>
              </w:rPr>
              <w:t xml:space="preserve">bzq (sigla Roma-BZCAT), flat-spectrum radio quasar, fsrq</w:t>
            </w:r>
          </w:p>
        </w:tc>
        <w:tc>
          <w:tcPr>
            <w:tcW w:type="dxa" w:w="5800"/>
          </w:tcPr>
          <w:p>
            <w:r>
              <w:rPr>
                <w:b w:val="false"/>
                <w:bCs w:val="false"/>
              </w:rPr>
              <w:t xml:space="preserve">fsrq</w:t>
            </w:r>
          </w:p>
        </w:tc>
      </w:tr>
      <w:tr>
        <w:tc>
          <w:tcPr>
            <w:tcW w:type="dxa" w:w="3200"/>
          </w:tcPr>
          <w:p>
            <w:r>
              <w:rPr>
                <w:b w:val="false"/>
                <w:bCs w:val="false"/>
              </w:rPr>
              <w:t xml:space="preserve">broad-line seyfert, blsy1, seyfert, liner</w:t>
            </w:r>
          </w:p>
        </w:tc>
        <w:tc>
          <w:tcPr>
            <w:tcW w:type="dxa" w:w="5800"/>
          </w:tcPr>
          <w:p>
            <w:r>
              <w:rPr>
                <w:b w:val="false"/>
                <w:bCs w:val="false"/>
              </w:rPr>
              <w:t xml:space="preserve">sey</w:t>
            </w:r>
          </w:p>
        </w:tc>
      </w:tr>
      <w:tr>
        <w:tc>
          <w:tcPr>
            <w:tcW w:type="dxa" w:w="3200"/>
          </w:tcPr>
          <w:p>
            <w:r>
              <w:rPr>
                <w:b w:val="false"/>
                <w:bCs w:val="false"/>
              </w:rPr>
              <w:t xml:space="preserve">radio galaxy, misaligned, wide-angle-tailed, wat, fr i/ii, nelrg</w:t>
            </w:r>
          </w:p>
        </w:tc>
        <w:tc>
          <w:tcPr>
            <w:tcW w:type="dxa" w:w="5800"/>
          </w:tcPr>
          <w:p>
            <w:r>
              <w:rPr>
                <w:b w:val="false"/>
                <w:bCs w:val="false"/>
              </w:rPr>
              <w:t xml:space="preserve">mis</w:t>
            </w:r>
          </w:p>
        </w:tc>
      </w:tr>
      <w:tr>
        <w:tc>
          <w:tcPr>
            <w:tcW w:type="dxa" w:w="3200"/>
          </w:tcPr>
          <w:p>
            <w:r>
              <w:rPr>
                <w:b w:val="false"/>
                <w:bCs w:val="false"/>
              </w:rPr>
              <w:t xml:space="preserve">ambiguous, uncertain, unclear, bzu (sigla Roma-BZCAT)</w:t>
            </w:r>
          </w:p>
        </w:tc>
        <w:tc>
          <w:tcPr>
            <w:tcW w:type="dxa" w:w="5800"/>
          </w:tcPr>
          <w:p>
            <w:r>
              <w:rPr>
                <w:b w:val="false"/>
                <w:bCs w:val="false"/>
              </w:rPr>
              <w:t xml:space="preserve">amb</w:t>
            </w:r>
          </w:p>
        </w:tc>
      </w:tr>
      <w:tr>
        <w:tc>
          <w:tcPr>
            <w:tcW w:type="dxa" w:w="3200"/>
          </w:tcPr>
          <w:p>
            <w:r>
              <w:rPr>
                <w:b w:val="false"/>
                <w:bCs w:val="false"/>
              </w:rPr>
              <w:t xml:space="preserve">nessuna classificazione trovata dalla pipeline</w:t>
            </w:r>
          </w:p>
        </w:tc>
        <w:tc>
          <w:tcPr>
            <w:tcW w:type="dxa" w:w="5800"/>
          </w:tcPr>
          <w:p>
            <w:r>
              <w:rPr>
                <w:b w:val="false"/>
                <w:bCs w:val="false"/>
              </w:rPr>
              <w:t xml:space="preserve">uncl</w:t>
            </w:r>
          </w:p>
        </w:tc>
      </w:tr>
      <w:tr>
        <w:tc>
          <w:tcPr>
            <w:tcW w:type="dxa" w:w="3200"/>
          </w:tcPr>
          <w:p>
            <w:r>
              <w:rPr>
                <w:b w:val="false"/>
                <w:bCs w:val="false"/>
              </w:rPr>
              <w:t xml:space="preserve">testo estratto che non corrisponde a nessuna regola</w:t>
            </w:r>
          </w:p>
        </w:tc>
        <w:tc>
          <w:tcPr>
            <w:tcW w:type="dxa" w:w="5800"/>
          </w:tcPr>
          <w:p>
            <w:r>
              <w:rPr>
                <w:b w:val="false"/>
                <w:bCs w:val="false"/>
              </w:rPr>
              <w:t xml:space="preserve">altro/non mappato</w:t>
            </w:r>
          </w:p>
        </w:tc>
      </w:tr>
    </w:tbl>
    <w:p/>
    <w:p>
      <w:r>
        <w:t xml:space="preserve">Nota: il testo restituito da classification_final puo' restare volutamente descrittivo (es. "narrow-line Seyfert 1 galaxy (NLS1); also classified as FSRQ in 4LAC catalog") quando un paper dedicato segnala esplicitamente un disaccordo con altri cataloghi - questa sfumatura e' informativa e non viene normalizzata via. La mappatura verso lo schema di Foschini funziona comunque correttamente su testo descrittivo: le regole piu' specifiche (es. narrow-line seyfert) sono controllate prima di quelle piu' generiche (es. fsrq).</w:t>
      </w:r>
    </w:p>
    <w:p/>
    <w:p>
      <w:pPr>
        <w:pStyle w:val="Heading1"/>
      </w:pPr>
      <w:r>
        <w:t xml:space="preserve">5. Metriche calcolate</w:t>
      </w:r>
    </w:p>
    <w:p>
      <w:pPr>
        <w:pStyle w:val="ListParagraph"/>
        <w:numPr>
          <w:ilvl w:val="0"/>
          <w:numId w:val="1"/>
        </w:numPr>
      </w:pPr>
      <w:r>
        <w:t xml:space="preserve">Accordo sulla classificazione (su tutte le sorgenti campionate, incluse quelle senza dati -&gt; mappate a 'uncl').</w:t>
      </w:r>
    </w:p>
    <w:p>
      <w:pPr>
        <w:pStyle w:val="ListParagraph"/>
        <w:numPr>
          <w:ilvl w:val="0"/>
          <w:numId w:val="1"/>
        </w:numPr>
      </w:pPr>
      <w:r>
        <w:t xml:space="preserve">Accordo sulla classificazione (solo dove la pipeline ha trovato almeno un'estrazione verificata).</w:t>
      </w:r>
    </w:p>
    <w:p>
      <w:pPr>
        <w:pStyle w:val="ListParagraph"/>
        <w:numPr>
          <w:ilvl w:val="0"/>
          <w:numId w:val="1"/>
        </w:numPr>
      </w:pPr>
      <w:r>
        <w:t xml:space="preserve">Accordo sul redshift (|Δz| &lt; 0.01, dove entrambi disponibili): il test piu' pulito della bonta' della pipeline.</w:t>
      </w:r>
    </w:p>
    <w:p/>
    <w:p>
      <w:r>
        <w:t xml:space="preserve">Risultato di riferimento (campione fisso da 25 sorgenti, dopo l'aggiunta del lookup VizieR, l'ampliamento delle keyword di rilevanza e l'innalzamento del limite bibcode, MA PRIMA dei controlli anti-contaminazione e della regola di aggregazione a due livelli descritti nella documentazione principale, sezioni 4-5): 21/25 sorgenti con almeno un dato trovato, accordo di classificazione 76% (19/25) sul totale e 71% (15/21) dove sono stati trovati dati, accordo sul redshift 75% (15/20), per circa $14 di chiamate LLM. Numero da aggiornare con un nuovo run completo ora che i due casi diagnosticati singolarmente (TXS 1206+549, S4 0954+65 - vedi sezione 6) sono stati risolti: ci si aspetta un miglioramento sia sulla classificazione (grazie alla regola a due livelli) sia sulla precisione del redshift (grazie ai controlli anti-contaminazione), a fronte di una probabile leggera riduzione della copertura totale (si scartano estrazioni che prima venivano accettate erroneamente).</w:t>
      </w:r>
    </w:p>
    <w:p/>
    <w:p>
      <w:pPr>
        <w:pStyle w:val="Heading1"/>
      </w:pPr>
      <w:r>
        <w:t xml:space="preserve">6. Casi diagnosticati singolarmente</w:t>
      </w:r>
    </w:p>
    <w:p>
      <w:r>
        <w:t xml:space="preserve">Prima di rilanciare l'intero campione dopo una correzione, e' piu' economico verificare l'effetto su 1-2 sorgenti specifiche con inspect_papers.py. Due casi documentati:</w:t>
      </w:r>
    </w:p>
    <w:p>
      <w:pPr>
        <w:pStyle w:val="ListParagraph"/>
        <w:numPr>
          <w:ilvl w:val="0"/>
          <w:numId w:val="1"/>
        </w:numPr>
      </w:pPr>
      <w:r>
        <w:t xml:space="preserve">TXS 1206+549 (Foschini: NLS1): prima della regola di aggregazione a due livelli, la pipeline sceglieva FSRQ perche' 13 paper (perlopiu' tabelle di grandi campioni) citavano quell'etichetta ereditata dal catalogo 4LAC, contro un solo paper (Rakshit &amp; Stalin 2021, 2021MNRAS.504L..22R) con spettroscopia dedicata che identificava correttamente la sorgente come NLS1 a z=1.344. Con la regola a due livelli, la pipeline ora sceglie correttamente NLS1, dando priorita' all'unica analisi dedicata. Risolto.</w:t>
      </w:r>
    </w:p>
    <w:p>
      <w:pPr>
        <w:pStyle w:val="ListParagraph"/>
        <w:numPr>
          <w:ilvl w:val="0"/>
          <w:numId w:val="1"/>
        </w:numPr>
      </w:pPr>
      <w:r>
        <w:t xml:space="preserve">S4 0954+65 (Foschini: BLLAC): un paper (2025A&amp;A...693A.196O) discute cinematica VLBI (angolo di vista, fattore Doppler, redshift 0.051) senza mai nominare esplicitamente la sorgente nel testo citato - il valore apparteneva in realta' a un'altra sorgente discussa nello stesso paper. Senza il controllo quote_establishes_source_identity, la pipeline avrebbe attribuito erroneamente z=0.051 a S4 0954+65 al posto del valore corretto (~0.367-0.37, confermato da 14 altre estrazioni concordi). Risolto. Nota a margine: secondo Becerra Gonzalez et al. 2021 (MNRAS 504, 5258), S4 0954+65 e' un oggetto genuinamente peculiare che si comporta il piu' delle volte come BL Lac ma occasionalmente mostra una riga larga da FSRQ - un comportamento binario/di stato che nessuna pipeline automatica (ne' un singolo giudizio umano fissato nel tempo) puo' catturare pienamente con un'unica etichetta statica.</w:t>
      </w:r>
    </w:p>
    <w:p/>
    <w:p>
      <w:pPr>
        <w:pStyle w:val="Heading1"/>
      </w:pPr>
      <w:r>
        <w:t xml:space="preserve">7. Limitazioni note e avvertenze per l'interpretazione</w:t>
      </w:r>
    </w:p>
    <w:p>
      <w:pPr>
        <w:pStyle w:val="ListParagraph"/>
        <w:numPr>
          <w:ilvl w:val="0"/>
          <w:numId w:val="1"/>
        </w:numPr>
      </w:pPr>
      <w:r>
        <w:t xml:space="preserve">Campioni piccoli (es. 25 sorgenti) producono statistiche rumorose: una manciata di casi puo' spostare la percentuale di accordo di 10-20 punti.</w:t>
      </w:r>
    </w:p>
    <w:p>
      <w:pPr>
        <w:pStyle w:val="ListParagraph"/>
        <w:numPr>
          <w:ilvl w:val="0"/>
          <w:numId w:val="1"/>
        </w:numPr>
      </w:pPr>
      <w:r>
        <w:t xml:space="preserve">Le chiamate LLM non sono garantite deterministiche: run consecutivi sullo stesso campione possono dare un numero leggermente diverso di estrazioni verificate.</w:t>
      </w:r>
    </w:p>
    <w:p>
      <w:pPr>
        <w:pStyle w:val="ListParagraph"/>
        <w:numPr>
          <w:ilvl w:val="0"/>
          <w:numId w:val="1"/>
        </w:numPr>
      </w:pPr>
      <w:r>
        <w:t xml:space="preserve">PRIMA di interpretare i risultati, controllare sempre la colonna n_llm_errors e l'eventuale avviso [ATTENZIONE] a fine run.</w:t>
      </w:r>
    </w:p>
    <w:p>
      <w:pPr>
        <w:pStyle w:val="ListParagraph"/>
        <w:numPr>
          <w:ilvl w:val="0"/>
          <w:numId w:val="1"/>
        </w:numPr>
      </w:pPr>
      <w:r>
        <w:t xml:space="preserve">Il seed casuale (--seed) da SOLO NON garantisce lo stesso campione tra run diversi se il codice della pipeline cambia nel frattempo: reproduce_foschini.py salva il campione selezionato in foschini_reproduction_sample.txt al primo run e lo riusa in ogni run successivo indipendentemente dai cambi al codice (cancella il file, o usa --resample, per estrarne uno nuovo).</w:t>
      </w:r>
    </w:p>
    <w:p>
      <w:pPr>
        <w:pStyle w:val="ListParagraph"/>
        <w:numPr>
          <w:ilvl w:val="0"/>
          <w:numId w:val="1"/>
        </w:numPr>
      </w:pPr>
      <w:r>
        <w:t xml:space="preserve">Una citazione vera (verbatim nel testo) non garantisce che si riferisca alla sorgente giusta: vedi la documentazione principale, sezione 4, per i controlli anti-contaminazione aggiunti dopo aver osservato empiricamente entrambi i modi in cui questo puo' fallire silenziosamente.</w:t>
      </w:r>
    </w:p>
    <w:p/>
    <w:p>
      <w:pPr>
        <w:pStyle w:val="Heading1"/>
      </w:pPr>
      <w:r>
        <w:t xml:space="preserve">8. Utilizzo</w:t>
      </w:r>
    </w:p>
    <w:p>
      <w:pPr>
        <w:shd w:fill="F2F2F2" w:val="clear"/>
      </w:pPr>
      <w:r>
        <w:rPr>
          <w:rFonts w:ascii="Consolas" w:cs="Consolas" w:eastAsia="Consolas" w:hAnsi="Consolas"/>
          <w:sz w:val="20"/>
          <w:szCs w:val="20"/>
        </w:rPr>
        <w:t xml:space="preserve">python fetch_foschini_catalog.py</w:t>
      </w:r>
    </w:p>
    <w:p>
      <w:pPr>
        <w:shd w:fill="F2F2F2" w:val="clear"/>
      </w:pPr>
      <w:r>
        <w:rPr>
          <w:rFonts w:ascii="Consolas" w:cs="Consolas" w:eastAsia="Consolas" w:hAnsi="Consolas"/>
          <w:sz w:val="20"/>
          <w:szCs w:val="20"/>
        </w:rPr>
        <w:t xml:space="preserve">python reproduce_foschini.py --limit 25 --seed 42</w:t>
      </w:r>
    </w:p>
    <w:p>
      <w:pPr>
        <w:shd w:fill="F2F2F2" w:val="clear"/>
      </w:pPr>
      <w:r>
        <w:rPr>
          <w:rFonts w:ascii="Consolas" w:cs="Consolas" w:eastAsia="Consolas" w:hAnsi="Consolas"/>
          <w:sz w:val="20"/>
          <w:szCs w:val="20"/>
        </w:rPr>
        <w:t xml:space="preserve">python reproduce_foschini.py --limit 25 --source informal   # forza gli appunti</w:t>
      </w:r>
    </w:p>
    <w:p>
      <w:pPr>
        <w:shd w:fill="F2F2F2" w:val="clear"/>
      </w:pPr>
      <w:r>
        <w:rPr>
          <w:rFonts w:ascii="Consolas" w:cs="Consolas" w:eastAsia="Consolas" w:hAnsi="Consolas"/>
          <w:sz w:val="20"/>
          <w:szCs w:val="20"/>
        </w:rPr>
        <w:t xml:space="preserve">python reproduce_foschini.py --resample                    # sceglie un nuovo campione</w:t>
      </w:r>
    </w:p>
    <w:p>
      <w:pPr>
        <w:shd w:fill="F2F2F2" w:val="clear"/>
      </w:pPr>
      <w:r>
        <w:rPr>
          <w:rFonts w:ascii="Consolas" w:cs="Consolas" w:eastAsia="Consolas" w:hAnsi="Consolas"/>
          <w:sz w:val="20"/>
          <w:szCs w:val="20"/>
        </w:rPr>
        <w:t xml:space="preserve">python inspect_source.py "nome sorgente"</w:t>
      </w:r>
    </w:p>
    <w:p>
      <w:pPr>
        <w:shd w:fill="F2F2F2" w:val="clear"/>
      </w:pPr>
      <w:r>
        <w:rPr>
          <w:rFonts w:ascii="Consolas" w:cs="Consolas" w:eastAsia="Consolas" w:hAnsi="Consolas"/>
          <w:sz w:val="20"/>
          <w:szCs w:val="20"/>
        </w:rPr>
        <w:t xml:space="preserve">python inspect_papers.py "nome sorgente 1" "nome sorgente 2"</w:t>
      </w:r>
    </w:p>
    <w:p/>
    <w:p>
      <w:pPr>
        <w:pStyle w:val="Heading1"/>
      </w:pPr>
      <w:r>
        <w:t xml:space="preserve">9. File di output</w:t>
      </w:r>
    </w:p>
    <w:p>
      <w:r>
        <w:rPr>
          <w:b/>
          <w:bCs/>
        </w:rPr>
        <w:t xml:space="preserve">foschini_reproduction_results.csv: </w:t>
      </w:r>
      <w:r>
        <w:t xml:space="preserve">un record per sorgente campionata: assoc, foschini_true, our_classification_raw, our_classification_mapped, agree, our_redshift_final, z_foschini, z_flag_foschini, z_agree, n_papers_reviewed, n_extractions_verified, n_llm_errors.</w:t>
      </w:r>
    </w:p>
    <w:p>
      <w:r>
        <w:rPr>
          <w:b/>
          <w:bCs/>
        </w:rPr>
        <w:t xml:space="preserve">foschini_reproduction_detailed.csv: </w:t>
      </w:r>
      <w:r>
        <w:t xml:space="preserve">formato lungo, un record per combinazione sorgente x paper x chunk.</w:t>
      </w:r>
    </w:p>
    <w:p>
      <w:r>
        <w:rPr>
          <w:b/>
          <w:bCs/>
        </w:rPr>
        <w:t xml:space="preserve">foschini_reproduction_sample.txt: </w:t>
      </w:r>
      <w:r>
        <w:t xml:space="preserve">elenco delle sorgenti nel campione corrente, creato al primo run e riusato nei successivi.</w:t>
      </w:r>
    </w:p>
    <w:p>
      <w:r>
        <w:br w:type="page"/>
      </w:r>
    </w:p>
    <w:p>
      <w:pPr>
        <w:jc w:val="center"/>
      </w:pPr>
      <w:r>
        <w:rPr>
          <w:b/>
          <w:bCs/>
          <w:sz w:val="32"/>
          <w:szCs w:val="32"/>
        </w:rPr>
        <w:t xml:space="preserve">DOCUMENTATION</w:t>
      </w:r>
    </w:p>
    <w:p>
      <w:pPr>
        <w:jc w:val="center"/>
      </w:pPr>
      <w:r>
        <w:rPr>
          <w:i/>
          <w:iCs/>
        </w:rPr>
        <w:t xml:space="preserve">Validation module against Foschini's published catalog (Universe 8, 587)</w:t>
      </w:r>
    </w:p>
    <w:p>
      <w:pPr>
        <w:jc w:val="center"/>
      </w:pPr>
      <w:r>
        <w:rPr>
          <w:i/>
          <w:iCs/>
        </w:rPr>
        <w:t xml:space="preserve">Version 1.2 — August 2026</w:t>
      </w:r>
    </w:p>
    <w:p/>
    <w:p>
      <w:pPr>
        <w:pStyle w:val="Heading1"/>
      </w:pPr>
      <w:r>
        <w:t xml:space="preserve">1. Objective</w:t>
      </w:r>
    </w:p>
    <w:p>
      <w:r>
        <w:t xml:space="preserve">This module compares the output of the literature-search pipeline against the catalog already published by L. Foschini et al. (Foschini et al. 2022, Universe, 8, 587), used as an independent ground truth.</w:t>
      </w:r>
    </w:p>
    <w:p>
      <w:r>
        <w:t xml:space="preserve">Foschini's catalog is available on VizieR under identifier J/other/Univ/8.587 and covers 2980 4FGL-DR2 sources, with a revised classification column (RevCl) in 8 categories.</w:t>
      </w:r>
    </w:p>
    <w:p/>
    <w:p>
      <w:pPr>
        <w:pStyle w:val="Heading1"/>
      </w:pPr>
      <w:r>
        <w:t xml:space="preserve">2. Foschini's classification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tcPr>
          <w:p>
            <w:r>
              <w:rPr>
                <w:b/>
                <w:bCs/>
              </w:rPr>
              <w:t xml:space="preserve">Code</w:t>
            </w:r>
          </w:p>
        </w:tc>
        <w:tc>
          <w:tcPr>
            <w:tcW w:type="dxa" w:w="5800"/>
            <w:shd w:fill="D9E2F3" w:val="clear"/>
          </w:tcPr>
          <w:p>
            <w:r>
              <w:rPr>
                <w:b/>
                <w:bCs/>
              </w:rPr>
              <w:t xml:space="preserve">Meaning</w:t>
            </w:r>
          </w:p>
        </w:tc>
      </w:tr>
      <w:tr>
        <w:tc>
          <w:tcPr>
            <w:tcW w:type="dxa" w:w="3200"/>
          </w:tcPr>
          <w:p>
            <w:r>
              <w:rPr>
                <w:b w:val="false"/>
                <w:bCs w:val="false"/>
              </w:rPr>
              <w:t xml:space="preserve">FSRQ</w:t>
            </w:r>
          </w:p>
        </w:tc>
        <w:tc>
          <w:tcPr>
            <w:tcW w:type="dxa" w:w="5800"/>
          </w:tcPr>
          <w:p>
            <w:r>
              <w:rPr>
                <w:b w:val="false"/>
                <w:bCs w:val="false"/>
              </w:rPr>
              <w:t xml:space="preserve">Flat-Spectrum Radio Quasar</w:t>
            </w:r>
          </w:p>
        </w:tc>
      </w:tr>
      <w:tr>
        <w:tc>
          <w:tcPr>
            <w:tcW w:type="dxa" w:w="3200"/>
          </w:tcPr>
          <w:p>
            <w:r>
              <w:rPr>
                <w:b w:val="false"/>
                <w:bCs w:val="false"/>
              </w:rPr>
              <w:t xml:space="preserve">BLLAC</w:t>
            </w:r>
          </w:p>
        </w:tc>
        <w:tc>
          <w:tcPr>
            <w:tcW w:type="dxa" w:w="5800"/>
          </w:tcPr>
          <w:p>
            <w:r>
              <w:rPr>
                <w:b w:val="false"/>
                <w:bCs w:val="false"/>
              </w:rPr>
              <w:t xml:space="preserve">BL Lac Object</w:t>
            </w:r>
          </w:p>
        </w:tc>
      </w:tr>
      <w:tr>
        <w:tc>
          <w:tcPr>
            <w:tcW w:type="dxa" w:w="3200"/>
          </w:tcPr>
          <w:p>
            <w:r>
              <w:rPr>
                <w:b w:val="false"/>
                <w:bCs w:val="false"/>
              </w:rPr>
              <w:t xml:space="preserve">NLS1</w:t>
            </w:r>
          </w:p>
        </w:tc>
        <w:tc>
          <w:tcPr>
            <w:tcW w:type="dxa" w:w="5800"/>
          </w:tcPr>
          <w:p>
            <w:r>
              <w:rPr>
                <w:b w:val="false"/>
                <w:bCs w:val="false"/>
              </w:rPr>
              <w:t xml:space="preserve">Narrow-Line Seyfert 1 Galaxy</w:t>
            </w:r>
          </w:p>
        </w:tc>
      </w:tr>
      <w:tr>
        <w:tc>
          <w:tcPr>
            <w:tcW w:type="dxa" w:w="3200"/>
          </w:tcPr>
          <w:p>
            <w:r>
              <w:rPr>
                <w:b w:val="false"/>
                <w:bCs w:val="false"/>
              </w:rPr>
              <w:t xml:space="preserve">SEY</w:t>
            </w:r>
          </w:p>
        </w:tc>
        <w:tc>
          <w:tcPr>
            <w:tcW w:type="dxa" w:w="5800"/>
          </w:tcPr>
          <w:p>
            <w:r>
              <w:rPr>
                <w:b w:val="false"/>
                <w:bCs w:val="false"/>
              </w:rPr>
              <w:t xml:space="preserve">Seyfert galaxy (Type 1, 2, intermediate, LINER)</w:t>
            </w:r>
          </w:p>
        </w:tc>
      </w:tr>
      <w:tr>
        <w:tc>
          <w:tcPr>
            <w:tcW w:type="dxa" w:w="3200"/>
          </w:tcPr>
          <w:p>
            <w:r>
              <w:rPr>
                <w:b w:val="false"/>
                <w:bCs w:val="false"/>
              </w:rPr>
              <w:t xml:space="preserve">MIS</w:t>
            </w:r>
          </w:p>
        </w:tc>
        <w:tc>
          <w:tcPr>
            <w:tcW w:type="dxa" w:w="5800"/>
          </w:tcPr>
          <w:p>
            <w:r>
              <w:rPr>
                <w:b w:val="false"/>
                <w:bCs w:val="false"/>
              </w:rPr>
              <w:t xml:space="preserve">Misaligned Jetted AGN</w:t>
            </w:r>
          </w:p>
        </w:tc>
      </w:tr>
      <w:tr>
        <w:tc>
          <w:tcPr>
            <w:tcW w:type="dxa" w:w="3200"/>
          </w:tcPr>
          <w:p>
            <w:r>
              <w:rPr>
                <w:b w:val="false"/>
                <w:bCs w:val="false"/>
              </w:rPr>
              <w:t xml:space="preserve">CLAGN</w:t>
            </w:r>
          </w:p>
        </w:tc>
        <w:tc>
          <w:tcPr>
            <w:tcW w:type="dxa" w:w="5800"/>
          </w:tcPr>
          <w:p>
            <w:r>
              <w:rPr>
                <w:b w:val="false"/>
                <w:bCs w:val="false"/>
              </w:rPr>
              <w:t xml:space="preserve">Changing-look AGN</w:t>
            </w:r>
          </w:p>
        </w:tc>
      </w:tr>
      <w:tr>
        <w:tc>
          <w:tcPr>
            <w:tcW w:type="dxa" w:w="3200"/>
          </w:tcPr>
          <w:p>
            <w:r>
              <w:rPr>
                <w:b w:val="false"/>
                <w:bCs w:val="false"/>
              </w:rPr>
              <w:t xml:space="preserve">AMB</w:t>
            </w:r>
          </w:p>
        </w:tc>
        <w:tc>
          <w:tcPr>
            <w:tcW w:type="dxa" w:w="5800"/>
          </w:tcPr>
          <w:p>
            <w:r>
              <w:rPr>
                <w:b w:val="false"/>
                <w:bCs w:val="false"/>
              </w:rPr>
              <w:t xml:space="preserve">Ambiguous</w:t>
            </w:r>
          </w:p>
        </w:tc>
      </w:tr>
      <w:tr>
        <w:tc>
          <w:tcPr>
            <w:tcW w:type="dxa" w:w="3200"/>
          </w:tcPr>
          <w:p>
            <w:r>
              <w:rPr>
                <w:b w:val="false"/>
                <w:bCs w:val="false"/>
              </w:rPr>
              <w:t xml:space="preserve">UNCL</w:t>
            </w:r>
          </w:p>
        </w:tc>
        <w:tc>
          <w:tcPr>
            <w:tcW w:type="dxa" w:w="5800"/>
          </w:tcPr>
          <w:p>
            <w:r>
              <w:rPr>
                <w:b w:val="false"/>
                <w:bCs w:val="false"/>
              </w:rPr>
              <w:t xml:space="preserve">Unclassified</w:t>
            </w:r>
          </w:p>
        </w:tc>
      </w:tr>
    </w:tbl>
    <w:p/>
    <w:p>
      <w:pPr>
        <w:pStyle w:val="Heading1"/>
      </w:pPr>
      <w:r>
        <w:t xml:space="preserve">3. Scripts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E2F3" w:val="clear"/>
          </w:tcPr>
          <w:p>
            <w:r>
              <w:rPr>
                <w:b/>
                <w:bCs/>
              </w:rPr>
              <w:t xml:space="preserve">File</w:t>
            </w:r>
          </w:p>
        </w:tc>
        <w:tc>
          <w:tcPr>
            <w:tcW w:type="dxa" w:w="6400"/>
            <w:shd w:fill="D9E2F3" w:val="clear"/>
          </w:tcPr>
          <w:p>
            <w:r>
              <w:rPr>
                <w:b/>
                <w:bCs/>
              </w:rPr>
              <w:t xml:space="preserve">Function</w:t>
            </w:r>
          </w:p>
        </w:tc>
      </w:tr>
      <w:tr>
        <w:tc>
          <w:tcPr>
            <w:tcW w:type="dxa" w:w="2600"/>
          </w:tcPr>
          <w:p>
            <w:r>
              <w:rPr>
                <w:b w:val="false"/>
                <w:bCs w:val="false"/>
              </w:rPr>
              <w:t xml:space="preserve">fetch_foschini_catalog.py</w:t>
            </w:r>
          </w:p>
        </w:tc>
        <w:tc>
          <w:tcPr>
            <w:tcW w:type="dxa" w:w="6400"/>
          </w:tcPr>
          <w:p>
            <w:r>
              <w:rPr>
                <w:b w:val="false"/>
                <w:bCs w:val="false"/>
              </w:rPr>
              <w:t xml:space="preserve">Downloads catalog J/other/Univ/8.587 from VizieR and saves it as foschini_catalog_full.csv. Also fetches AND merges the notes.dat table.</w:t>
            </w:r>
          </w:p>
        </w:tc>
      </w:tr>
      <w:tr>
        <w:tc>
          <w:tcPr>
            <w:tcW w:type="dxa" w:w="2600"/>
          </w:tcPr>
          <w:p>
            <w:r>
              <w:rPr>
                <w:b w:val="false"/>
                <w:bCs w:val="false"/>
              </w:rPr>
              <w:t xml:space="preserve">reproduce_foschini.py</w:t>
            </w:r>
          </w:p>
        </w:tc>
        <w:tc>
          <w:tcPr>
            <w:tcW w:type="dxa" w:w="6400"/>
          </w:tcPr>
          <w:p>
            <w:r>
              <w:rPr>
                <w:b w:val="false"/>
                <w:bCs w:val="false"/>
              </w:rPr>
              <w:t xml:space="preserve">Runs pipeline.process_source() on catalog sources, maps output onto Foschini's scheme, produces agreement statistics. The sample is saved to foschini_reproduction_sample.txt and reused across runs.</w:t>
            </w:r>
          </w:p>
        </w:tc>
      </w:tr>
      <w:tr>
        <w:tc>
          <w:tcPr>
            <w:tcW w:type="dxa" w:w="2600"/>
          </w:tcPr>
          <w:p>
            <w:r>
              <w:rPr>
                <w:b w:val="false"/>
                <w:bCs w:val="false"/>
              </w:rPr>
              <w:t xml:space="preserve">inspect_source.py</w:t>
            </w:r>
          </w:p>
        </w:tc>
        <w:tc>
          <w:tcPr>
            <w:tcW w:type="dxa" w:w="6400"/>
          </w:tcPr>
          <w:p>
            <w:r>
              <w:rPr>
                <w:b w:val="false"/>
                <w:bCs w:val="false"/>
              </w:rPr>
              <w:t xml:space="preserve">Prints the full official catalog row for one or more specific sources.</w:t>
            </w:r>
          </w:p>
        </w:tc>
      </w:tr>
      <w:tr>
        <w:tc>
          <w:tcPr>
            <w:tcW w:type="dxa" w:w="2600"/>
          </w:tcPr>
          <w:p>
            <w:r>
              <w:rPr>
                <w:b w:val="false"/>
                <w:bCs w:val="false"/>
              </w:rPr>
              <w:t xml:space="preserve">inspect_papers.py</w:t>
            </w:r>
          </w:p>
        </w:tc>
        <w:tc>
          <w:tcPr>
            <w:tcW w:type="dxa" w:w="6400"/>
          </w:tcPr>
          <w:p>
            <w:r>
              <w:rPr>
                <w:b w:val="false"/>
                <w:bCs w:val="false"/>
              </w:rPr>
              <w:t xml:space="preserve">Reruns the pipeline ONLY on specified sources with full per-paper detail: the main way used to diagnose disagreements case by case without the cost of a full rerun.</w:t>
            </w:r>
          </w:p>
        </w:tc>
      </w:tr>
    </w:tbl>
    <w:p/>
    <w:p>
      <w:pPr>
        <w:pStyle w:val="Heading1"/>
      </w:pPr>
      <w:r>
        <w:t xml:space="preserve">4. Mapping onto Foschini's scheme</w:t>
      </w:r>
    </w:p>
    <w:p>
      <w:r>
        <w:t xml:space="preserve">The main pipeline's LLM extraction returns free text. The mapping onto Foschini's scheme happens in a later, DETERMINISTIC step, with explicit rules: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tcPr>
          <w:p>
            <w:r>
              <w:rPr>
                <w:b/>
                <w:bCs/>
              </w:rPr>
              <w:t xml:space="preserve">Recognized pattern</w:t>
            </w:r>
          </w:p>
        </w:tc>
        <w:tc>
          <w:tcPr>
            <w:tcW w:type="dxa" w:w="5800"/>
            <w:shd w:fill="D9E2F3" w:val="clear"/>
          </w:tcPr>
          <w:p>
            <w:r>
              <w:rPr>
                <w:b/>
                <w:bCs/>
              </w:rPr>
              <w:t xml:space="preserve">Foschini category</w:t>
            </w:r>
          </w:p>
        </w:tc>
      </w:tr>
      <w:tr>
        <w:tc>
          <w:tcPr>
            <w:tcW w:type="dxa" w:w="3200"/>
          </w:tcPr>
          <w:p>
            <w:r>
              <w:rPr>
                <w:b w:val="false"/>
                <w:bCs w:val="false"/>
              </w:rPr>
              <w:t xml:space="preserve">narrow-line seyfert, nls1, nlsy1</w:t>
            </w:r>
          </w:p>
        </w:tc>
        <w:tc>
          <w:tcPr>
            <w:tcW w:type="dxa" w:w="5800"/>
          </w:tcPr>
          <w:p>
            <w:r>
              <w:rPr>
                <w:b w:val="false"/>
                <w:bCs w:val="false"/>
              </w:rPr>
              <w:t xml:space="preserve">nls1</w:t>
            </w:r>
          </w:p>
        </w:tc>
      </w:tr>
      <w:tr>
        <w:tc>
          <w:tcPr>
            <w:tcW w:type="dxa" w:w="3200"/>
          </w:tcPr>
          <w:p>
            <w:r>
              <w:rPr>
                <w:b w:val="false"/>
                <w:bCs w:val="false"/>
              </w:rPr>
              <w:t xml:space="preserve">changing-look</w:t>
            </w:r>
          </w:p>
        </w:tc>
        <w:tc>
          <w:tcPr>
            <w:tcW w:type="dxa" w:w="5800"/>
          </w:tcPr>
          <w:p>
            <w:r>
              <w:rPr>
                <w:b w:val="false"/>
                <w:bCs w:val="false"/>
              </w:rPr>
              <w:t xml:space="preserve">clagn</w:t>
            </w:r>
          </w:p>
        </w:tc>
      </w:tr>
      <w:tr>
        <w:tc>
          <w:tcPr>
            <w:tcW w:type="dxa" w:w="3200"/>
          </w:tcPr>
          <w:p>
            <w:r>
              <w:rPr>
                <w:b w:val="false"/>
                <w:bCs w:val="false"/>
              </w:rPr>
              <w:t xml:space="preserve">bzb (Roma-BZCAT code), bl lac, bll, lbl/ibl/hbl, lsp/isp/hsp</w:t>
            </w:r>
          </w:p>
        </w:tc>
        <w:tc>
          <w:tcPr>
            <w:tcW w:type="dxa" w:w="5800"/>
          </w:tcPr>
          <w:p>
            <w:r>
              <w:rPr>
                <w:b w:val="false"/>
                <w:bCs w:val="false"/>
              </w:rPr>
              <w:t xml:space="preserve">bll</w:t>
            </w:r>
          </w:p>
        </w:tc>
      </w:tr>
      <w:tr>
        <w:tc>
          <w:tcPr>
            <w:tcW w:type="dxa" w:w="3200"/>
          </w:tcPr>
          <w:p>
            <w:r>
              <w:rPr>
                <w:b w:val="false"/>
                <w:bCs w:val="false"/>
              </w:rPr>
              <w:t xml:space="preserve">bzq (Roma-BZCAT code), flat-spectrum radio quasar, fsrq</w:t>
            </w:r>
          </w:p>
        </w:tc>
        <w:tc>
          <w:tcPr>
            <w:tcW w:type="dxa" w:w="5800"/>
          </w:tcPr>
          <w:p>
            <w:r>
              <w:rPr>
                <w:b w:val="false"/>
                <w:bCs w:val="false"/>
              </w:rPr>
              <w:t xml:space="preserve">fsrq</w:t>
            </w:r>
          </w:p>
        </w:tc>
      </w:tr>
      <w:tr>
        <w:tc>
          <w:tcPr>
            <w:tcW w:type="dxa" w:w="3200"/>
          </w:tcPr>
          <w:p>
            <w:r>
              <w:rPr>
                <w:b w:val="false"/>
                <w:bCs w:val="false"/>
              </w:rPr>
              <w:t xml:space="preserve">broad-line seyfert, blsy1, seyfert, liner</w:t>
            </w:r>
          </w:p>
        </w:tc>
        <w:tc>
          <w:tcPr>
            <w:tcW w:type="dxa" w:w="5800"/>
          </w:tcPr>
          <w:p>
            <w:r>
              <w:rPr>
                <w:b w:val="false"/>
                <w:bCs w:val="false"/>
              </w:rPr>
              <w:t xml:space="preserve">sey</w:t>
            </w:r>
          </w:p>
        </w:tc>
      </w:tr>
      <w:tr>
        <w:tc>
          <w:tcPr>
            <w:tcW w:type="dxa" w:w="3200"/>
          </w:tcPr>
          <w:p>
            <w:r>
              <w:rPr>
                <w:b w:val="false"/>
                <w:bCs w:val="false"/>
              </w:rPr>
              <w:t xml:space="preserve">radio galaxy, misaligned, wide-angle-tailed, wat, fr i/ii, nelrg</w:t>
            </w:r>
          </w:p>
        </w:tc>
        <w:tc>
          <w:tcPr>
            <w:tcW w:type="dxa" w:w="5800"/>
          </w:tcPr>
          <w:p>
            <w:r>
              <w:rPr>
                <w:b w:val="false"/>
                <w:bCs w:val="false"/>
              </w:rPr>
              <w:t xml:space="preserve">mis</w:t>
            </w:r>
          </w:p>
        </w:tc>
      </w:tr>
      <w:tr>
        <w:tc>
          <w:tcPr>
            <w:tcW w:type="dxa" w:w="3200"/>
          </w:tcPr>
          <w:p>
            <w:r>
              <w:rPr>
                <w:b w:val="false"/>
                <w:bCs w:val="false"/>
              </w:rPr>
              <w:t xml:space="preserve">ambiguous, uncertain, unclear, bzu (Roma-BZCAT code)</w:t>
            </w:r>
          </w:p>
        </w:tc>
        <w:tc>
          <w:tcPr>
            <w:tcW w:type="dxa" w:w="5800"/>
          </w:tcPr>
          <w:p>
            <w:r>
              <w:rPr>
                <w:b w:val="false"/>
                <w:bCs w:val="false"/>
              </w:rPr>
              <w:t xml:space="preserve">amb</w:t>
            </w:r>
          </w:p>
        </w:tc>
      </w:tr>
      <w:tr>
        <w:tc>
          <w:tcPr>
            <w:tcW w:type="dxa" w:w="3200"/>
          </w:tcPr>
          <w:p>
            <w:r>
              <w:rPr>
                <w:b w:val="false"/>
                <w:bCs w:val="false"/>
              </w:rPr>
              <w:t xml:space="preserve">no classification found by the pipeline</w:t>
            </w:r>
          </w:p>
        </w:tc>
        <w:tc>
          <w:tcPr>
            <w:tcW w:type="dxa" w:w="5800"/>
          </w:tcPr>
          <w:p>
            <w:r>
              <w:rPr>
                <w:b w:val="false"/>
                <w:bCs w:val="false"/>
              </w:rPr>
              <w:t xml:space="preserve">uncl</w:t>
            </w:r>
          </w:p>
        </w:tc>
      </w:tr>
      <w:tr>
        <w:tc>
          <w:tcPr>
            <w:tcW w:type="dxa" w:w="3200"/>
          </w:tcPr>
          <w:p>
            <w:r>
              <w:rPr>
                <w:b w:val="false"/>
                <w:bCs w:val="false"/>
              </w:rPr>
              <w:t xml:space="preserve">extracted text matching no rule</w:t>
            </w:r>
          </w:p>
        </w:tc>
        <w:tc>
          <w:tcPr>
            <w:tcW w:type="dxa" w:w="5800"/>
          </w:tcPr>
          <w:p>
            <w:r>
              <w:rPr>
                <w:b w:val="false"/>
                <w:bCs w:val="false"/>
              </w:rPr>
              <w:t xml:space="preserve">other/unmapped</w:t>
            </w:r>
          </w:p>
        </w:tc>
      </w:tr>
    </w:tbl>
    <w:p/>
    <w:p>
      <w:pPr>
        <w:pStyle w:val="Heading1"/>
      </w:pPr>
      <w:r>
        <w:t xml:space="preserve">5. Metrics computed</w:t>
      </w:r>
    </w:p>
    <w:p>
      <w:pPr>
        <w:pStyle w:val="ListParagraph"/>
        <w:numPr>
          <w:ilvl w:val="0"/>
          <w:numId w:val="1"/>
        </w:numPr>
      </w:pPr>
      <w:r>
        <w:t xml:space="preserve">Classification agreement (across all sampled sources).</w:t>
      </w:r>
    </w:p>
    <w:p>
      <w:pPr>
        <w:pStyle w:val="ListParagraph"/>
        <w:numPr>
          <w:ilvl w:val="0"/>
          <w:numId w:val="1"/>
        </w:numPr>
      </w:pPr>
      <w:r>
        <w:t xml:space="preserve">Classification agreement (only where data was found).</w:t>
      </w:r>
    </w:p>
    <w:p>
      <w:pPr>
        <w:pStyle w:val="ListParagraph"/>
        <w:numPr>
          <w:ilvl w:val="0"/>
          <w:numId w:val="1"/>
        </w:numPr>
      </w:pPr>
      <w:r>
        <w:t xml:space="preserve">Redshift agreement (|Δz| &lt; 0.01): the cleanest test of pipeline quality.</w:t>
      </w:r>
    </w:p>
    <w:p/>
    <w:p>
      <w:r>
        <w:t xml:space="preserve">Reference result (fixed 25-source sample, BEFORE the anti-contamination checks and the two-tier aggregation rule described in the main documentation): 21/25 sources with data, 76% (19/25) overall classification agreement, 71% (15/21) where data was found, 75% (15/20) redshift agreement, for about $14. To be updated with a fresh full run now that the two individually-diagnosed cases (TXS 1206+549, S4 0954+65 - see section 6) are fixed: expect improved classification and redshift precision, alongside a likely small drop in total coverage (previously-wrong extractions are now correctly discarded).</w:t>
      </w:r>
    </w:p>
    <w:p/>
    <w:p>
      <w:pPr>
        <w:pStyle w:val="Heading1"/>
      </w:pPr>
      <w:r>
        <w:t xml:space="preserve">6. Individually diagnosed cases</w:t>
      </w:r>
    </w:p>
    <w:p>
      <w:pPr>
        <w:pStyle w:val="ListParagraph"/>
        <w:numPr>
          <w:ilvl w:val="0"/>
          <w:numId w:val="1"/>
        </w:numPr>
      </w:pPr>
      <w:r>
        <w:t xml:space="preserve">TXS 1206+549 (Foschini: NLS1): before the two-tier rule, the pipeline picked FSRQ because 13 papers (mostly bulk-sample tables) cited that label inherited from the 4LAC catalog, against a single paper (Rakshit &amp; Stalin 2021) with dedicated spectroscopy correctly identifying NLS1 at z=1.344. Fixed.</w:t>
      </w:r>
    </w:p>
    <w:p>
      <w:pPr>
        <w:pStyle w:val="ListParagraph"/>
        <w:numPr>
          <w:ilvl w:val="0"/>
          <w:numId w:val="1"/>
        </w:numPr>
      </w:pPr>
      <w:r>
        <w:t xml:space="preserve">S4 0954+65 (Foschini: BLLAC): a paper (2025A&amp;A...693A.196O) discusses VLBI kinematics without ever naming the source in the quoted text - the value actually belonged to a different source in the same paper. Without quote_establishes_source_identity, z=0.051 would have been wrongly attributed instead of the correct ~0.367-0.37. Fixed. Side note: per Becerra Gonzalez et al. 2021, S4 0954+65 is a genuinely peculiar object that mostly behaves as a BL Lac but occasionally shows an FSRQ-like broad line - a binary/state-dependent behavior no automated pipeline (nor a single fixed human judgment) can fully capture with one static label.</w:t>
      </w:r>
    </w:p>
    <w:p/>
    <w:p>
      <w:pPr>
        <w:pStyle w:val="Heading1"/>
      </w:pPr>
      <w:r>
        <w:t xml:space="preserve">7. Known limitations and interpretation caveats</w:t>
      </w:r>
    </w:p>
    <w:p>
      <w:pPr>
        <w:pStyle w:val="ListParagraph"/>
        <w:numPr>
          <w:ilvl w:val="0"/>
          <w:numId w:val="1"/>
        </w:numPr>
      </w:pPr>
      <w:r>
        <w:t xml:space="preserve">Small samples produce noisy statistics.</w:t>
      </w:r>
    </w:p>
    <w:p>
      <w:pPr>
        <w:pStyle w:val="ListParagraph"/>
        <w:numPr>
          <w:ilvl w:val="0"/>
          <w:numId w:val="1"/>
        </w:numPr>
      </w:pPr>
      <w:r>
        <w:t xml:space="preserve">LLM calls are not guaranteed deterministic.</w:t>
      </w:r>
    </w:p>
    <w:p>
      <w:pPr>
        <w:pStyle w:val="ListParagraph"/>
        <w:numPr>
          <w:ilvl w:val="0"/>
          <w:numId w:val="1"/>
        </w:numPr>
      </w:pPr>
      <w:r>
        <w:t xml:space="preserve">Always check n_llm_errors and any [WARNING] before interpreting results.</w:t>
      </w:r>
    </w:p>
    <w:p>
      <w:pPr>
        <w:pStyle w:val="ListParagraph"/>
        <w:numPr>
          <w:ilvl w:val="0"/>
          <w:numId w:val="1"/>
        </w:numPr>
      </w:pPr>
      <w:r>
        <w:t xml:space="preserve">The random seed alone does NOT guarantee the same sample across code versions: the fixed sample file solves this.</w:t>
      </w:r>
    </w:p>
    <w:p>
      <w:pPr>
        <w:pStyle w:val="ListParagraph"/>
        <w:numPr>
          <w:ilvl w:val="0"/>
          <w:numId w:val="1"/>
        </w:numPr>
      </w:pPr>
      <w:r>
        <w:t xml:space="preserve">A true quote does not guarantee correct source attribution: see the main documentation, section 4, for the anti-contamination checks.</w:t>
      </w:r>
    </w:p>
    <w:p/>
    <w:p>
      <w:pPr>
        <w:pStyle w:val="Heading1"/>
      </w:pPr>
      <w:r>
        <w:t xml:space="preserve">8. Usage</w:t>
      </w:r>
    </w:p>
    <w:p>
      <w:pPr>
        <w:shd w:fill="F2F2F2" w:val="clear"/>
      </w:pPr>
      <w:r>
        <w:rPr>
          <w:rFonts w:ascii="Consolas" w:cs="Consolas" w:eastAsia="Consolas" w:hAnsi="Consolas"/>
          <w:sz w:val="20"/>
          <w:szCs w:val="20"/>
        </w:rPr>
        <w:t xml:space="preserve">python fetch_foschini_catalog.py</w:t>
      </w:r>
    </w:p>
    <w:p>
      <w:pPr>
        <w:shd w:fill="F2F2F2" w:val="clear"/>
      </w:pPr>
      <w:r>
        <w:rPr>
          <w:rFonts w:ascii="Consolas" w:cs="Consolas" w:eastAsia="Consolas" w:hAnsi="Consolas"/>
          <w:sz w:val="20"/>
          <w:szCs w:val="20"/>
        </w:rPr>
        <w:t xml:space="preserve">python reproduce_foschini.py --limit 25 --seed 42</w:t>
      </w:r>
    </w:p>
    <w:p>
      <w:pPr>
        <w:shd w:fill="F2F2F2" w:val="clear"/>
      </w:pPr>
      <w:r>
        <w:rPr>
          <w:rFonts w:ascii="Consolas" w:cs="Consolas" w:eastAsia="Consolas" w:hAnsi="Consolas"/>
          <w:sz w:val="20"/>
          <w:szCs w:val="20"/>
        </w:rPr>
        <w:t xml:space="preserve">python reproduce_foschini.py --limit 25 --source informal</w:t>
      </w:r>
    </w:p>
    <w:p>
      <w:pPr>
        <w:shd w:fill="F2F2F2" w:val="clear"/>
      </w:pPr>
      <w:r>
        <w:rPr>
          <w:rFonts w:ascii="Consolas" w:cs="Consolas" w:eastAsia="Consolas" w:hAnsi="Consolas"/>
          <w:sz w:val="20"/>
          <w:szCs w:val="20"/>
        </w:rPr>
        <w:t xml:space="preserve">python reproduce_foschini.py --resample</w:t>
      </w:r>
    </w:p>
    <w:p>
      <w:pPr>
        <w:shd w:fill="F2F2F2" w:val="clear"/>
      </w:pPr>
      <w:r>
        <w:rPr>
          <w:rFonts w:ascii="Consolas" w:cs="Consolas" w:eastAsia="Consolas" w:hAnsi="Consolas"/>
          <w:sz w:val="20"/>
          <w:szCs w:val="20"/>
        </w:rPr>
        <w:t xml:space="preserve">python inspect_source.py "source name"</w:t>
      </w:r>
    </w:p>
    <w:p>
      <w:pPr>
        <w:shd w:fill="F2F2F2" w:val="clear"/>
      </w:pPr>
      <w:r>
        <w:rPr>
          <w:rFonts w:ascii="Consolas" w:cs="Consolas" w:eastAsia="Consolas" w:hAnsi="Consolas"/>
          <w:sz w:val="20"/>
          <w:szCs w:val="20"/>
        </w:rPr>
        <w:t xml:space="preserve">python inspect_papers.py "source name 1" "source name 2"</w:t>
      </w:r>
    </w:p>
    <w:p/>
    <w:p>
      <w:pPr>
        <w:pStyle w:val="Heading1"/>
      </w:pPr>
      <w:r>
        <w:t xml:space="preserve">9. Output files</w:t>
      </w:r>
    </w:p>
    <w:p>
      <w:r>
        <w:rPr>
          <w:b/>
          <w:bCs/>
        </w:rPr>
        <w:t xml:space="preserve">foschini_reproduction_results.csv: </w:t>
      </w:r>
      <w:r>
        <w:t xml:space="preserve">one record per sampled source.</w:t>
      </w:r>
    </w:p>
    <w:p>
      <w:r>
        <w:rPr>
          <w:b/>
          <w:bCs/>
        </w:rPr>
        <w:t xml:space="preserve">foschini_reproduction_detailed.csv: </w:t>
      </w:r>
      <w:r>
        <w:t xml:space="preserve">long format, one record per source x paper x chunk.</w:t>
      </w:r>
    </w:p>
    <w:p>
      <w:r>
        <w:rPr>
          <w:b/>
          <w:bCs/>
        </w:rPr>
        <w:t xml:space="preserve">foschini_reproduction_sample.txt: </w:t>
      </w:r>
      <w:r>
        <w:t xml:space="preserve">list of sources in the current sample.</w:t>
      </w:r>
    </w:p>
    <w:p/>
    <w:p>
      <w:r>
        <w:rPr>
          <w:i/>
          <w:iCs/>
        </w:rPr>
        <w:t xml:space="preserve">Fine sezione inglese / End of English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2026-08-16T11:10:35.442Z</dcterms:created>
  <dcterms:modified xsi:type="dcterms:W3CDTF">2026-08-16T11:10:35.442Z</dcterms:modified>
</cp:coreProperties>
</file>

<file path=docProps/custom.xml><?xml version="1.0" encoding="utf-8"?>
<Properties xmlns="http://schemas.openxmlformats.org/officeDocument/2006/custom-properties" xmlns:vt="http://schemas.openxmlformats.org/officeDocument/2006/docPropsVTypes"/>
</file>