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DOCUMENTAZIONE</w:t>
      </w:r>
    </w:p>
    <w:p>
      <w:pPr>
        <w:jc w:val="center"/>
      </w:pPr>
      <w:r>
        <w:rPr>
          <w:i/>
          <w:iCs/>
        </w:rPr>
        <w:t xml:space="preserve">Modulo di ricerca in letteratura (ADS/SIMBAD/LLM) per la pipeline redshift 5FGL</w:t>
      </w:r>
    </w:p>
    <w:p>
      <w:pPr>
        <w:jc w:val="center"/>
      </w:pPr>
      <w:r>
        <w:rPr>
          <w:i/>
          <w:iCs/>
        </w:rPr>
        <w:t xml:space="preserve">Versione 1.3 — Agosto 2026</w:t>
      </w:r>
    </w:p>
    <w:p/>
    <w:p>
      <w:pPr>
        <w:pStyle w:val="Heading1"/>
      </w:pPr>
      <w:r>
        <w:t xml:space="preserve">1. Obiettivo</w:t>
      </w:r>
    </w:p>
    <w:p>
      <w:r>
        <w:t xml:space="preserve">Questo modulo estende la pipeline di ricerca redshift (redshift_search_unified.py / redshift_search_spectra.py) aggiungendo un livello di ricerca in letteratura scientifica, sulla falsariga di quanto proposto da L. Foschini per il catalogo FL16Y: invece di limitarsi ai valori riportati nei cataloghi automatici (NED, SIMBAD, VizieR), il modulo recupera i paper scientifici associati a ciascuna sorgente e ne estrae con un LLM il redshift, la classificazione spettrale e l'angolo di vista, quando esplicitamente riportati nel testo.</w:t>
      </w:r>
    </w:p>
    <w:p>
      <w:r>
        <w:t xml:space="preserve">Il modulo interviene solo sulle sorgenti che non hanno gia' un redshift affidabile (Tier 1/2) dalla pipeline precedente, per contenere i costi delle chiamate API.</w:t>
      </w:r>
    </w:p>
    <w:p/>
    <w:p>
      <w:pPr>
        <w:pStyle w:val="Heading1"/>
      </w:pPr>
      <w:r>
        <w:t xml:space="preserve">2. Architettura e moduli</w:t>
      </w:r>
    </w:p>
    <w:p>
      <w:r>
        <w:t xml:space="preserve">Il modulo e' organizzato in 7 file Python, ciascuno con una responsabilita' specifica:</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E2F3" w:val="clear"/>
          </w:tcPr>
          <w:p>
            <w:r>
              <w:rPr>
                <w:b/>
                <w:bCs/>
              </w:rPr>
              <w:t xml:space="preserve">File</w:t>
            </w:r>
          </w:p>
        </w:tc>
        <w:tc>
          <w:tcPr>
            <w:tcW w:type="dxa" w:w="7000"/>
            <w:shd w:fill="D9E2F3" w:val="clear"/>
          </w:tcPr>
          <w:p>
            <w:r>
              <w:rPr>
                <w:b/>
                <w:bCs/>
              </w:rPr>
              <w:t xml:space="preserve">Responsabilita'</w:t>
            </w:r>
          </w:p>
        </w:tc>
      </w:tr>
      <w:tr>
        <w:tc>
          <w:tcPr>
            <w:tcW w:type="dxa" w:w="2000"/>
          </w:tcPr>
          <w:p>
            <w:r>
              <w:rPr>
                <w:b w:val="false"/>
                <w:bCs w:val="false"/>
              </w:rPr>
              <w:t xml:space="preserve">ads_client.py</w:t>
            </w:r>
          </w:p>
        </w:tc>
        <w:tc>
          <w:tcPr>
            <w:tcW w:type="dxa" w:w="7000"/>
          </w:tcPr>
          <w:p>
            <w:r>
              <w:rPr>
                <w:b w:val="false"/>
                <w:bCs w:val="false"/>
              </w:rPr>
              <w:t xml:space="preserve">Interrogazione di NASA ADS. Fonte primaria: bibliografia SIMBAD via TAP/ADQL (stessa fonte curata usata dal modificatore object: del sito ADS, ma raggiungibile direttamente). Fallback: ricerca a frase su titolo/abstract/keyword quando l'oggetto non ha bibliografia SIMBAD. I paper a campione statistico (es. "sample of 622 blazars") vengono deprioritizzati nell'ordinamento (non esclusi) rispetto a studi mirati sulla singola sorgente; is_bulk_sample_paper() espone questo segnale anche all'aggregazione (vedi aggregate.py).</w:t>
            </w:r>
          </w:p>
        </w:tc>
      </w:tr>
      <w:tr>
        <w:tc>
          <w:tcPr>
            <w:tcW w:type="dxa" w:w="2000"/>
          </w:tcPr>
          <w:p>
            <w:r>
              <w:rPr>
                <w:b w:val="false"/>
                <w:bCs w:val="false"/>
              </w:rPr>
              <w:t xml:space="preserve">fulltext_fetch.py</w:t>
            </w:r>
          </w:p>
        </w:tc>
        <w:tc>
          <w:tcPr>
            <w:tcW w:type="dxa" w:w="7000"/>
          </w:tcPr>
          <w:p>
            <w:r>
              <w:rPr>
                <w:b w:val="false"/>
                <w:bCs w:val="false"/>
              </w:rPr>
              <w:t xml:space="preserve">Recupero del testo dei paper: full text HTML via ar5iv (arXiv) quando disponibile, altrimenti abstract dai metadati ADS. Estrazione mirata dalle tabelle HTML e da vizier_table_lookup.py. Contiene anche i controlli anti-contaminazione tra sorgenti (vedi sezione 4).</w:t>
            </w:r>
          </w:p>
        </w:tc>
      </w:tr>
      <w:tr>
        <w:tc>
          <w:tcPr>
            <w:tcW w:type="dxa" w:w="2000"/>
          </w:tcPr>
          <w:p>
            <w:r>
              <w:rPr>
                <w:b w:val="false"/>
                <w:bCs w:val="false"/>
              </w:rPr>
              <w:t xml:space="preserve">vizier_table_lookup.py</w:t>
            </w:r>
          </w:p>
        </w:tc>
        <w:tc>
          <w:tcPr>
            <w:tcW w:type="dxa" w:w="7000"/>
          </w:tcPr>
          <w:p>
            <w:r>
              <w:rPr>
                <w:b w:val="false"/>
                <w:bCs w:val="false"/>
              </w:rPr>
              <w:t xml:space="preserve">Deriva l'identificativo VizieR J/&lt;rivista&gt;/&lt;volume&gt;/&lt;pagina&gt; direttamente dal bibcode ADS del paper, e cerca la riga della sorgente nella tabella dati integrale li' depositata. Utile soprattutto per i paper a grande campione il cui preprint arXiv mostra solo un estratto di poche righe di esempio, rimandando alla tabella completa "in forma machine-readable" pubblicata a parte dalla rivista.</w:t>
            </w:r>
          </w:p>
        </w:tc>
      </w:tr>
      <w:tr>
        <w:tc>
          <w:tcPr>
            <w:tcW w:type="dxa" w:w="2000"/>
          </w:tcPr>
          <w:p>
            <w:r>
              <w:rPr>
                <w:b w:val="false"/>
                <w:bCs w:val="false"/>
              </w:rPr>
              <w:t xml:space="preserve">llm_extract.py</w:t>
            </w:r>
          </w:p>
        </w:tc>
        <w:tc>
          <w:tcPr>
            <w:tcW w:type="dxa" w:w="7000"/>
          </w:tcPr>
          <w:p>
            <w:r>
              <w:rPr>
                <w:b w:val="false"/>
                <w:bCs w:val="false"/>
              </w:rPr>
              <w:t xml:space="preserve">Estrazione strutturata via LLM (Anthropic o OpenAI, intercambiabili). Schema JSON forzato via tool-use, verifica automatica della citazione ("quote") contro il testo sorgente con soglia di lunghezza minima configurabile, tracciamento dei token/costo/errori.</w:t>
            </w:r>
          </w:p>
        </w:tc>
      </w:tr>
      <w:tr>
        <w:tc>
          <w:tcPr>
            <w:tcW w:type="dxa" w:w="2000"/>
          </w:tcPr>
          <w:p>
            <w:r>
              <w:rPr>
                <w:b w:val="false"/>
                <w:bCs w:val="false"/>
              </w:rPr>
              <w:t xml:space="preserve">aggregate.py</w:t>
            </w:r>
          </w:p>
        </w:tc>
        <w:tc>
          <w:tcPr>
            <w:tcW w:type="dxa" w:w="7000"/>
          </w:tcPr>
          <w:p>
            <w:r>
              <w:rPr>
                <w:b w:val="false"/>
                <w:bCs w:val="false"/>
              </w:rPr>
              <w:t xml:space="preserve">Aggregazione deterministica (nessun LLM) delle estrazioni multiple per sorgente. La classificazione usa una regola A DUE LIVELLI (non un semplice conteggio): se esiste almeno un'estrazione "dedicata" si decide solo tra quelle, ignorando le menzioni ereditate da catalogo anche se numericamente maggioritarie (vedi sezione 5).</w:t>
            </w:r>
          </w:p>
        </w:tc>
      </w:tr>
      <w:tr>
        <w:tc>
          <w:tcPr>
            <w:tcW w:type="dxa" w:w="2000"/>
          </w:tcPr>
          <w:p>
            <w:r>
              <w:rPr>
                <w:b w:val="false"/>
                <w:bCs w:val="false"/>
              </w:rPr>
              <w:t xml:space="preserve">pipeline.py</w:t>
            </w:r>
          </w:p>
        </w:tc>
        <w:tc>
          <w:tcPr>
            <w:tcW w:type="dxa" w:w="7000"/>
          </w:tcPr>
          <w:p>
            <w:r>
              <w:rPr>
                <w:b w:val="false"/>
                <w:bCs w:val="false"/>
              </w:rPr>
              <w:t xml:space="preserve">Orchestrazione end-to-end: selezione delle sorgenti da processare, ciclo su tutte le sorgenti con checkpoint/resume, salvataggio degli output, stima del costo e conteggio degli errori LLM per sorgente. Applica i controlli anti-contaminazione dopo ogni estrazione, prima di accettarla.</w:t>
            </w:r>
          </w:p>
        </w:tc>
      </w:tr>
      <w:tr>
        <w:tc>
          <w:tcPr>
            <w:tcW w:type="dxa" w:w="2000"/>
          </w:tcPr>
          <w:p>
            <w:r>
              <w:rPr>
                <w:b w:val="false"/>
                <w:bCs w:val="false"/>
              </w:rPr>
              <w:t xml:space="preserve">diagnose.py</w:t>
            </w:r>
          </w:p>
        </w:tc>
        <w:tc>
          <w:tcPr>
            <w:tcW w:type="dxa" w:w="7000"/>
          </w:tcPr>
          <w:p>
            <w:r>
              <w:rPr>
                <w:b w:val="false"/>
                <w:bCs w:val="false"/>
              </w:rPr>
              <w:t xml:space="preserve">Script diagnostico per isolare, su una singola sorgente, in quale fase della catena (ricerca ADS, filtro di rilevanza, fetch del testo/tabelle, estrazione LLM) si perde eventualmente il risultato.</w:t>
            </w:r>
          </w:p>
        </w:tc>
      </w:tr>
    </w:tbl>
    <w:p/>
    <w:p>
      <w:pPr>
        <w:pStyle w:val="Heading1"/>
      </w:pPr>
      <w:r>
        <w:t xml:space="preserve">3. Flusso dati per sorgente</w:t>
      </w:r>
    </w:p>
    <w:p>
      <w:pPr>
        <w:pStyle w:val="ListParagraph"/>
        <w:numPr>
          <w:ilvl w:val="0"/>
          <w:numId w:val="1"/>
        </w:numPr>
      </w:pPr>
      <w:r>
        <w:t xml:space="preserve">1. Risoluzione bibliografica: interrogazione di SIMBAD (TAP/ADQL) per ottenere i bibcode dei paper collegati alla sorgente (fonte curata, non ricerca testuale). Si considerano i 100 bibcode piu' recenti (non 40: un taglio piu' basso puo' escludere il paper di classificazione dedicato piu' vecchio ma piu' autorevole per sorgenti molto studiate).</w:t>
      </w:r>
    </w:p>
    <w:p>
      <w:pPr>
        <w:pStyle w:val="ListParagraph"/>
        <w:numPr>
          <w:ilvl w:val="0"/>
          <w:numId w:val="1"/>
        </w:numPr>
      </w:pPr>
      <w:r>
        <w:t xml:space="preserve">2. Recupero metadati: i bibcode vengono usati per interrogare ADS (campo bibcode:, in batch) e ottenere titolo, abstract, anno, doctype, identificativo arXiv.</w:t>
      </w:r>
    </w:p>
    <w:p>
      <w:pPr>
        <w:pStyle w:val="ListParagraph"/>
        <w:numPr>
          <w:ilvl w:val="0"/>
          <w:numId w:val="1"/>
        </w:numPr>
      </w:pPr>
      <w:r>
        <w:t xml:space="preserve">3. Filtro di rilevanza: i paper vengono ordinati per un punteggio euristico basato su parole chiave (redshift, spectrum, classification, blazar, Seyfert, NLS1, CSS, changing-look, VLBI, viewing angle, jet, ecc.) e limitati a un numero massimo per sorgente.</w:t>
      </w:r>
    </w:p>
    <w:p>
      <w:pPr>
        <w:pStyle w:val="ListParagraph"/>
        <w:numPr>
          <w:ilvl w:val="0"/>
          <w:numId w:val="1"/>
        </w:numPr>
      </w:pPr>
      <w:r>
        <w:t xml:space="preserve">4. Recupero testo e tabelle: full text HTML via ar5iv se disponibile un arXiv ID, altrimenti solo l'abstract. In parallelo, si cerca sempre anche la tabella dati integrale del paper su VizieR (vizier_table_lookup.py), utile quando il preprint arXiv mostra solo un estratto della tabella.</w:t>
      </w:r>
    </w:p>
    <w:p>
      <w:pPr>
        <w:pStyle w:val="ListParagraph"/>
        <w:numPr>
          <w:ilvl w:val="0"/>
          <w:numId w:val="1"/>
        </w:numPr>
      </w:pPr>
      <w:r>
        <w:t xml:space="preserve">5. Estrazione LLM: per ogni blocco tabella e chunk di prosa, un LLM estrae redshift, tipo di redshift, classificazione spettrale, angolo di vista e metodo, con una citazione verbatim a supporto.</w:t>
      </w:r>
    </w:p>
    <w:p>
      <w:pPr>
        <w:pStyle w:val="ListParagraph"/>
        <w:numPr>
          <w:ilvl w:val="0"/>
          <w:numId w:val="1"/>
        </w:numPr>
      </w:pPr>
      <w:r>
        <w:t xml:space="preserve">6. Verifica anti-allucinazione e anti-contaminazione: la citazione viene verificata contro il testo sorgente (con soglia di lunghezza minima) e, per i chunk di prosa, deve nominare positivamente la sorgente richiesta (vedi sezione 4).</w:t>
      </w:r>
    </w:p>
    <w:p>
      <w:pPr>
        <w:pStyle w:val="ListParagraph"/>
        <w:numPr>
          <w:ilvl w:val="0"/>
          <w:numId w:val="1"/>
        </w:numPr>
      </w:pPr>
      <w:r>
        <w:t xml:space="preserve">7. Aggregazione deterministica a due livelli: i risultati verificati vengono combinati dando priorita' alle analisi dedicate (vedi sezione 5).</w:t>
      </w:r>
    </w:p>
    <w:p/>
    <w:p>
      <w:pPr>
        <w:pStyle w:val="Heading1"/>
      </w:pPr>
      <w:r>
        <w:t xml:space="preserve">4. Verifica anti-allucinazione e anti-contaminazione</w:t>
      </w:r>
    </w:p>
    <w:p>
      <w:r>
        <w:t xml:space="preserve">Il campo quote e' obbligatorio per validare l'estrazione: se il testo citato non e' rintracciabile nel chunk originale, l'estrazione viene scartata. Durante lo sviluppo sono emersi pero' due modi in cui una citazione puo' essere VERA (superare quindi la verifica di base) ma comunque inaffidabile:</w:t>
      </w:r>
    </w:p>
    <w:p>
      <w:pPr>
        <w:pStyle w:val="ListParagraph"/>
        <w:numPr>
          <w:ilvl w:val="0"/>
          <w:numId w:val="1"/>
        </w:numPr>
      </w:pPr>
      <w:r>
        <w:t xml:space="preserve">Citazione troppo generica: una citazione come "bcu" (3 caratteri) compare quasi ovunque in un paper di classificazione blazar, quindi il match non dimostra che si riferisca alla sorgente giusta. Per questo esiste una soglia di lunghezza minima configurabile (min_quote_length): 15 caratteri per i chunk di prosa non filtrati, 1 carattere per i blocchi tabella (gia' pre-filtrati sulla sorgente giusta per costruzione - un codice di classe di una sola lettera, es. "B", e' li' comunque affidabile).</w:t>
      </w:r>
    </w:p>
    <w:p>
      <w:pPr>
        <w:pStyle w:val="ListParagraph"/>
        <w:numPr>
          <w:ilvl w:val="0"/>
          <w:numId w:val="1"/>
        </w:numPr>
      </w:pPr>
      <w:r>
        <w:t xml:space="preserve">Citazione vera ma su un'altra sorgente: un chunk di prosa non filtrato puo' contenere frasi tecniche (angolo di vista, redshift, fattore Doppler...) senza mai nominare esplicitamente a quale sorgente si riferiscono, specialmente in paper che confrontano piu' oggetti. fulltext_fetch.quote_establishes_source_identity() richiede quindi che la citazione nomini POSITIVAMENTE la sorgente richiesta (per nome/alias o per il prefisso RA delle sue coordinate) - non basta che non nomini una sorgente sbagliata. Applicato solo ai chunk di prosa, non ai blocchi tabella (gia' garantiti pertinenti per costruzione).</w:t>
      </w:r>
    </w:p>
    <w:p/>
    <w:p>
      <w:r>
        <w:t xml:space="preserve">Caso osservato empiricamente: per la sorgente S4 0954+65, un paper (Becerra Gonzalez et al. 2021) discute VLBI e cinematica del getto senza mai ripetere il nome della sorgente nella frase con i valori numerici; senza questo controllo, un redshift di 0.051 - in realta' relativo a un'altra sorgente discussa nello stesso paper - sarebbe stato attribuito erroneamente a S4 0954+65 al posto del valore corretto (~0.367-0.37, confermato da 14 altre estrazioni concordi).</w:t>
      </w:r>
    </w:p>
    <w:p/>
    <w:p>
      <w:pPr>
        <w:pStyle w:val="Heading1"/>
      </w:pPr>
      <w:r>
        <w:t xml:space="preserve">5. Aggregazione deterministica</w:t>
      </w:r>
    </w:p>
    <w:p>
      <w:r>
        <w:t xml:space="preserve">A differenza dell'estrazione (che usa un LLM), l'aggregazione dei risultati multipli per sorgente segue regole fisse e documentate, cosi' ogni valore finale e' tracciabile alla regola che lo ha prodotto e ai paper di origine:</w:t>
      </w:r>
    </w:p>
    <w:p>
      <w:pPr>
        <w:pStyle w:val="ListParagraph"/>
        <w:numPr>
          <w:ilvl w:val="0"/>
          <w:numId w:val="1"/>
        </w:numPr>
      </w:pPr>
      <w:r>
        <w:t xml:space="preserve">Redshift: tra le estrazioni con citazione verificata, si preferisce il tipo spettroscopico; a parita' di tipo, si prende il paper piu' recente. Se due valori spettroscopici differiscono di oltre 0.01 viene segnalato un conflitto (nessuna media automatica).</w:t>
      </w:r>
    </w:p>
    <w:p>
      <w:pPr>
        <w:pStyle w:val="ListParagraph"/>
        <w:numPr>
          <w:ilvl w:val="0"/>
          <w:numId w:val="1"/>
        </w:numPr>
      </w:pPr>
      <w:r>
        <w:t xml:space="preserve">Classificazione - REGOLA A DUE LIVELLI: un'estrazione e' "dedicata" se NON viene da una riga di tabella E NON viene da un paper esplicitamente a campione statistico (cioe' un'analisi in prosa su un paper mirato). Se esiste ALMENO UN'estrazione dedicata, la classificazione finale si decide SOLO tra quelle (maggioranza, tie-break sul paper piu' recente), ignorando le menzioni ereditate anche se numericamente maggioritarie. Solo se non esiste nessuna estrazione dedicata si ripiega sul voto tra tutte le estrazioni disponibili.</w:t>
      </w:r>
    </w:p>
    <w:p>
      <w:pPr>
        <w:pStyle w:val="ListParagraph"/>
        <w:numPr>
          <w:ilvl w:val="0"/>
          <w:numId w:val="1"/>
        </w:numPr>
      </w:pPr>
      <w:r>
        <w:t xml:space="preserve">Angolo di vista: le stime verificate vengono riportate tutte, con il rispettivo metodo e paper di origine, senza fondere valori ottenuti con metodi diversi.</w:t>
      </w:r>
    </w:p>
    <w:p/>
    <w:p>
      <w:r>
        <w:t xml:space="preserve">Motivazione della regola a due livelli (caso osservato empiricamente: TXS 1206+549). Un semplice conteggio di occorrenze non basta: 13 paper citavano "FSRQ" (l'etichetta ereditata dal catalogo 4LAC, ripetuta acriticamente in tabelle e studi a campione), contro un solo paper (Rakshit &amp; Stalin 2021) con spettroscopia dedicata che identificava correttamente la sorgente come NLS1. Un voto a maggioranza semplice - o anche un voto pesato con penalita' moderate - sceglie ancora FSRQ, perche' le 13 menzioni ereditate non sono evidenza indipendente: sono quasi certamente tutte la stessa etichetta ricopiata dalla stessa fonte originale, non 13 verifiche separate. La regola a due livelli risolve correttamente il caso dando priorita' assoluta all'unica analisi dedicata quando esiste.</w:t>
      </w:r>
    </w:p>
    <w:p/>
    <w:p>
      <w:pPr>
        <w:pStyle w:val="Heading1"/>
      </w:pPr>
      <w:r>
        <w:t xml:space="preserve">6. Schema di estrazione</w:t>
      </w:r>
    </w:p>
    <w:p>
      <w:r>
        <w:t xml:space="preserve">Per ogni chunk di testo, il modello restituisce un oggetto JSON con i seguenti campi (tutti nullable):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c>
          <w:tcPr>
            <w:tcW w:type="dxa" w:w="2200"/>
            <w:shd w:fill="D9E2F3" w:val="clear"/>
          </w:tcPr>
          <w:p>
            <w:r>
              <w:rPr>
                <w:b/>
                <w:bCs/>
              </w:rPr>
              <w:t xml:space="preserve">Campo</w:t>
            </w:r>
          </w:p>
        </w:tc>
        <w:tc>
          <w:tcPr>
            <w:tcW w:type="dxa" w:w="1600"/>
            <w:shd w:fill="D9E2F3" w:val="clear"/>
          </w:tcPr>
          <w:p>
            <w:r>
              <w:rPr>
                <w:b/>
                <w:bCs/>
              </w:rPr>
              <w:t xml:space="preserve">Tipo</w:t>
            </w:r>
          </w:p>
        </w:tc>
        <w:tc>
          <w:tcPr>
            <w:tcW w:type="dxa" w:w="5200"/>
            <w:shd w:fill="D9E2F3" w:val="clear"/>
          </w:tcPr>
          <w:p>
            <w:r>
              <w:rPr>
                <w:b/>
                <w:bCs/>
              </w:rPr>
              <w:t xml:space="preserve">Descrizione</w:t>
            </w:r>
          </w:p>
        </w:tc>
      </w:tr>
      <w:tr>
        <w:tc>
          <w:tcPr>
            <w:tcW w:type="dxa" w:w="2200"/>
          </w:tcPr>
          <w:p>
            <w:r>
              <w:rPr>
                <w:b w:val="false"/>
                <w:bCs w:val="false"/>
              </w:rPr>
              <w:t xml:space="preserve">redshift</w:t>
            </w:r>
          </w:p>
        </w:tc>
        <w:tc>
          <w:tcPr>
            <w:tcW w:type="dxa" w:w="1600"/>
          </w:tcPr>
          <w:p>
            <w:r>
              <w:rPr>
                <w:b w:val="false"/>
                <w:bCs w:val="false"/>
              </w:rPr>
              <w:t xml:space="preserve">numero</w:t>
            </w:r>
          </w:p>
        </w:tc>
        <w:tc>
          <w:tcPr>
            <w:tcW w:type="dxa" w:w="5200"/>
          </w:tcPr>
          <w:p>
            <w:r>
              <w:rPr>
                <w:b w:val="false"/>
                <w:bCs w:val="false"/>
              </w:rPr>
              <w:t xml:space="preserve">Valore del redshift, se esplicitamente riportato nel testo.</w:t>
            </w:r>
          </w:p>
        </w:tc>
      </w:tr>
      <w:tr>
        <w:tc>
          <w:tcPr>
            <w:tcW w:type="dxa" w:w="2200"/>
          </w:tcPr>
          <w:p>
            <w:r>
              <w:rPr>
                <w:b w:val="false"/>
                <w:bCs w:val="false"/>
              </w:rPr>
              <w:t xml:space="preserve">redshift_type</w:t>
            </w:r>
          </w:p>
        </w:tc>
        <w:tc>
          <w:tcPr>
            <w:tcW w:type="dxa" w:w="1600"/>
          </w:tcPr>
          <w:p>
            <w:r>
              <w:rPr>
                <w:b w:val="false"/>
                <w:bCs w:val="false"/>
              </w:rPr>
              <w:t xml:space="preserve">enum</w:t>
            </w:r>
          </w:p>
        </w:tc>
        <w:tc>
          <w:tcPr>
            <w:tcW w:type="dxa" w:w="5200"/>
          </w:tcPr>
          <w:p>
            <w:r>
              <w:rPr>
                <w:b w:val="false"/>
                <w:bCs w:val="false"/>
              </w:rPr>
              <w:t xml:space="preserve">spectroscopic / photometric / tentative.</w:t>
            </w:r>
          </w:p>
        </w:tc>
      </w:tr>
      <w:tr>
        <w:tc>
          <w:tcPr>
            <w:tcW w:type="dxa" w:w="2200"/>
          </w:tcPr>
          <w:p>
            <w:r>
              <w:rPr>
                <w:b w:val="false"/>
                <w:bCs w:val="false"/>
              </w:rPr>
              <w:t xml:space="preserve">spectral_classification</w:t>
            </w:r>
          </w:p>
        </w:tc>
        <w:tc>
          <w:tcPr>
            <w:tcW w:type="dxa" w:w="1600"/>
          </w:tcPr>
          <w:p>
            <w:r>
              <w:rPr>
                <w:b w:val="false"/>
                <w:bCs w:val="false"/>
              </w:rPr>
              <w:t xml:space="preserve">stringa</w:t>
            </w:r>
          </w:p>
        </w:tc>
        <w:tc>
          <w:tcPr>
            <w:tcW w:type="dxa" w:w="5200"/>
          </w:tcPr>
          <w:p>
            <w:r>
              <w:rPr>
                <w:b w:val="false"/>
                <w:bCs w:val="false"/>
              </w:rPr>
              <w:t xml:space="preserve">Classificazione riportata nel testo, con la dicitura esatta usata dagli autori.</w:t>
            </w:r>
          </w:p>
        </w:tc>
      </w:tr>
      <w:tr>
        <w:tc>
          <w:tcPr>
            <w:tcW w:type="dxa" w:w="2200"/>
          </w:tcPr>
          <w:p>
            <w:r>
              <w:rPr>
                <w:b w:val="false"/>
                <w:bCs w:val="false"/>
              </w:rPr>
              <w:t xml:space="preserve">viewing_angle_deg</w:t>
            </w:r>
          </w:p>
        </w:tc>
        <w:tc>
          <w:tcPr>
            <w:tcW w:type="dxa" w:w="1600"/>
          </w:tcPr>
          <w:p>
            <w:r>
              <w:rPr>
                <w:b w:val="false"/>
                <w:bCs w:val="false"/>
              </w:rPr>
              <w:t xml:space="preserve">numero</w:t>
            </w:r>
          </w:p>
        </w:tc>
        <w:tc>
          <w:tcPr>
            <w:tcW w:type="dxa" w:w="5200"/>
          </w:tcPr>
          <w:p>
            <w:r>
              <w:rPr>
                <w:b w:val="false"/>
                <w:bCs w:val="false"/>
              </w:rPr>
              <w:t xml:space="preserve">Angolo di vista in gradi, se riportato.</w:t>
            </w:r>
          </w:p>
        </w:tc>
      </w:tr>
      <w:tr>
        <w:tc>
          <w:tcPr>
            <w:tcW w:type="dxa" w:w="2200"/>
          </w:tcPr>
          <w:p>
            <w:r>
              <w:rPr>
                <w:b w:val="false"/>
                <w:bCs w:val="false"/>
              </w:rPr>
              <w:t xml:space="preserve">viewing_angle_method</w:t>
            </w:r>
          </w:p>
        </w:tc>
        <w:tc>
          <w:tcPr>
            <w:tcW w:type="dxa" w:w="1600"/>
          </w:tcPr>
          <w:p>
            <w:r>
              <w:rPr>
                <w:b w:val="false"/>
                <w:bCs w:val="false"/>
              </w:rPr>
              <w:t xml:space="preserve">enum</w:t>
            </w:r>
          </w:p>
        </w:tc>
        <w:tc>
          <w:tcPr>
            <w:tcW w:type="dxa" w:w="5200"/>
          </w:tcPr>
          <w:p>
            <w:r>
              <w:rPr>
                <w:b w:val="false"/>
                <w:bCs w:val="false"/>
              </w:rPr>
              <w:t xml:space="preserve">VLBI superluminal motion / SED modeling / other.</w:t>
            </w:r>
          </w:p>
        </w:tc>
      </w:tr>
      <w:tr>
        <w:tc>
          <w:tcPr>
            <w:tcW w:type="dxa" w:w="2200"/>
          </w:tcPr>
          <w:p>
            <w:r>
              <w:rPr>
                <w:b w:val="false"/>
                <w:bCs w:val="false"/>
              </w:rPr>
              <w:t xml:space="preserve">quote</w:t>
            </w:r>
          </w:p>
        </w:tc>
        <w:tc>
          <w:tcPr>
            <w:tcW w:type="dxa" w:w="1600"/>
          </w:tcPr>
          <w:p>
            <w:r>
              <w:rPr>
                <w:b w:val="false"/>
                <w:bCs w:val="false"/>
              </w:rPr>
              <w:t xml:space="preserve">stringa</w:t>
            </w:r>
          </w:p>
        </w:tc>
        <w:tc>
          <w:tcPr>
            <w:tcW w:type="dxa" w:w="5200"/>
          </w:tcPr>
          <w:p>
            <w:r>
              <w:rPr>
                <w:b w:val="false"/>
                <w:bCs w:val="false"/>
              </w:rPr>
              <w:t xml:space="preserve">Frase copiata verbatim dal testo a supporto dei valori estratti.</w:t>
            </w:r>
          </w:p>
        </w:tc>
      </w:tr>
      <w:tr>
        <w:tc>
          <w:tcPr>
            <w:tcW w:type="dxa" w:w="2200"/>
          </w:tcPr>
          <w:p>
            <w:r>
              <w:rPr>
                <w:b w:val="false"/>
                <w:bCs w:val="false"/>
              </w:rPr>
              <w:t xml:space="preserve">confidence</w:t>
            </w:r>
          </w:p>
        </w:tc>
        <w:tc>
          <w:tcPr>
            <w:tcW w:type="dxa" w:w="1600"/>
          </w:tcPr>
          <w:p>
            <w:r>
              <w:rPr>
                <w:b w:val="false"/>
                <w:bCs w:val="false"/>
              </w:rPr>
              <w:t xml:space="preserve">enum</w:t>
            </w:r>
          </w:p>
        </w:tc>
        <w:tc>
          <w:tcPr>
            <w:tcW w:type="dxa" w:w="5200"/>
          </w:tcPr>
          <w:p>
            <w:r>
              <w:rPr>
                <w:b w:val="false"/>
                <w:bCs w:val="false"/>
              </w:rPr>
              <w:t xml:space="preserve">explicit / inferred_by_paper_authors.</w:t>
            </w:r>
          </w:p>
        </w:tc>
      </w:tr>
    </w:tbl>
    <w:p/>
    <w:p>
      <w:r>
        <w:t xml:space="preserve">Il modello viene istruito a NON dedurre o completare con conoscenza esterna: se un'informazione non e' esplicitamente presente nel testo, il campo corrispondente resta null.</w:t>
      </w:r>
    </w:p>
    <w:p/>
    <w:p>
      <w:pPr>
        <w:pStyle w:val="Heading1"/>
      </w:pPr>
      <w:r>
        <w:t xml:space="preserve">7. Tracciamento dei costi</w:t>
      </w:r>
    </w:p>
    <w:p>
      <w:r>
        <w:t xml:space="preserve">Ogni chiamata al modello restituisce i token di input/output effettivamente usati (non stimati). La pipeline li accumula e stampa una stima del costo in dollari ad ogni checkpoint e a fine run, usando il tariffario riportato in llm_extract.PRICING_PER_MTOK.</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tcPr>
          <w:p>
            <w:r>
              <w:rPr>
                <w:b/>
                <w:bCs/>
              </w:rPr>
              <w:t xml:space="preserve">Modello</w:t>
            </w:r>
          </w:p>
        </w:tc>
        <w:tc>
          <w:tcPr>
            <w:tcW w:type="dxa" w:w="2000"/>
            <w:shd w:fill="D9E2F3" w:val="clear"/>
          </w:tcPr>
          <w:p>
            <w:r>
              <w:rPr>
                <w:b/>
                <w:bCs/>
              </w:rPr>
              <w:t xml:space="preserve">Provider</w:t>
            </w:r>
          </w:p>
        </w:tc>
        <w:tc>
          <w:tcPr>
            <w:tcW w:type="dxa" w:w="2000"/>
            <w:shd w:fill="D9E2F3" w:val="clear"/>
          </w:tcPr>
          <w:p>
            <w:r>
              <w:rPr>
                <w:b/>
                <w:bCs/>
              </w:rPr>
              <w:t xml:space="preserve">Input ($/Mtok)</w:t>
            </w:r>
          </w:p>
        </w:tc>
        <w:tc>
          <w:tcPr>
            <w:tcW w:type="dxa" w:w="2000"/>
            <w:shd w:fill="D9E2F3" w:val="clear"/>
          </w:tcPr>
          <w:p>
            <w:r>
              <w:rPr>
                <w:b/>
                <w:bCs/>
              </w:rPr>
              <w:t xml:space="preserve">Output ($/Mtok)</w:t>
            </w:r>
          </w:p>
        </w:tc>
      </w:tr>
      <w:tr>
        <w:tc>
          <w:tcPr>
            <w:tcW w:type="dxa" w:w="3000"/>
          </w:tcPr>
          <w:p>
            <w:r>
              <w:rPr>
                <w:b w:val="false"/>
                <w:bCs w:val="false"/>
              </w:rPr>
              <w:t xml:space="preserve">claude-sonnet-5</w:t>
            </w:r>
          </w:p>
        </w:tc>
        <w:tc>
          <w:tcPr>
            <w:tcW w:type="dxa" w:w="2000"/>
          </w:tcPr>
          <w:p>
            <w:r>
              <w:rPr>
                <w:b w:val="false"/>
                <w:bCs w:val="false"/>
              </w:rPr>
              <w:t xml:space="preserve">Anthropic</w:t>
            </w:r>
          </w:p>
        </w:tc>
        <w:tc>
          <w:tcPr>
            <w:tcW w:type="dxa" w:w="2000"/>
          </w:tcPr>
          <w:p>
            <w:r>
              <w:rPr>
                <w:b w:val="false"/>
                <w:bCs w:val="false"/>
              </w:rPr>
              <w:t xml:space="preserve">2.00*</w:t>
            </w:r>
          </w:p>
        </w:tc>
        <w:tc>
          <w:tcPr>
            <w:tcW w:type="dxa" w:w="2000"/>
          </w:tcPr>
          <w:p>
            <w:r>
              <w:rPr>
                <w:b w:val="false"/>
                <w:bCs w:val="false"/>
              </w:rPr>
              <w:t xml:space="preserve">10.00*</w:t>
            </w:r>
          </w:p>
        </w:tc>
      </w:tr>
      <w:tr>
        <w:tc>
          <w:tcPr>
            <w:tcW w:type="dxa" w:w="3000"/>
          </w:tcPr>
          <w:p>
            <w:r>
              <w:rPr>
                <w:b w:val="false"/>
                <w:bCs w:val="false"/>
              </w:rPr>
              <w:t xml:space="preserve">claude-haiku-4-5</w:t>
            </w:r>
          </w:p>
        </w:tc>
        <w:tc>
          <w:tcPr>
            <w:tcW w:type="dxa" w:w="2000"/>
          </w:tcPr>
          <w:p>
            <w:r>
              <w:rPr>
                <w:b w:val="false"/>
                <w:bCs w:val="false"/>
              </w:rPr>
              <w:t xml:space="preserve">Anthropic</w:t>
            </w:r>
          </w:p>
        </w:tc>
        <w:tc>
          <w:tcPr>
            <w:tcW w:type="dxa" w:w="2000"/>
          </w:tcPr>
          <w:p>
            <w:r>
              <w:rPr>
                <w:b w:val="false"/>
                <w:bCs w:val="false"/>
              </w:rPr>
              <w:t xml:space="preserve">1.00</w:t>
            </w:r>
          </w:p>
        </w:tc>
        <w:tc>
          <w:tcPr>
            <w:tcW w:type="dxa" w:w="2000"/>
          </w:tcPr>
          <w:p>
            <w:r>
              <w:rPr>
                <w:b w:val="false"/>
                <w:bCs w:val="false"/>
              </w:rPr>
              <w:t xml:space="preserve">5.00</w:t>
            </w:r>
          </w:p>
        </w:tc>
      </w:tr>
      <w:tr>
        <w:tc>
          <w:tcPr>
            <w:tcW w:type="dxa" w:w="3000"/>
          </w:tcPr>
          <w:p>
            <w:r>
              <w:rPr>
                <w:b w:val="false"/>
                <w:bCs w:val="false"/>
              </w:rPr>
              <w:t xml:space="preserve">claude-opus-4-8</w:t>
            </w:r>
          </w:p>
        </w:tc>
        <w:tc>
          <w:tcPr>
            <w:tcW w:type="dxa" w:w="2000"/>
          </w:tcPr>
          <w:p>
            <w:r>
              <w:rPr>
                <w:b w:val="false"/>
                <w:bCs w:val="false"/>
              </w:rPr>
              <w:t xml:space="preserve">Anthropic</w:t>
            </w:r>
          </w:p>
        </w:tc>
        <w:tc>
          <w:tcPr>
            <w:tcW w:type="dxa" w:w="2000"/>
          </w:tcPr>
          <w:p>
            <w:r>
              <w:rPr>
                <w:b w:val="false"/>
                <w:bCs w:val="false"/>
              </w:rPr>
              <w:t xml:space="preserve">5.00</w:t>
            </w:r>
          </w:p>
        </w:tc>
        <w:tc>
          <w:tcPr>
            <w:tcW w:type="dxa" w:w="2000"/>
          </w:tcPr>
          <w:p>
            <w:r>
              <w:rPr>
                <w:b w:val="false"/>
                <w:bCs w:val="false"/>
              </w:rPr>
              <w:t xml:space="preserve">25.00</w:t>
            </w:r>
          </w:p>
        </w:tc>
      </w:tr>
      <w:tr>
        <w:tc>
          <w:tcPr>
            <w:tcW w:type="dxa" w:w="3000"/>
          </w:tcPr>
          <w:p>
            <w:r>
              <w:rPr>
                <w:b w:val="false"/>
                <w:bCs w:val="false"/>
              </w:rPr>
              <w:t xml:space="preserve">gpt-4.1</w:t>
            </w:r>
          </w:p>
        </w:tc>
        <w:tc>
          <w:tcPr>
            <w:tcW w:type="dxa" w:w="2000"/>
          </w:tcPr>
          <w:p>
            <w:r>
              <w:rPr>
                <w:b w:val="false"/>
                <w:bCs w:val="false"/>
              </w:rPr>
              <w:t xml:space="preserve">OpenAI</w:t>
            </w:r>
          </w:p>
        </w:tc>
        <w:tc>
          <w:tcPr>
            <w:tcW w:type="dxa" w:w="2000"/>
          </w:tcPr>
          <w:p>
            <w:r>
              <w:rPr>
                <w:b w:val="false"/>
                <w:bCs w:val="false"/>
              </w:rPr>
              <w:t xml:space="preserve">2.00</w:t>
            </w:r>
          </w:p>
        </w:tc>
        <w:tc>
          <w:tcPr>
            <w:tcW w:type="dxa" w:w="2000"/>
          </w:tcPr>
          <w:p>
            <w:r>
              <w:rPr>
                <w:b w:val="false"/>
                <w:bCs w:val="false"/>
              </w:rPr>
              <w:t xml:space="preserve">8.00</w:t>
            </w:r>
          </w:p>
        </w:tc>
      </w:tr>
    </w:tbl>
    <w:p/>
    <w:p>
      <w:r>
        <w:t xml:space="preserve">* Tariffa introduttiva Claude Sonnet 5 valida fino al 31 agosto 2026; successivamente $3/$15 per milione di token. Verificare https://www.anthropic.com/pricing per aggiornamenti.</w:t>
      </w:r>
    </w:p>
    <w:p/>
    <w:p>
      <w:pPr>
        <w:pStyle w:val="Heading1"/>
      </w:pPr>
      <w:r>
        <w:t xml:space="preserve">8. File di output</w:t>
      </w:r>
    </w:p>
    <w:p>
      <w:r>
        <w:rPr>
          <w:b/>
          <w:bCs/>
        </w:rPr>
        <w:t xml:space="preserve">literature_results.csv: </w:t>
      </w:r>
      <w:r>
        <w:t xml:space="preserve">un record per sorgente, con le colonne source, n_papers_reviewed, n_extractions_verified, redshift_final, redshift_source_bibcode, redshift_conflict, classification_final, classification_agreement, classification_history, viewing_angle_estimates, n_llm_errors.</w:t>
      </w:r>
    </w:p>
    <w:p>
      <w:r>
        <w:rPr>
          <w:b/>
          <w:bCs/>
        </w:rPr>
        <w:t xml:space="preserve">literature_extraction_detailed.csv: </w:t>
      </w:r>
      <w:r>
        <w:t xml:space="preserve">formato lungo, un record per combinazione sorgente x paper x chunk, con tutti i campi dello schema di estrazione piu' bibcode, anno, provider/modello usato, esito della verifica della citazione, is_table_derived, is_bulk_sample_paper.</w:t>
      </w:r>
    </w:p>
    <w:p/>
    <w:p>
      <w:pPr>
        <w:pStyle w:val="Heading1"/>
      </w:pPr>
      <w:r>
        <w:t xml:space="preserve">9. Setup e dipendenze</w:t>
      </w:r>
    </w:p>
    <w:p>
      <w:r>
        <w:t xml:space="preserve">Dipendenze Python (vedi requirements.txt): pandas, astroquery, requests, beautifulsoup4, anthropic, openai.</w:t>
      </w:r>
    </w:p>
    <w:p>
      <w:r>
        <w:t xml:space="preserve">Variabili d'ambiente richieste:</w:t>
      </w:r>
    </w:p>
    <w:p>
      <w:pPr>
        <w:shd w:fill="F2F2F2" w:val="clear"/>
      </w:pPr>
      <w:r>
        <w:rPr>
          <w:rFonts w:ascii="Consolas" w:cs="Consolas" w:eastAsia="Consolas" w:hAnsi="Consolas"/>
          <w:sz w:val="20"/>
          <w:szCs w:val="20"/>
        </w:rPr>
        <w:t xml:space="preserve">export ADS_TOKEN=...          # https://ui.adsabs.harvard.edu/user/settings/token</w:t>
      </w:r>
    </w:p>
    <w:p>
      <w:pPr>
        <w:shd w:fill="F2F2F2" w:val="clear"/>
      </w:pPr>
      <w:r>
        <w:rPr>
          <w:rFonts w:ascii="Consolas" w:cs="Consolas" w:eastAsia="Consolas" w:hAnsi="Consolas"/>
          <w:sz w:val="20"/>
          <w:szCs w:val="20"/>
        </w:rPr>
        <w:t xml:space="preserve">export ANTHROPIC_API_KEY=...  # se si usa --provider anthropic</w:t>
      </w:r>
    </w:p>
    <w:p>
      <w:pPr>
        <w:shd w:fill="F2F2F2" w:val="clear"/>
      </w:pPr>
      <w:r>
        <w:rPr>
          <w:rFonts w:ascii="Consolas" w:cs="Consolas" w:eastAsia="Consolas" w:hAnsi="Consolas"/>
          <w:sz w:val="20"/>
          <w:szCs w:val="20"/>
        </w:rPr>
        <w:t xml:space="preserve">export OPENAI_API_KEY=...     # se si usa --provider openai</w:t>
      </w:r>
    </w:p>
    <w:p/>
    <w:p>
      <w:pPr>
        <w:pStyle w:val="Heading1"/>
      </w:pPr>
      <w:r>
        <w:t xml:space="preserve">10. Utilizzo</w:t>
      </w:r>
    </w:p>
    <w:p>
      <w:pPr>
        <w:pStyle w:val="Heading2"/>
      </w:pPr>
      <w:r>
        <w:t xml:space="preserve">10.1 Esecuzione della pipeline completa</w:t>
      </w:r>
    </w:p>
    <w:p>
      <w:pPr>
        <w:shd w:fill="F2F2F2" w:val="clear"/>
      </w:pPr>
      <w:r>
        <w:rPr>
          <w:rFonts w:ascii="Consolas" w:cs="Consolas" w:eastAsia="Consolas" w:hAnsi="Consolas"/>
          <w:sz w:val="20"/>
          <w:szCs w:val="20"/>
        </w:rPr>
        <w:t xml:space="preserve">python pipeline.py --provider anthropic --limit 20   # test su 20 sorgenti</w:t>
      </w:r>
    </w:p>
    <w:p>
      <w:pPr>
        <w:shd w:fill="F2F2F2" w:val="clear"/>
      </w:pPr>
      <w:r>
        <w:rPr>
          <w:rFonts w:ascii="Consolas" w:cs="Consolas" w:eastAsia="Consolas" w:hAnsi="Consolas"/>
          <w:sz w:val="20"/>
          <w:szCs w:val="20"/>
        </w:rPr>
        <w:t xml:space="preserve">python pipeline.py --provider anthropic              # intero batch</w:t>
      </w:r>
    </w:p>
    <w:p>
      <w:r>
        <w:t xml:space="preserve">Il flag --limit e' utile per test; senza limite la pipeline processa tutte le sorgenti selezionate da select_sources_needing_literature(). La pipeline supporta il resume automatico: le sorgenti gia' presenti in literature_results.csv vengono saltate.</w:t>
      </w:r>
    </w:p>
    <w:p>
      <w:pPr>
        <w:pStyle w:val="Heading2"/>
      </w:pPr>
      <w:r>
        <w:t xml:space="preserve">10.2 Diagnostica su una singola sorgente</w:t>
      </w:r>
    </w:p>
    <w:p>
      <w:pPr>
        <w:shd w:fill="F2F2F2" w:val="clear"/>
      </w:pPr>
      <w:r>
        <w:rPr>
          <w:rFonts w:ascii="Consolas" w:cs="Consolas" w:eastAsia="Consolas" w:hAnsi="Consolas"/>
          <w:sz w:val="20"/>
          <w:szCs w:val="20"/>
        </w:rPr>
        <w:t xml:space="preserve">python diagnose.py "nome sorgente"</w:t>
      </w:r>
    </w:p>
    <w:p>
      <w:r>
        <w:t xml:space="preserve">Esegue passo-passo la catena completa su una sola sorgente, stampando i risultati intermedi di ogni fase (inclusi i blocchi tabella trovati, sia HTML che VizieR).</w:t>
      </w:r>
    </w:p>
    <w:p/>
    <w:p>
      <w:pPr>
        <w:pStyle w:val="Heading1"/>
      </w:pPr>
      <w:r>
        <w:t xml:space="preserve">11. Note tecniche e limitazioni note</w:t>
      </w:r>
    </w:p>
    <w:p>
      <w:pPr>
        <w:pStyle w:val="ListParagraph"/>
        <w:numPr>
          <w:ilvl w:val="0"/>
          <w:numId w:val="1"/>
        </w:numPr>
      </w:pPr>
      <w:r>
        <w:t xml:space="preserve">Il campo object: usato dalla barra di ricerca del sito ADS NON e' un campo Solr valido per l'API pubblica diretta (/v1/search/query): restituisce "undefined field object". Per questo la risoluzione bibliografica primaria passa da SIMBAD (TAP/ADQL) e non da ADS stesso.</w:t>
      </w:r>
    </w:p>
    <w:p>
      <w:pPr>
        <w:pStyle w:val="ListParagraph"/>
        <w:numPr>
          <w:ilvl w:val="0"/>
          <w:numId w:val="1"/>
        </w:numPr>
      </w:pPr>
      <w:r>
        <w:t xml:space="preserve">Gli identificatori SIMBAD con prefisso bibliografico tra parentesi quadre (es. "[MGL2009] BZQ J0019-3031") vanno ripuliti del prefisso prima di essere usati in una ricerca testuale: il prefisso indica solo il paper che ha introdotto il nome, non fa parte del nome stesso.</w:t>
      </w:r>
    </w:p>
    <w:p>
      <w:pPr>
        <w:pStyle w:val="ListParagraph"/>
        <w:numPr>
          <w:ilvl w:val="0"/>
          <w:numId w:val="1"/>
        </w:numPr>
      </w:pPr>
      <w:r>
        <w:t xml:space="preserve">Non tutti i paper hanno un arXiv ID: per questi si usa solo l'abstract, che limita in particolare l'estrazione dell'angolo di vista (spesso riportato solo nel corpo del testo, non in abstract).</w:t>
      </w:r>
    </w:p>
    <w:p>
      <w:pPr>
        <w:pStyle w:val="ListParagraph"/>
        <w:numPr>
          <w:ilvl w:val="0"/>
          <w:numId w:val="1"/>
        </w:numPr>
      </w:pPr>
      <w:r>
        <w:t xml:space="preserve">ADQL tratta "year" come parola riservata: nelle query alla tabella ref va referenziato tra virgolette doppie o con alias.</w:t>
      </w:r>
    </w:p>
    <w:p>
      <w:pPr>
        <w:pStyle w:val="ListParagraph"/>
        <w:numPr>
          <w:ilvl w:val="0"/>
          <w:numId w:val="1"/>
        </w:numPr>
      </w:pPr>
      <w:r>
        <w:t xml:space="preserve">Claude Sonnet 5 ha deprecato il parametro temperature: va omesso dalla chiamata (non impostato a 0), altrimenti l'API risponde con un errore 400.</w:t>
      </w:r>
    </w:p>
    <w:p>
      <w:pPr>
        <w:pStyle w:val="ListParagraph"/>
        <w:numPr>
          <w:ilvl w:val="0"/>
          <w:numId w:val="1"/>
        </w:numPr>
      </w:pPr>
      <w:r>
        <w:t xml:space="preserve">La penalizzazione dei paper a campione statistico nel ranking va applicata SOLO all'ordinamento, mai alla soglia di esclusione min_score: altrimenti rischia di scartare gli unici paper disponibili per una sorgente invece di limitarsi a metterli in coda rispetto a studi piu' mirati.</w:t>
      </w:r>
    </w:p>
    <w:p>
      <w:pPr>
        <w:pStyle w:val="ListParagraph"/>
        <w:numPr>
          <w:ilvl w:val="0"/>
          <w:numId w:val="1"/>
        </w:numPr>
      </w:pPr>
      <w:r>
        <w:t xml:space="preserve">Molte tabelle nei paper abbreviano gli identificatori omettendo il prefisso di catalogo (es. "3FGL J0312.7+3613" diventa solo "J0312.7+3613" in tabella): la ricerca della riga pertinente in tabella controlla quindi anche il solo token di coordinate estratto da ciascun identificatore, non solo l'identificatore per intero.</w:t>
      </w:r>
    </w:p>
    <w:p>
      <w:pPr>
        <w:pStyle w:val="ListParagraph"/>
        <w:numPr>
          <w:ilvl w:val="0"/>
          <w:numId w:val="1"/>
        </w:numPr>
      </w:pPr>
      <w:r>
        <w:t xml:space="preserve">Molti paper a grande campione (centinaia di sorgenti) pubblicati su ApJ/ApJS mostrano nel preprint arXiv solo un estratto di poche righe della tabella dati, con una nota tipo "the table is available in its entirety in machine-readable form": la tabella completa e' spesso depositata su VizieR come catalogo a se' stante, con identificativo J/&lt;rivista&gt;/&lt;volume&gt;/&lt;pagina&gt; che quasi sempre coincide con gli estremi bibliografici del bibcode ADS del paper.</w:t>
      </w:r>
    </w:p>
    <w:p>
      <w:pPr>
        <w:pStyle w:val="ListParagraph"/>
        <w:numPr>
          <w:ilvl w:val="0"/>
          <w:numId w:val="1"/>
        </w:numPr>
      </w:pPr>
      <w:r>
        <w:t xml:space="preserve">La lista di parole chiave per il filtro di rilevanza dei paper era inizialmente centrata sui blazar e dava punteggio troppo basso a paper di classificazione Seyfert/NLS1/CSS altrettanto pertinenti, rischiando di scartarli anche quando erano la fonte primaria usata da Foschini stesso per la classificazione.</w:t>
      </w:r>
    </w:p>
    <w:p>
      <w:pPr>
        <w:pStyle w:val="ListParagraph"/>
        <w:numPr>
          <w:ilvl w:val="0"/>
          <w:numId w:val="1"/>
        </w:numPr>
      </w:pPr>
      <w:r>
        <w:t xml:space="preserve">Una citazione vera (che supera la verifica di base) puo' comunque essere inaffidabile se troppo generica o se non nomina la sorgente richiesta: vedi sezione 4 per i due controlli anti-contaminazione aggiunti dopo aver osservato entrambi i fallimenti empiricamente.</w:t>
      </w:r>
    </w:p>
    <w:p>
      <w:pPr>
        <w:pStyle w:val="ListParagraph"/>
        <w:numPr>
          <w:ilvl w:val="0"/>
          <w:numId w:val="1"/>
        </w:numPr>
      </w:pPr>
      <w:r>
        <w:t xml:space="preserve">Un conteggio di occorrenze non pesato per la classificazione premia le menzioni ereditate (numerose ma non indipendenti) rispetto a un singolo paper autorevole con analisi dedicata: vedi sezione 5 per la regola a due livelli che risolve il problema.</w:t>
      </w:r>
    </w:p>
    <w:p>
      <w:r>
        <w:br w:type="page"/>
      </w:r>
    </w:p>
    <w:p>
      <w:pPr>
        <w:jc w:val="center"/>
      </w:pPr>
      <w:r>
        <w:rPr>
          <w:b/>
          <w:bCs/>
          <w:sz w:val="32"/>
          <w:szCs w:val="32"/>
        </w:rPr>
        <w:t xml:space="preserve">DOCUMENTATION</w:t>
      </w:r>
    </w:p>
    <w:p>
      <w:pPr>
        <w:jc w:val="center"/>
      </w:pPr>
      <w:r>
        <w:rPr>
          <w:i/>
          <w:iCs/>
        </w:rPr>
        <w:t xml:space="preserve">Literature-search module (ADS/SIMBAD/LLM) for the 5FGL redshift pipeline</w:t>
      </w:r>
    </w:p>
    <w:p>
      <w:pPr>
        <w:jc w:val="center"/>
      </w:pPr>
      <w:r>
        <w:rPr>
          <w:i/>
          <w:iCs/>
        </w:rPr>
        <w:t xml:space="preserve">Version 1.3 — August 2026</w:t>
      </w:r>
    </w:p>
    <w:p/>
    <w:p>
      <w:pPr>
        <w:pStyle w:val="Heading1"/>
      </w:pPr>
      <w:r>
        <w:t xml:space="preserve">1. Objective</w:t>
      </w:r>
    </w:p>
    <w:p>
      <w:r>
        <w:t xml:space="preserve">This module extends the redshift search pipeline by adding a scientific-literature search layer, along the lines suggested by L. Foschini for the FL16Y catalog: instead of relying only on values reported in automated catalogs (NED, SIMBAD, VizieR), the module retrieves the scientific papers associated with each source and uses an LLM to extract redshift, spectral classification, and viewing angle, whenever explicitly reported in the text.</w:t>
      </w:r>
    </w:p>
    <w:p>
      <w:r>
        <w:t xml:space="preserve">The module only runs on sources that do not already have a reliable (Tier 1/2) redshift, to keep API costs under control.</w:t>
      </w:r>
    </w:p>
    <w:p/>
    <w:p>
      <w:pPr>
        <w:pStyle w:val="Heading1"/>
      </w:pPr>
      <w:r>
        <w:t xml:space="preserve">2. Architecture and modules</w:t>
      </w:r>
    </w:p>
    <w:p>
      <w:r>
        <w:t xml:space="preserve">The module is organized into 7 Python files, each with a specific responsibility:</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E2F3" w:val="clear"/>
          </w:tcPr>
          <w:p>
            <w:r>
              <w:rPr>
                <w:b/>
                <w:bCs/>
              </w:rPr>
              <w:t xml:space="preserve">File</w:t>
            </w:r>
          </w:p>
        </w:tc>
        <w:tc>
          <w:tcPr>
            <w:tcW w:type="dxa" w:w="7000"/>
            <w:shd w:fill="D9E2F3" w:val="clear"/>
          </w:tcPr>
          <w:p>
            <w:r>
              <w:rPr>
                <w:b/>
                <w:bCs/>
              </w:rPr>
              <w:t xml:space="preserve">Responsibility</w:t>
            </w:r>
          </w:p>
        </w:tc>
      </w:tr>
      <w:tr>
        <w:tc>
          <w:tcPr>
            <w:tcW w:type="dxa" w:w="2000"/>
          </w:tcPr>
          <w:p>
            <w:r>
              <w:rPr>
                <w:b w:val="false"/>
                <w:bCs w:val="false"/>
              </w:rPr>
              <w:t xml:space="preserve">ads_client.py</w:t>
            </w:r>
          </w:p>
        </w:tc>
        <w:tc>
          <w:tcPr>
            <w:tcW w:type="dxa" w:w="7000"/>
          </w:tcPr>
          <w:p>
            <w:r>
              <w:rPr>
                <w:b w:val="false"/>
                <w:bCs w:val="false"/>
              </w:rPr>
              <w:t xml:space="preserve">Queries NASA ADS. Primary source: SIMBAD bibliography via TAP/ADQL. Fallback: phrase search on title/abstract/keyword. Bulk-sample papers are deprioritized in ranking (never excluded); is_bulk_sample_paper() exposes this signal to aggregation too (see aggregate.py).</w:t>
            </w:r>
          </w:p>
        </w:tc>
      </w:tr>
      <w:tr>
        <w:tc>
          <w:tcPr>
            <w:tcW w:type="dxa" w:w="2000"/>
          </w:tcPr>
          <w:p>
            <w:r>
              <w:rPr>
                <w:b w:val="false"/>
                <w:bCs w:val="false"/>
              </w:rPr>
              <w:t xml:space="preserve">fulltext_fetch.py</w:t>
            </w:r>
          </w:p>
        </w:tc>
        <w:tc>
          <w:tcPr>
            <w:tcW w:type="dxa" w:w="7000"/>
          </w:tcPr>
          <w:p>
            <w:r>
              <w:rPr>
                <w:b w:val="false"/>
                <w:bCs w:val="false"/>
              </w:rPr>
              <w:t xml:space="preserve">Retrieves paper text: full HTML text via ar5iv when available, otherwise the abstract. Targeted table extraction from HTML and vizier_table_lookup.py. Also contains the cross-source contamination checks (see section 4).</w:t>
            </w:r>
          </w:p>
        </w:tc>
      </w:tr>
      <w:tr>
        <w:tc>
          <w:tcPr>
            <w:tcW w:type="dxa" w:w="2000"/>
          </w:tcPr>
          <w:p>
            <w:r>
              <w:rPr>
                <w:b w:val="false"/>
                <w:bCs w:val="false"/>
              </w:rPr>
              <w:t xml:space="preserve">vizier_table_lookup.py</w:t>
            </w:r>
          </w:p>
        </w:tc>
        <w:tc>
          <w:tcPr>
            <w:tcW w:type="dxa" w:w="7000"/>
          </w:tcPr>
          <w:p>
            <w:r>
              <w:rPr>
                <w:b w:val="false"/>
                <w:bCs w:val="false"/>
              </w:rPr>
              <w:t xml:space="preserve">Derives the VizieR identifier J/&lt;journal&gt;/&lt;volume&gt;/&lt;page&gt; directly from the paper's ADS bibcode, and searches for the source's row in the full data table deposited there.</w:t>
            </w:r>
          </w:p>
        </w:tc>
      </w:tr>
      <w:tr>
        <w:tc>
          <w:tcPr>
            <w:tcW w:type="dxa" w:w="2000"/>
          </w:tcPr>
          <w:p>
            <w:r>
              <w:rPr>
                <w:b w:val="false"/>
                <w:bCs w:val="false"/>
              </w:rPr>
              <w:t xml:space="preserve">llm_extract.py</w:t>
            </w:r>
          </w:p>
        </w:tc>
        <w:tc>
          <w:tcPr>
            <w:tcW w:type="dxa" w:w="7000"/>
          </w:tcPr>
          <w:p>
            <w:r>
              <w:rPr>
                <w:b w:val="false"/>
                <w:bCs w:val="false"/>
              </w:rPr>
              <w:t xml:space="preserve">Structured extraction via LLM (Anthropic or OpenAI, interchangeable). Forced JSON schema via tool-use, quote verification with a configurable minimum length, token/cost/error tracking.</w:t>
            </w:r>
          </w:p>
        </w:tc>
      </w:tr>
      <w:tr>
        <w:tc>
          <w:tcPr>
            <w:tcW w:type="dxa" w:w="2000"/>
          </w:tcPr>
          <w:p>
            <w:r>
              <w:rPr>
                <w:b w:val="false"/>
                <w:bCs w:val="false"/>
              </w:rPr>
              <w:t xml:space="preserve">aggregate.py</w:t>
            </w:r>
          </w:p>
        </w:tc>
        <w:tc>
          <w:tcPr>
            <w:tcW w:type="dxa" w:w="7000"/>
          </w:tcPr>
          <w:p>
            <w:r>
              <w:rPr>
                <w:b w:val="false"/>
                <w:bCs w:val="false"/>
              </w:rPr>
              <w:t xml:space="preserve">Deterministic aggregation (no LLM). Classification uses a TWO-TIER rule (not a simple count): if at least one "dedicated" extraction exists, the decision is made only among those, ignoring inherited catalog mentions even if numerically dominant (see section 5).</w:t>
            </w:r>
          </w:p>
        </w:tc>
      </w:tr>
      <w:tr>
        <w:tc>
          <w:tcPr>
            <w:tcW w:type="dxa" w:w="2000"/>
          </w:tcPr>
          <w:p>
            <w:r>
              <w:rPr>
                <w:b w:val="false"/>
                <w:bCs w:val="false"/>
              </w:rPr>
              <w:t xml:space="preserve">pipeline.py</w:t>
            </w:r>
          </w:p>
        </w:tc>
        <w:tc>
          <w:tcPr>
            <w:tcW w:type="dxa" w:w="7000"/>
          </w:tcPr>
          <w:p>
            <w:r>
              <w:rPr>
                <w:b w:val="false"/>
                <w:bCs w:val="false"/>
              </w:rPr>
              <w:t xml:space="preserve">End-to-end orchestration. Applies the anti-contamination checks after each extraction, before accepting it.</w:t>
            </w:r>
          </w:p>
        </w:tc>
      </w:tr>
      <w:tr>
        <w:tc>
          <w:tcPr>
            <w:tcW w:type="dxa" w:w="2000"/>
          </w:tcPr>
          <w:p>
            <w:r>
              <w:rPr>
                <w:b w:val="false"/>
                <w:bCs w:val="false"/>
              </w:rPr>
              <w:t xml:space="preserve">diagnose.py</w:t>
            </w:r>
          </w:p>
        </w:tc>
        <w:tc>
          <w:tcPr>
            <w:tcW w:type="dxa" w:w="7000"/>
          </w:tcPr>
          <w:p>
            <w:r>
              <w:rPr>
                <w:b w:val="false"/>
                <w:bCs w:val="false"/>
              </w:rPr>
              <w:t xml:space="preserve">Diagnostic script to isolate, for a single source, at which stage of the chain a result is being lost.</w:t>
            </w:r>
          </w:p>
        </w:tc>
      </w:tr>
    </w:tbl>
    <w:p/>
    <w:p>
      <w:pPr>
        <w:pStyle w:val="Heading1"/>
      </w:pPr>
      <w:r>
        <w:t xml:space="preserve">3. Per-source data flow</w:t>
      </w:r>
    </w:p>
    <w:p>
      <w:pPr>
        <w:pStyle w:val="ListParagraph"/>
        <w:numPr>
          <w:ilvl w:val="0"/>
          <w:numId w:val="1"/>
        </w:numPr>
      </w:pPr>
      <w:r>
        <w:t xml:space="preserve">1. Bibliography resolution: query SIMBAD (TAP/ADQL). The 100 most recent bibcodes are considered (not 40: a lower cutoff can exclude the older but more authoritative dedicated classification paper for heavily-studied sources).</w:t>
      </w:r>
    </w:p>
    <w:p>
      <w:pPr>
        <w:pStyle w:val="ListParagraph"/>
        <w:numPr>
          <w:ilvl w:val="0"/>
          <w:numId w:val="1"/>
        </w:numPr>
      </w:pPr>
      <w:r>
        <w:t xml:space="preserve">2. Metadata retrieval: query ADS (bibcode: field, batched).</w:t>
      </w:r>
    </w:p>
    <w:p>
      <w:pPr>
        <w:pStyle w:val="ListParagraph"/>
        <w:numPr>
          <w:ilvl w:val="0"/>
          <w:numId w:val="1"/>
        </w:numPr>
      </w:pPr>
      <w:r>
        <w:t xml:space="preserve">3. Relevance filter: papers ranked by keyword score (redshift, spectrum, classification, blazar, Seyfert, NLS1, CSS, changing-look, VLBI, viewing angle, jet, etc.).</w:t>
      </w:r>
    </w:p>
    <w:p>
      <w:pPr>
        <w:pStyle w:val="ListParagraph"/>
        <w:numPr>
          <w:ilvl w:val="0"/>
          <w:numId w:val="1"/>
        </w:numPr>
      </w:pPr>
      <w:r>
        <w:t xml:space="preserve">4. Text and table retrieval: full HTML text via ar5iv if available, otherwise the abstract. The paper's full VizieR data table is also always queried (vizier_table_lookup.py), useful when the arXiv preprint shows only a table excerpt.</w:t>
      </w:r>
    </w:p>
    <w:p>
      <w:pPr>
        <w:pStyle w:val="ListParagraph"/>
        <w:numPr>
          <w:ilvl w:val="0"/>
          <w:numId w:val="1"/>
        </w:numPr>
      </w:pPr>
      <w:r>
        <w:t xml:space="preserve">5. LLM extraction: for each table block and prose chunk, an LLM extracts redshift, redshift type, spectral classification, viewing angle and method, with a verbatim supporting quote.</w:t>
      </w:r>
    </w:p>
    <w:p>
      <w:pPr>
        <w:pStyle w:val="ListParagraph"/>
        <w:numPr>
          <w:ilvl w:val="0"/>
          <w:numId w:val="1"/>
        </w:numPr>
      </w:pPr>
      <w:r>
        <w:t xml:space="preserve">6. Anti-hallucination and anti-contamination check: the quote is verified against the source text (with a minimum length threshold) and, for prose chunks, must positively name the requested source (see section 4).</w:t>
      </w:r>
    </w:p>
    <w:p>
      <w:pPr>
        <w:pStyle w:val="ListParagraph"/>
        <w:numPr>
          <w:ilvl w:val="0"/>
          <w:numId w:val="1"/>
        </w:numPr>
      </w:pPr>
      <w:r>
        <w:t xml:space="preserve">7. Two-tier deterministic aggregation: verified results are combined giving priority to dedicated analyses (see section 5).</w:t>
      </w:r>
    </w:p>
    <w:p/>
    <w:p>
      <w:pPr>
        <w:pStyle w:val="Heading1"/>
      </w:pPr>
      <w:r>
        <w:t xml:space="preserve">4. Anti-hallucination and anti-contamination checks</w:t>
      </w:r>
    </w:p>
    <w:p>
      <w:r>
        <w:t xml:space="preserve">The quote field is required to validate an extraction. During development, two ways a quote can be TRUE (passing the basic check) yet still unreliable emerged:</w:t>
      </w:r>
    </w:p>
    <w:p>
      <w:pPr>
        <w:pStyle w:val="ListParagraph"/>
        <w:numPr>
          <w:ilvl w:val="0"/>
          <w:numId w:val="1"/>
        </w:numPr>
      </w:pPr>
      <w:r>
        <w:t xml:space="preserve">Overly generic quote: a quote like "bcu" (3 characters) appears almost anywhere in a blazar classification paper, so the match doesn't prove it refers to the right source. A configurable minimum length threshold (min_quote_length) applies: 15 characters for unfiltered prose chunks, 1 character for table blocks (already pre-filtered to the right source by construction - a single-letter class code, e.g. "B", is reliable there).</w:t>
      </w:r>
    </w:p>
    <w:p>
      <w:pPr>
        <w:pStyle w:val="ListParagraph"/>
        <w:numPr>
          <w:ilvl w:val="0"/>
          <w:numId w:val="1"/>
        </w:numPr>
      </w:pPr>
      <w:r>
        <w:t xml:space="preserve">A true quote about a different source: an unfiltered prose chunk can contain technical statements (viewing angle, redshift, Doppler factor...) without ever naming which source they refer to, especially in multi-object comparison papers. fulltext_fetch.quote_establishes_source_identity() requires the quote to POSITIVELY name the requested source (by name/alias or by its RA coordinate prefix) - not just the absence of a wrong source. Applied only to prose chunks, not table blocks.</w:t>
      </w:r>
    </w:p>
    <w:p/>
    <w:p>
      <w:r>
        <w:t xml:space="preserve">Case observed empirically: for source S4 0954+65, a paper (Becerra Gonzalez et al. 2021) discusses VLBI kinematics without ever repeating the source name in the sentence with the numeric values; without this check, a redshift of 0.051 - actually belonging to a different source discussed in the same paper - would have been wrongly attributed to S4 0954+65 instead of the correct value (~0.367-0.37, confirmed by 14 other agreeing extractions).</w:t>
      </w:r>
    </w:p>
    <w:p/>
    <w:p>
      <w:pPr>
        <w:pStyle w:val="Heading1"/>
      </w:pPr>
      <w:r>
        <w:t xml:space="preserve">5. Deterministic aggregation</w:t>
      </w:r>
    </w:p>
    <w:p>
      <w:r>
        <w:t xml:space="preserve">Unlike extraction (which uses an LLM), aggregating multiple per-source results follows fixed, documented rules:</w:t>
      </w:r>
    </w:p>
    <w:p>
      <w:pPr>
        <w:pStyle w:val="ListParagraph"/>
        <w:numPr>
          <w:ilvl w:val="0"/>
          <w:numId w:val="1"/>
        </w:numPr>
      </w:pPr>
      <w:r>
        <w:t xml:space="preserve">Redshift: among verified extractions, spectroscopic type is preferred; ties broken by the most recent paper. If two spectroscopic values differ by more than 0.01, a conflict is flagged.</w:t>
      </w:r>
    </w:p>
    <w:p>
      <w:pPr>
        <w:pStyle w:val="ListParagraph"/>
        <w:numPr>
          <w:ilvl w:val="0"/>
          <w:numId w:val="1"/>
        </w:numPr>
      </w:pPr>
      <w:r>
        <w:t xml:space="preserve">Classification - TWO-TIER RULE: an extraction is "dedicated" if it is NOT table-derived AND NOT from an explicitly bulk-sample paper (i.e. prose analysis in a paper targeting the single source). If AT LEAST ONE dedicated extraction exists, the final classification is decided ONLY among those (majority, tie-break on most recent paper), ignoring inherited mentions even if numerically dominant. Only when no dedicated extraction exists does it fall back to voting among all available extractions.</w:t>
      </w:r>
    </w:p>
    <w:p>
      <w:pPr>
        <w:pStyle w:val="ListParagraph"/>
        <w:numPr>
          <w:ilvl w:val="0"/>
          <w:numId w:val="1"/>
        </w:numPr>
      </w:pPr>
      <w:r>
        <w:t xml:space="preserve">Viewing angle: all verified estimates are reported, without merging values obtained with different methods.</w:t>
      </w:r>
    </w:p>
    <w:p/>
    <w:p>
      <w:r>
        <w:t xml:space="preserve">Motivation for the two-tier rule (case observed empirically: TXS 1206+549). A simple occurrence count is not enough: 13 papers cited "FSRQ" (the label inherited from the 4LAC catalog, uncritically repeated in tables and sample studies), against a single paper (Rakshit &amp; Stalin 2021) with dedicated spectroscopy correctly identifying the source as NLS1. A simple majority vote - or even a weighted vote with moderate penalties - still picks FSRQ, because the 13 inherited mentions are not independent evidence: they are almost certainly all the same label copied from the same original source, not 13 separate verifications. The two-tier rule correctly resolves the case by giving absolute priority to the single dedicated analysis when it exists.</w:t>
      </w:r>
    </w:p>
    <w:p/>
    <w:p>
      <w:pPr>
        <w:pStyle w:val="Heading1"/>
      </w:pPr>
      <w:r>
        <w:t xml:space="preserve">6. Extraction schema</w:t>
      </w:r>
    </w:p>
    <w:p>
      <w:r>
        <w:t xml:space="preserve">For each text chunk, the model returns a JSON object with the following fields (all nullable):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c>
          <w:tcPr>
            <w:tcW w:type="dxa" w:w="2200"/>
            <w:shd w:fill="D9E2F3" w:val="clear"/>
          </w:tcPr>
          <w:p>
            <w:r>
              <w:rPr>
                <w:b/>
                <w:bCs/>
              </w:rPr>
              <w:t xml:space="preserve">Field</w:t>
            </w:r>
          </w:p>
        </w:tc>
        <w:tc>
          <w:tcPr>
            <w:tcW w:type="dxa" w:w="1600"/>
            <w:shd w:fill="D9E2F3" w:val="clear"/>
          </w:tcPr>
          <w:p>
            <w:r>
              <w:rPr>
                <w:b/>
                <w:bCs/>
              </w:rPr>
              <w:t xml:space="preserve">Type</w:t>
            </w:r>
          </w:p>
        </w:tc>
        <w:tc>
          <w:tcPr>
            <w:tcW w:type="dxa" w:w="5200"/>
            <w:shd w:fill="D9E2F3" w:val="clear"/>
          </w:tcPr>
          <w:p>
            <w:r>
              <w:rPr>
                <w:b/>
                <w:bCs/>
              </w:rPr>
              <w:t xml:space="preserve">Description</w:t>
            </w:r>
          </w:p>
        </w:tc>
      </w:tr>
      <w:tr>
        <w:tc>
          <w:tcPr>
            <w:tcW w:type="dxa" w:w="2200"/>
          </w:tcPr>
          <w:p>
            <w:r>
              <w:rPr>
                <w:b w:val="false"/>
                <w:bCs w:val="false"/>
              </w:rPr>
              <w:t xml:space="preserve">redshift</w:t>
            </w:r>
          </w:p>
        </w:tc>
        <w:tc>
          <w:tcPr>
            <w:tcW w:type="dxa" w:w="1600"/>
          </w:tcPr>
          <w:p>
            <w:r>
              <w:rPr>
                <w:b w:val="false"/>
                <w:bCs w:val="false"/>
              </w:rPr>
              <w:t xml:space="preserve">number</w:t>
            </w:r>
          </w:p>
        </w:tc>
        <w:tc>
          <w:tcPr>
            <w:tcW w:type="dxa" w:w="5200"/>
          </w:tcPr>
          <w:p>
            <w:r>
              <w:rPr>
                <w:b w:val="false"/>
                <w:bCs w:val="false"/>
              </w:rPr>
              <w:t xml:space="preserve">Redshift value, if explicitly reported in the text.</w:t>
            </w:r>
          </w:p>
        </w:tc>
      </w:tr>
      <w:tr>
        <w:tc>
          <w:tcPr>
            <w:tcW w:type="dxa" w:w="2200"/>
          </w:tcPr>
          <w:p>
            <w:r>
              <w:rPr>
                <w:b w:val="false"/>
                <w:bCs w:val="false"/>
              </w:rPr>
              <w:t xml:space="preserve">redshift_type</w:t>
            </w:r>
          </w:p>
        </w:tc>
        <w:tc>
          <w:tcPr>
            <w:tcW w:type="dxa" w:w="1600"/>
          </w:tcPr>
          <w:p>
            <w:r>
              <w:rPr>
                <w:b w:val="false"/>
                <w:bCs w:val="false"/>
              </w:rPr>
              <w:t xml:space="preserve">enum</w:t>
            </w:r>
          </w:p>
        </w:tc>
        <w:tc>
          <w:tcPr>
            <w:tcW w:type="dxa" w:w="5200"/>
          </w:tcPr>
          <w:p>
            <w:r>
              <w:rPr>
                <w:b w:val="false"/>
                <w:bCs w:val="false"/>
              </w:rPr>
              <w:t xml:space="preserve">spectroscopic / photometric / tentative.</w:t>
            </w:r>
          </w:p>
        </w:tc>
      </w:tr>
      <w:tr>
        <w:tc>
          <w:tcPr>
            <w:tcW w:type="dxa" w:w="2200"/>
          </w:tcPr>
          <w:p>
            <w:r>
              <w:rPr>
                <w:b w:val="false"/>
                <w:bCs w:val="false"/>
              </w:rPr>
              <w:t xml:space="preserve">spectral_classification</w:t>
            </w:r>
          </w:p>
        </w:tc>
        <w:tc>
          <w:tcPr>
            <w:tcW w:type="dxa" w:w="1600"/>
          </w:tcPr>
          <w:p>
            <w:r>
              <w:rPr>
                <w:b w:val="false"/>
                <w:bCs w:val="false"/>
              </w:rPr>
              <w:t xml:space="preserve">string</w:t>
            </w:r>
          </w:p>
        </w:tc>
        <w:tc>
          <w:tcPr>
            <w:tcW w:type="dxa" w:w="5200"/>
          </w:tcPr>
          <w:p>
            <w:r>
              <w:rPr>
                <w:b w:val="false"/>
                <w:bCs w:val="false"/>
              </w:rPr>
              <w:t xml:space="preserve">Classification reported in the text, using the exact wording used by the authors.</w:t>
            </w:r>
          </w:p>
        </w:tc>
      </w:tr>
      <w:tr>
        <w:tc>
          <w:tcPr>
            <w:tcW w:type="dxa" w:w="2200"/>
          </w:tcPr>
          <w:p>
            <w:r>
              <w:rPr>
                <w:b w:val="false"/>
                <w:bCs w:val="false"/>
              </w:rPr>
              <w:t xml:space="preserve">viewing_angle_deg</w:t>
            </w:r>
          </w:p>
        </w:tc>
        <w:tc>
          <w:tcPr>
            <w:tcW w:type="dxa" w:w="1600"/>
          </w:tcPr>
          <w:p>
            <w:r>
              <w:rPr>
                <w:b w:val="false"/>
                <w:bCs w:val="false"/>
              </w:rPr>
              <w:t xml:space="preserve">number</w:t>
            </w:r>
          </w:p>
        </w:tc>
        <w:tc>
          <w:tcPr>
            <w:tcW w:type="dxa" w:w="5200"/>
          </w:tcPr>
          <w:p>
            <w:r>
              <w:rPr>
                <w:b w:val="false"/>
                <w:bCs w:val="false"/>
              </w:rPr>
              <w:t xml:space="preserve">Viewing angle in degrees, if reported.</w:t>
            </w:r>
          </w:p>
        </w:tc>
      </w:tr>
      <w:tr>
        <w:tc>
          <w:tcPr>
            <w:tcW w:type="dxa" w:w="2200"/>
          </w:tcPr>
          <w:p>
            <w:r>
              <w:rPr>
                <w:b w:val="false"/>
                <w:bCs w:val="false"/>
              </w:rPr>
              <w:t xml:space="preserve">viewing_angle_method</w:t>
            </w:r>
          </w:p>
        </w:tc>
        <w:tc>
          <w:tcPr>
            <w:tcW w:type="dxa" w:w="1600"/>
          </w:tcPr>
          <w:p>
            <w:r>
              <w:rPr>
                <w:b w:val="false"/>
                <w:bCs w:val="false"/>
              </w:rPr>
              <w:t xml:space="preserve">enum</w:t>
            </w:r>
          </w:p>
        </w:tc>
        <w:tc>
          <w:tcPr>
            <w:tcW w:type="dxa" w:w="5200"/>
          </w:tcPr>
          <w:p>
            <w:r>
              <w:rPr>
                <w:b w:val="false"/>
                <w:bCs w:val="false"/>
              </w:rPr>
              <w:t xml:space="preserve">VLBI superluminal motion / SED modeling / other.</w:t>
            </w:r>
          </w:p>
        </w:tc>
      </w:tr>
      <w:tr>
        <w:tc>
          <w:tcPr>
            <w:tcW w:type="dxa" w:w="2200"/>
          </w:tcPr>
          <w:p>
            <w:r>
              <w:rPr>
                <w:b w:val="false"/>
                <w:bCs w:val="false"/>
              </w:rPr>
              <w:t xml:space="preserve">quote</w:t>
            </w:r>
          </w:p>
        </w:tc>
        <w:tc>
          <w:tcPr>
            <w:tcW w:type="dxa" w:w="1600"/>
          </w:tcPr>
          <w:p>
            <w:r>
              <w:rPr>
                <w:b w:val="false"/>
                <w:bCs w:val="false"/>
              </w:rPr>
              <w:t xml:space="preserve">string</w:t>
            </w:r>
          </w:p>
        </w:tc>
        <w:tc>
          <w:tcPr>
            <w:tcW w:type="dxa" w:w="5200"/>
          </w:tcPr>
          <w:p>
            <w:r>
              <w:rPr>
                <w:b w:val="false"/>
                <w:bCs w:val="false"/>
              </w:rPr>
              <w:t xml:space="preserve">Sentence copied verbatim from the text supporting the extracted values.</w:t>
            </w:r>
          </w:p>
        </w:tc>
      </w:tr>
      <w:tr>
        <w:tc>
          <w:tcPr>
            <w:tcW w:type="dxa" w:w="2200"/>
          </w:tcPr>
          <w:p>
            <w:r>
              <w:rPr>
                <w:b w:val="false"/>
                <w:bCs w:val="false"/>
              </w:rPr>
              <w:t xml:space="preserve">confidence</w:t>
            </w:r>
          </w:p>
        </w:tc>
        <w:tc>
          <w:tcPr>
            <w:tcW w:type="dxa" w:w="1600"/>
          </w:tcPr>
          <w:p>
            <w:r>
              <w:rPr>
                <w:b w:val="false"/>
                <w:bCs w:val="false"/>
              </w:rPr>
              <w:t xml:space="preserve">enum</w:t>
            </w:r>
          </w:p>
        </w:tc>
        <w:tc>
          <w:tcPr>
            <w:tcW w:type="dxa" w:w="5200"/>
          </w:tcPr>
          <w:p>
            <w:r>
              <w:rPr>
                <w:b w:val="false"/>
                <w:bCs w:val="false"/>
              </w:rPr>
              <w:t xml:space="preserve">explicit / inferred_by_paper_authors.</w:t>
            </w:r>
          </w:p>
        </w:tc>
      </w:tr>
    </w:tbl>
    <w:p/>
    <w:p>
      <w:pPr>
        <w:pStyle w:val="Heading1"/>
      </w:pPr>
      <w:r>
        <w:t xml:space="preserve">7. Cost tracking</w:t>
      </w:r>
    </w:p>
    <w:p>
      <w:r>
        <w:t xml:space="preserve">Every model call returns the actual input/output tokens used. The pipeline accumulates them and prints a cost estimate at every checkpoint and at the end of the run.</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D9E2F3" w:val="clear"/>
          </w:tcPr>
          <w:p>
            <w:r>
              <w:rPr>
                <w:b/>
                <w:bCs/>
              </w:rPr>
              <w:t xml:space="preserve">Model</w:t>
            </w:r>
          </w:p>
        </w:tc>
        <w:tc>
          <w:tcPr>
            <w:tcW w:type="dxa" w:w="2000"/>
            <w:shd w:fill="D9E2F3" w:val="clear"/>
          </w:tcPr>
          <w:p>
            <w:r>
              <w:rPr>
                <w:b/>
                <w:bCs/>
              </w:rPr>
              <w:t xml:space="preserve">Provider</w:t>
            </w:r>
          </w:p>
        </w:tc>
        <w:tc>
          <w:tcPr>
            <w:tcW w:type="dxa" w:w="2000"/>
            <w:shd w:fill="D9E2F3" w:val="clear"/>
          </w:tcPr>
          <w:p>
            <w:r>
              <w:rPr>
                <w:b/>
                <w:bCs/>
              </w:rPr>
              <w:t xml:space="preserve">Input ($/Mtok)</w:t>
            </w:r>
          </w:p>
        </w:tc>
        <w:tc>
          <w:tcPr>
            <w:tcW w:type="dxa" w:w="2000"/>
            <w:shd w:fill="D9E2F3" w:val="clear"/>
          </w:tcPr>
          <w:p>
            <w:r>
              <w:rPr>
                <w:b/>
                <w:bCs/>
              </w:rPr>
              <w:t xml:space="preserve">Output ($/Mtok)</w:t>
            </w:r>
          </w:p>
        </w:tc>
      </w:tr>
      <w:tr>
        <w:tc>
          <w:tcPr>
            <w:tcW w:type="dxa" w:w="3000"/>
          </w:tcPr>
          <w:p>
            <w:r>
              <w:rPr>
                <w:b w:val="false"/>
                <w:bCs w:val="false"/>
              </w:rPr>
              <w:t xml:space="preserve">claude-sonnet-5</w:t>
            </w:r>
          </w:p>
        </w:tc>
        <w:tc>
          <w:tcPr>
            <w:tcW w:type="dxa" w:w="2000"/>
          </w:tcPr>
          <w:p>
            <w:r>
              <w:rPr>
                <w:b w:val="false"/>
                <w:bCs w:val="false"/>
              </w:rPr>
              <w:t xml:space="preserve">Anthropic</w:t>
            </w:r>
          </w:p>
        </w:tc>
        <w:tc>
          <w:tcPr>
            <w:tcW w:type="dxa" w:w="2000"/>
          </w:tcPr>
          <w:p>
            <w:r>
              <w:rPr>
                <w:b w:val="false"/>
                <w:bCs w:val="false"/>
              </w:rPr>
              <w:t xml:space="preserve">2.00*</w:t>
            </w:r>
          </w:p>
        </w:tc>
        <w:tc>
          <w:tcPr>
            <w:tcW w:type="dxa" w:w="2000"/>
          </w:tcPr>
          <w:p>
            <w:r>
              <w:rPr>
                <w:b w:val="false"/>
                <w:bCs w:val="false"/>
              </w:rPr>
              <w:t xml:space="preserve">10.00*</w:t>
            </w:r>
          </w:p>
        </w:tc>
      </w:tr>
      <w:tr>
        <w:tc>
          <w:tcPr>
            <w:tcW w:type="dxa" w:w="3000"/>
          </w:tcPr>
          <w:p>
            <w:r>
              <w:rPr>
                <w:b w:val="false"/>
                <w:bCs w:val="false"/>
              </w:rPr>
              <w:t xml:space="preserve">claude-haiku-4-5</w:t>
            </w:r>
          </w:p>
        </w:tc>
        <w:tc>
          <w:tcPr>
            <w:tcW w:type="dxa" w:w="2000"/>
          </w:tcPr>
          <w:p>
            <w:r>
              <w:rPr>
                <w:b w:val="false"/>
                <w:bCs w:val="false"/>
              </w:rPr>
              <w:t xml:space="preserve">Anthropic</w:t>
            </w:r>
          </w:p>
        </w:tc>
        <w:tc>
          <w:tcPr>
            <w:tcW w:type="dxa" w:w="2000"/>
          </w:tcPr>
          <w:p>
            <w:r>
              <w:rPr>
                <w:b w:val="false"/>
                <w:bCs w:val="false"/>
              </w:rPr>
              <w:t xml:space="preserve">1.00</w:t>
            </w:r>
          </w:p>
        </w:tc>
        <w:tc>
          <w:tcPr>
            <w:tcW w:type="dxa" w:w="2000"/>
          </w:tcPr>
          <w:p>
            <w:r>
              <w:rPr>
                <w:b w:val="false"/>
                <w:bCs w:val="false"/>
              </w:rPr>
              <w:t xml:space="preserve">5.00</w:t>
            </w:r>
          </w:p>
        </w:tc>
      </w:tr>
      <w:tr>
        <w:tc>
          <w:tcPr>
            <w:tcW w:type="dxa" w:w="3000"/>
          </w:tcPr>
          <w:p>
            <w:r>
              <w:rPr>
                <w:b w:val="false"/>
                <w:bCs w:val="false"/>
              </w:rPr>
              <w:t xml:space="preserve">claude-opus-4-8</w:t>
            </w:r>
          </w:p>
        </w:tc>
        <w:tc>
          <w:tcPr>
            <w:tcW w:type="dxa" w:w="2000"/>
          </w:tcPr>
          <w:p>
            <w:r>
              <w:rPr>
                <w:b w:val="false"/>
                <w:bCs w:val="false"/>
              </w:rPr>
              <w:t xml:space="preserve">Anthropic</w:t>
            </w:r>
          </w:p>
        </w:tc>
        <w:tc>
          <w:tcPr>
            <w:tcW w:type="dxa" w:w="2000"/>
          </w:tcPr>
          <w:p>
            <w:r>
              <w:rPr>
                <w:b w:val="false"/>
                <w:bCs w:val="false"/>
              </w:rPr>
              <w:t xml:space="preserve">5.00</w:t>
            </w:r>
          </w:p>
        </w:tc>
        <w:tc>
          <w:tcPr>
            <w:tcW w:type="dxa" w:w="2000"/>
          </w:tcPr>
          <w:p>
            <w:r>
              <w:rPr>
                <w:b w:val="false"/>
                <w:bCs w:val="false"/>
              </w:rPr>
              <w:t xml:space="preserve">25.00</w:t>
            </w:r>
          </w:p>
        </w:tc>
      </w:tr>
      <w:tr>
        <w:tc>
          <w:tcPr>
            <w:tcW w:type="dxa" w:w="3000"/>
          </w:tcPr>
          <w:p>
            <w:r>
              <w:rPr>
                <w:b w:val="false"/>
                <w:bCs w:val="false"/>
              </w:rPr>
              <w:t xml:space="preserve">gpt-4.1</w:t>
            </w:r>
          </w:p>
        </w:tc>
        <w:tc>
          <w:tcPr>
            <w:tcW w:type="dxa" w:w="2000"/>
          </w:tcPr>
          <w:p>
            <w:r>
              <w:rPr>
                <w:b w:val="false"/>
                <w:bCs w:val="false"/>
              </w:rPr>
              <w:t xml:space="preserve">OpenAI</w:t>
            </w:r>
          </w:p>
        </w:tc>
        <w:tc>
          <w:tcPr>
            <w:tcW w:type="dxa" w:w="2000"/>
          </w:tcPr>
          <w:p>
            <w:r>
              <w:rPr>
                <w:b w:val="false"/>
                <w:bCs w:val="false"/>
              </w:rPr>
              <w:t xml:space="preserve">2.00</w:t>
            </w:r>
          </w:p>
        </w:tc>
        <w:tc>
          <w:tcPr>
            <w:tcW w:type="dxa" w:w="2000"/>
          </w:tcPr>
          <w:p>
            <w:r>
              <w:rPr>
                <w:b w:val="false"/>
                <w:bCs w:val="false"/>
              </w:rPr>
              <w:t xml:space="preserve">8.00</w:t>
            </w:r>
          </w:p>
        </w:tc>
      </w:tr>
    </w:tbl>
    <w:p/>
    <w:p>
      <w:r>
        <w:t xml:space="preserve">* Claude Sonnet 5 introductory pricing valid through August 31, 2026; afterwards $3/$15 per million tokens.</w:t>
      </w:r>
    </w:p>
    <w:p/>
    <w:p>
      <w:pPr>
        <w:pStyle w:val="Heading1"/>
      </w:pPr>
      <w:r>
        <w:t xml:space="preserve">8. Output files</w:t>
      </w:r>
    </w:p>
    <w:p>
      <w:r>
        <w:rPr>
          <w:b/>
          <w:bCs/>
        </w:rPr>
        <w:t xml:space="preserve">literature_results.csv: </w:t>
      </w:r>
      <w:r>
        <w:t xml:space="preserve">one record per source, including n_llm_errors.</w:t>
      </w:r>
    </w:p>
    <w:p>
      <w:r>
        <w:rPr>
          <w:b/>
          <w:bCs/>
        </w:rPr>
        <w:t xml:space="preserve">literature_extraction_detailed.csv: </w:t>
      </w:r>
      <w:r>
        <w:t xml:space="preserve">long format, one record per source x paper x chunk, including is_table_derived and is_bulk_sample_paper.</w:t>
      </w:r>
    </w:p>
    <w:p/>
    <w:p>
      <w:pPr>
        <w:pStyle w:val="Heading1"/>
      </w:pPr>
      <w:r>
        <w:t xml:space="preserve">9. Setup and dependencies</w:t>
      </w:r>
    </w:p>
    <w:p>
      <w:pPr>
        <w:shd w:fill="F2F2F2" w:val="clear"/>
      </w:pPr>
      <w:r>
        <w:rPr>
          <w:rFonts w:ascii="Consolas" w:cs="Consolas" w:eastAsia="Consolas" w:hAnsi="Consolas"/>
          <w:sz w:val="20"/>
          <w:szCs w:val="20"/>
        </w:rPr>
        <w:t xml:space="preserve">export ADS_TOKEN=...</w:t>
      </w:r>
    </w:p>
    <w:p>
      <w:pPr>
        <w:shd w:fill="F2F2F2" w:val="clear"/>
      </w:pPr>
      <w:r>
        <w:rPr>
          <w:rFonts w:ascii="Consolas" w:cs="Consolas" w:eastAsia="Consolas" w:hAnsi="Consolas"/>
          <w:sz w:val="20"/>
          <w:szCs w:val="20"/>
        </w:rPr>
        <w:t xml:space="preserve">export ANTHROPIC_API_KEY=...</w:t>
      </w:r>
    </w:p>
    <w:p>
      <w:pPr>
        <w:shd w:fill="F2F2F2" w:val="clear"/>
      </w:pPr>
      <w:r>
        <w:rPr>
          <w:rFonts w:ascii="Consolas" w:cs="Consolas" w:eastAsia="Consolas" w:hAnsi="Consolas"/>
          <w:sz w:val="20"/>
          <w:szCs w:val="20"/>
        </w:rPr>
        <w:t xml:space="preserve">export OPENAI_API_KEY=...</w:t>
      </w:r>
    </w:p>
    <w:p/>
    <w:p>
      <w:pPr>
        <w:pStyle w:val="Heading1"/>
      </w:pPr>
      <w:r>
        <w:t xml:space="preserve">10. Usage</w:t>
      </w:r>
    </w:p>
    <w:p>
      <w:pPr>
        <w:pStyle w:val="Heading2"/>
      </w:pPr>
      <w:r>
        <w:t xml:space="preserve">10.1 Running the full pipeline</w:t>
      </w:r>
    </w:p>
    <w:p>
      <w:pPr>
        <w:shd w:fill="F2F2F2" w:val="clear"/>
      </w:pPr>
      <w:r>
        <w:rPr>
          <w:rFonts w:ascii="Consolas" w:cs="Consolas" w:eastAsia="Consolas" w:hAnsi="Consolas"/>
          <w:sz w:val="20"/>
          <w:szCs w:val="20"/>
        </w:rPr>
        <w:t xml:space="preserve">python pipeline.py --provider anthropic --limit 20</w:t>
      </w:r>
    </w:p>
    <w:p>
      <w:pPr>
        <w:shd w:fill="F2F2F2" w:val="clear"/>
      </w:pPr>
      <w:r>
        <w:rPr>
          <w:rFonts w:ascii="Consolas" w:cs="Consolas" w:eastAsia="Consolas" w:hAnsi="Consolas"/>
          <w:sz w:val="20"/>
          <w:szCs w:val="20"/>
        </w:rPr>
        <w:t xml:space="preserve">python pipeline.py --provider anthropic</w:t>
      </w:r>
    </w:p>
    <w:p>
      <w:pPr>
        <w:pStyle w:val="Heading2"/>
      </w:pPr>
      <w:r>
        <w:t xml:space="preserve">10.2 Diagnosing a single source</w:t>
      </w:r>
    </w:p>
    <w:p>
      <w:pPr>
        <w:shd w:fill="F2F2F2" w:val="clear"/>
      </w:pPr>
      <w:r>
        <w:rPr>
          <w:rFonts w:ascii="Consolas" w:cs="Consolas" w:eastAsia="Consolas" w:hAnsi="Consolas"/>
          <w:sz w:val="20"/>
          <w:szCs w:val="20"/>
        </w:rPr>
        <w:t xml:space="preserve">python diagnose.py "source name"</w:t>
      </w:r>
    </w:p>
    <w:p/>
    <w:p>
      <w:pPr>
        <w:pStyle w:val="Heading1"/>
      </w:pPr>
      <w:r>
        <w:t xml:space="preserve">11. Technical notes and known limitations</w:t>
      </w:r>
    </w:p>
    <w:p>
      <w:pPr>
        <w:pStyle w:val="ListParagraph"/>
        <w:numPr>
          <w:ilvl w:val="0"/>
          <w:numId w:val="1"/>
        </w:numPr>
      </w:pPr>
      <w:r>
        <w:t xml:space="preserve">The object: field is NOT a valid Solr field for the direct public ADS API. Primary bibliography resolution goes through SIMBAD (TAP/ADQL) instead.</w:t>
      </w:r>
    </w:p>
    <w:p>
      <w:pPr>
        <w:pStyle w:val="ListParagraph"/>
        <w:numPr>
          <w:ilvl w:val="0"/>
          <w:numId w:val="1"/>
        </w:numPr>
      </w:pPr>
      <w:r>
        <w:t xml:space="preserve">SIMBAD identifiers with a bibliographic prefix in square brackets must have the prefix stripped before text search.</w:t>
      </w:r>
    </w:p>
    <w:p>
      <w:pPr>
        <w:pStyle w:val="ListParagraph"/>
        <w:numPr>
          <w:ilvl w:val="0"/>
          <w:numId w:val="1"/>
        </w:numPr>
      </w:pPr>
      <w:r>
        <w:t xml:space="preserve">Not every paper has an arXiv ID: for these, only the abstract is used.</w:t>
      </w:r>
    </w:p>
    <w:p>
      <w:pPr>
        <w:pStyle w:val="ListParagraph"/>
        <w:numPr>
          <w:ilvl w:val="0"/>
          <w:numId w:val="1"/>
        </w:numPr>
      </w:pPr>
      <w:r>
        <w:t xml:space="preserve">ADQL treats "year" as a reserved word.</w:t>
      </w:r>
    </w:p>
    <w:p>
      <w:pPr>
        <w:pStyle w:val="ListParagraph"/>
        <w:numPr>
          <w:ilvl w:val="0"/>
          <w:numId w:val="1"/>
        </w:numPr>
      </w:pPr>
      <w:r>
        <w:t xml:space="preserve">Claude Sonnet 5 has deprecated the temperature parameter.</w:t>
      </w:r>
    </w:p>
    <w:p>
      <w:pPr>
        <w:pStyle w:val="ListParagraph"/>
        <w:numPr>
          <w:ilvl w:val="0"/>
          <w:numId w:val="1"/>
        </w:numPr>
      </w:pPr>
      <w:r>
        <w:t xml:space="preserve">The bulk-sample-paper ranking penalty must be applied ONLY to ordering, never to the exclusion threshold.</w:t>
      </w:r>
    </w:p>
    <w:p>
      <w:pPr>
        <w:pStyle w:val="ListParagraph"/>
        <w:numPr>
          <w:ilvl w:val="0"/>
          <w:numId w:val="1"/>
        </w:numPr>
      </w:pPr>
      <w:r>
        <w:t xml:space="preserve">Many paper tables abbreviate identifiers by dropping the catalog prefix: matching also checks the bare coordinate token.</w:t>
      </w:r>
    </w:p>
    <w:p>
      <w:pPr>
        <w:pStyle w:val="ListParagraph"/>
        <w:numPr>
          <w:ilvl w:val="0"/>
          <w:numId w:val="1"/>
        </w:numPr>
      </w:pPr>
      <w:r>
        <w:t xml:space="preserve">Many large-sample papers show only a table excerpt in the arXiv preprint, with the full table deposited on VizieR under an identifier derived from the bibcode.</w:t>
      </w:r>
    </w:p>
    <w:p>
      <w:pPr>
        <w:pStyle w:val="ListParagraph"/>
        <w:numPr>
          <w:ilvl w:val="0"/>
          <w:numId w:val="1"/>
        </w:numPr>
      </w:pPr>
      <w:r>
        <w:t xml:space="preserve">The paper relevance keyword list was initially blazar-centric and scored Seyfert/NLS1/CSS classification papers too low.</w:t>
      </w:r>
    </w:p>
    <w:p>
      <w:pPr>
        <w:pStyle w:val="ListParagraph"/>
        <w:numPr>
          <w:ilvl w:val="0"/>
          <w:numId w:val="1"/>
        </w:numPr>
      </w:pPr>
      <w:r>
        <w:t xml:space="preserve">A true quote (passing the basic check) can still be unreliable if too generic or if it doesn't name the requested source: see section 4 for the two anti-contamination checks added after observing both failure modes empirically.</w:t>
      </w:r>
    </w:p>
    <w:p>
      <w:pPr>
        <w:pStyle w:val="ListParagraph"/>
        <w:numPr>
          <w:ilvl w:val="0"/>
          <w:numId w:val="1"/>
        </w:numPr>
      </w:pPr>
      <w:r>
        <w:t xml:space="preserve">An unweighted occurrence count for classification rewards inherited mentions (numerous but not independent) over a single authoritative paper with dedicated analysis: see section 5 for the two-tier rule that resolves this.</w:t>
      </w:r>
    </w:p>
    <w:p/>
    <w:p>
      <w:r>
        <w:rPr>
          <w:i/>
          <w:iCs/>
        </w:rPr>
        <w:t xml:space="preserve">Fine sezione inglese / End of English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2026-08-16T11:10:26.760Z</dcterms:created>
  <dcterms:modified xsi:type="dcterms:W3CDTF">2026-08-16T11:10:26.774Z</dcterms:modified>
</cp:coreProperties>
</file>

<file path=docProps/custom.xml><?xml version="1.0" encoding="utf-8"?>
<Properties xmlns="http://schemas.openxmlformats.org/officeDocument/2006/custom-properties" xmlns:vt="http://schemas.openxmlformats.org/officeDocument/2006/docPropsVTypes"/>
</file>