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1A365D"/>
          <w:sz w:val="48"/>
        </w:rPr>
        <w:t>Documentación General del Pipeline de Datos</w:t>
        <w:br/>
        <w:t>HR Data Cleansing &amp; Transformation</w:t>
      </w:r>
    </w:p>
    <w:p>
      <w:pPr>
        <w:spacing w:after="960"/>
        <w:jc w:val="center"/>
      </w:pPr>
      <w:r>
        <w:rPr>
          <w:rFonts w:ascii="Arial" w:hAnsi="Arial"/>
          <w:i/>
          <w:color w:val="666666"/>
          <w:sz w:val="24"/>
        </w:rPr>
        <w:t>Guía funcional paso a paso sobre el proceso de saneamiento e imputación de datos corporativos.</w:t>
      </w:r>
    </w:p>
    <w:p>
      <w:pPr>
        <w:pStyle w:val="Heading1"/>
        <w:keepNext/>
        <w:spacing w:before="480" w:after="120"/>
      </w:pPr>
      <w:r>
        <w:rPr>
          <w:rFonts w:ascii="Arial" w:hAnsi="Arial"/>
          <w:color w:val="1A365D"/>
        </w:rPr>
        <w:t>1. Introducción y Arquitectura Funcional</w:t>
      </w:r>
    </w:p>
    <w:p>
      <w:r>
        <w:t>El presente documento detalla el proceso secuencial de limpieza, validación y transformación adaptativa aplicado sobre el conjunto de datos de Recursos Humanos. El objetivo principal de este pipeline es convertir datos crudos e incompletos provenientes del Data Lake (capa de origen) en un repositorio unificado, consistente y de alta calidad listo para el análisis estadístico, auditorías de gestión y modelos predictivos.</w:t>
      </w:r>
    </w:p>
    <w:p>
      <w:r>
        <w:t>A diferencia de los enfoques tradicionales, este diseño de ingeniería implementa un procesamiento mixto dividido en dos grandes fases operativas:</w:t>
      </w:r>
    </w:p>
    <w:p>
      <w:pPr>
        <w:pStyle w:val="ListBullet"/>
      </w:pPr>
      <w:r>
        <w:rPr>
          <w:b/>
        </w:rPr>
        <w:t xml:space="preserve">Fase de Evaluación Perezosa (Lazy Evaluation): </w:t>
      </w:r>
      <w:r>
        <w:t>Construye un grafo de transformaciones lógicas (pasos 1 al 7) sin cargar los registros en la memoria activa, optimizando el rendimiento.</w:t>
      </w:r>
    </w:p>
    <w:p>
      <w:pPr>
        <w:pStyle w:val="ListBullet"/>
      </w:pPr>
      <w:r>
        <w:rPr>
          <w:b/>
        </w:rPr>
        <w:t xml:space="preserve">Fase de Evaluación Inmediata (Eager Evaluation): </w:t>
      </w:r>
      <w:r>
        <w:t>Materializa los datos en memoria para resolver cálculos complejos, reglas cruzadas y análisis de vecindad corporativa (pasos 8 al 12).</w:t>
      </w:r>
    </w:p>
    <w:p>
      <w:pPr>
        <w:pStyle w:val="Heading1"/>
        <w:keepNext/>
        <w:spacing w:before="480" w:after="120"/>
      </w:pPr>
      <w:r>
        <w:rPr>
          <w:rFonts w:ascii="Arial" w:hAnsi="Arial"/>
          <w:color w:val="1A365D"/>
        </w:rPr>
        <w:t>2. Guía Detallada del Proceso en 12 Etapas</w:t>
      </w:r>
    </w:p>
    <w:p>
      <w:pPr>
        <w:pStyle w:val="Heading2"/>
        <w:keepNext/>
        <w:spacing w:before="280" w:after="80"/>
      </w:pPr>
      <w:r>
        <w:rPr>
          <w:rFonts w:ascii="Arial" w:hAnsi="Arial"/>
          <w:color w:val="2C5282"/>
        </w:rPr>
        <w:t>Etapa 1: Normalización Estructural (Estandarización snake_case)</w:t>
      </w:r>
    </w:p>
    <w:p>
      <w:pPr>
        <w:ind w:left="216"/>
      </w:pPr>
      <w:r>
        <w:t>Consiste en la limpieza técnica de todos los nombres de las columnas del set de datos. Se eliminan los espacios en blanco sobrantes, caracteres especiales, acentos y signos de puntuación, transformando todo el encabezado a minúsculas y separando las palabras mediante guiones bajos (por ejemplo, 'Salario Bruto (2026)' se convierte en 'salario_bruto'). Esto previene fallos de lectura en motores de bases de datos.</w:t>
      </w:r>
    </w:p>
    <w:p>
      <w:pPr>
        <w:pStyle w:val="Heading2"/>
        <w:keepNext/>
        <w:spacing w:before="280" w:after="80"/>
      </w:pPr>
      <w:r>
        <w:rPr>
          <w:rFonts w:ascii="Arial" w:hAnsi="Arial"/>
          <w:color w:val="2C5282"/>
        </w:rPr>
        <w:t>Etapa 2: Validación de Identificadores (Clave Primaria)</w:t>
      </w:r>
    </w:p>
    <w:p>
      <w:pPr>
        <w:ind w:left="216"/>
      </w:pPr>
      <w:r>
        <w:t>Se audita la columna de identidad del empleado ('employee_id'). El proceso elimina de forma automática cualquier registro que carezca de identificador (nulo) y remueve las filas duplicadas basándose en la primera aparición registrada. Esto asegura que cada empleado represente una entidad única e inequívoca en la base final.</w:t>
      </w:r>
    </w:p>
    <w:p>
      <w:pPr>
        <w:pStyle w:val="Heading2"/>
        <w:keepNext/>
        <w:spacing w:before="280" w:after="80"/>
      </w:pPr>
      <w:r>
        <w:rPr>
          <w:rFonts w:ascii="Arial" w:hAnsi="Arial"/>
          <w:color w:val="2C5282"/>
        </w:rPr>
        <w:t>Etapa 3: Homogeneización de Tipos de Datos (Type Casting)</w:t>
      </w:r>
    </w:p>
    <w:p>
      <w:pPr>
        <w:ind w:left="216"/>
      </w:pPr>
      <w:r>
        <w:t>Se fuerza a cada columna a adoptar su naturaleza matemática e interpretativa correcta. Los números de identificación y textos se convierten a cadenas limpias; la edad y los años de historia se configuran como enteros estrictos; las fechas se parsean al formato estándar e internacional 'AAAA-MM-DD' y las variables monetarias son despojadas de símbolos de moneda o comas de texto para ser procesadas numéricamente.</w:t>
      </w:r>
    </w:p>
    <w:p>
      <w:pPr>
        <w:pStyle w:val="Heading2"/>
        <w:keepNext/>
        <w:spacing w:before="280" w:after="80"/>
      </w:pPr>
      <w:r>
        <w:rPr>
          <w:rFonts w:ascii="Arial" w:hAnsi="Arial"/>
          <w:color w:val="2C5282"/>
        </w:rPr>
        <w:t>Etapa 4: Depuración Antroponímica (Limpieza Corporativa de Nombres)</w:t>
      </w:r>
    </w:p>
    <w:p>
      <w:pPr>
        <w:ind w:left="216"/>
      </w:pPr>
      <w:r>
        <w:t>Un paso clave para la estética y gobernanza de datos. Se eliminan de forma automatizada todos los tratamientos de cortesía, títulos profesionales o académicos (como 'Dr.', 'Dra.', 'Ing.', 'Lic.', 'Mr.', 'Ms.') y sufijos de grado (como 'Ph.D.', 'M.Sc.', 'MBA'). Luego, se eliminan espacios redundantes intermedios y se aplica un formato de mayúsculas inteligente, preservando en minúsculas las partículas de apellidos específicos (como 'de', 'del', 'van', 'von'). Las filas con nombres que quedan completamente vacíos tras la limpieza son descartadas para preservar la integridad.</w:t>
      </w:r>
    </w:p>
    <w:p>
      <w:pPr>
        <w:pStyle w:val="Heading2"/>
        <w:keepNext/>
        <w:spacing w:before="280" w:after="80"/>
      </w:pPr>
      <w:r>
        <w:rPr>
          <w:rFonts w:ascii="Arial" w:hAnsi="Arial"/>
          <w:color w:val="2C5282"/>
        </w:rPr>
        <w:t>Etapa 5: Corrección de Rangos de Negocio</w:t>
      </w:r>
    </w:p>
    <w:p>
      <w:pPr>
        <w:ind w:left="216"/>
      </w:pPr>
      <w:r>
        <w:t>Control de coherencia para variables numéricas. Si un salario figura con un valor negativo pero su magnitud absoluta está dentro del rango válido para su departamento y nivel de puesto, se asume un error de signo y se corrige a positivo; de lo contrario, se anula. Para la variable edad, los valores fuera del espectro corporativo permitido se transforman en nulos para su posterior tratamiento, y los años de experiencia negativos se convierten en valores absolutos positivos.</w:t>
      </w:r>
    </w:p>
    <w:p>
      <w:pPr>
        <w:pStyle w:val="Heading2"/>
        <w:keepNext/>
        <w:spacing w:before="280" w:after="80"/>
      </w:pPr>
      <w:r>
        <w:rPr>
          <w:rFonts w:ascii="Arial" w:hAnsi="Arial"/>
          <w:color w:val="2C5282"/>
        </w:rPr>
        <w:t>Etapa 6: Validación Lógica Cruzada</w:t>
      </w:r>
    </w:p>
    <w:p>
      <w:pPr>
        <w:ind w:left="216"/>
      </w:pPr>
      <w:r>
        <w:t>Aplica reglas de consistencia de negocio donde intervienen múltiples columnas en simultáneo. Por ejemplo, se comprueba que los años de experiencia laboral reportados no superen de ninguna manera la edad biológica del empleado menos el umbral de educación mínimo (edad - 16 años); en caso de inconsistencia, la experiencia se recorta al máximo lógicamente posible. Asimismo, se detectan y anulan las fechas de contratación que se posicionen en el futuro respecto a la fecha de corte del dataset.</w:t>
      </w:r>
    </w:p>
    <w:p>
      <w:pPr>
        <w:pStyle w:val="Heading2"/>
        <w:keepNext/>
        <w:spacing w:before="280" w:after="80"/>
      </w:pPr>
      <w:r>
        <w:rPr>
          <w:rFonts w:ascii="Arial" w:hAnsi="Arial"/>
          <w:color w:val="2C5282"/>
        </w:rPr>
        <w:t>Etapa 7: Imputación Inicial por Estructura Organizacional</w:t>
      </w:r>
    </w:p>
    <w:p>
      <w:pPr>
        <w:ind w:left="216"/>
      </w:pPr>
      <w:r>
        <w:t>Relleno inteligente de datos faltantes para las variables biológicas y de trayectoria inicial (edad y experiencia). En lugar de aplicar un promedio global que sesgaría los datos, el pipeline calcula la mediana específica del subgrupo al que pertenece el empleado, cruzando su 'Nivel de Puesto' (Job Level) con su 'Departamento'. Si un analista junior no tiene registrada su experiencia, se le asigna la mediana de los analistas junior de su área. En esta etapa, los campos de categorías fijas huérfanos se marcan con un valor centinela estandarizado.</w:t>
      </w:r>
    </w:p>
    <w:p>
      <w:pPr>
        <w:pStyle w:val="Heading2"/>
        <w:keepNext/>
        <w:spacing w:before="280" w:after="80"/>
      </w:pPr>
      <w:r>
        <w:rPr>
          <w:rFonts w:ascii="Arial" w:hAnsi="Arial"/>
          <w:color w:val="2C5282"/>
        </w:rPr>
        <w:t>Etapa 8: Reconstrucción de Fechas de Contratación</w:t>
      </w:r>
    </w:p>
    <w:p>
      <w:pPr>
        <w:ind w:left="216"/>
      </w:pPr>
      <w:r>
        <w:t>Se divide en dos frentes críticos: Primero, se calculan las medianas de fechas de contratación por grupo organizacional en formato de días epoch para rellenar de manera precisa los ingresos omitidos. Segundo, se verifica la edad efectiva del empleado al momento de ser contratado; si la matemática demuestra que el empleado habría ingresado con una edad menor a la mínima legal laboral (18 años), se desplaza la fecha de contratación hacia adelante de forma automática para subsanar la anomalía.</w:t>
      </w:r>
    </w:p>
    <w:p>
      <w:pPr>
        <w:pStyle w:val="Heading2"/>
        <w:keepNext/>
        <w:spacing w:before="280" w:after="80"/>
      </w:pPr>
      <w:r>
        <w:rPr>
          <w:rFonts w:ascii="Arial" w:hAnsi="Arial"/>
          <w:color w:val="2C5282"/>
        </w:rPr>
        <w:t>Etapa 9: Pipeline Avanzado de Saneamiento Salarial</w:t>
      </w:r>
    </w:p>
    <w:p>
      <w:pPr>
        <w:ind w:left="216"/>
      </w:pPr>
      <w:r>
        <w:t>Los salarios pasan por un estricto proceso de tres fases consecutivas para evitar distorsiones: (9A) Los salarios registrados en cero (0) se eliminan temporalmente y se sustituyen por la mediana de sus pares reales; (9B) Se aplica el algoritmo de Rango Intercuartílico (IQR) por departamento y nivel para identificar y nulificar valores atípicos extremos o fuera de la escala lógica de la empresa; y (9C) Se realiza la imputación final de todos los nulos resultantes utilizando la mediana limpia del subgrupo organizativo.</w:t>
      </w:r>
    </w:p>
    <w:p>
      <w:pPr>
        <w:pStyle w:val="Heading2"/>
        <w:keepNext/>
        <w:spacing w:before="280" w:after="80"/>
      </w:pPr>
      <w:r>
        <w:rPr>
          <w:rFonts w:ascii="Arial" w:hAnsi="Arial"/>
          <w:color w:val="2C5282"/>
        </w:rPr>
        <w:t>Etapa 10: Tratamiento Adaptativo de Calificaciones (Performance)</w:t>
      </w:r>
    </w:p>
    <w:p>
      <w:pPr>
        <w:ind w:left="216"/>
      </w:pPr>
      <w:r>
        <w:t>La columna de evaluación de desempeño recibe una lógica dinámica basada en el volumen de fallos: Si los datos faltantes representan menos del 0.5% del total del personal, las filas se eliminan por ser estadísticamente irrelevantes; si se encuentran en el rango del 0.5% al 3%, se imputan asignando la Moda (la calificación más repetida) de su mismo departamento y nivel de puesto; si el problema supera el 3%, se enciende una alerta corporativa y los registros se preservan bajo una categoría especial de auditoría requerida.</w:t>
      </w:r>
    </w:p>
    <w:p>
      <w:pPr>
        <w:pStyle w:val="Heading2"/>
        <w:keepNext/>
        <w:spacing w:before="280" w:after="80"/>
      </w:pPr>
      <w:r>
        <w:rPr>
          <w:rFonts w:ascii="Arial" w:hAnsi="Arial"/>
          <w:color w:val="2C5282"/>
        </w:rPr>
        <w:t>Etapa 11: Normalización Estética y Tipográfica Final</w:t>
      </w:r>
    </w:p>
    <w:p>
      <w:pPr>
        <w:ind w:left="216"/>
      </w:pPr>
      <w:r>
        <w:t>Se unifican todos los campos textuales clave y de clasificación al formato de mayúscula inicial en cada palabra (Title Case). Los guiones bajos de control interno de los sistemas de origen en las calificaciones de desempeño se transforman en espacios limpios para facilitar la visualización ejecutiva y la exportación de reportes limpios.</w:t>
      </w:r>
    </w:p>
    <w:p>
      <w:pPr>
        <w:pStyle w:val="Heading2"/>
        <w:keepNext/>
        <w:spacing w:before="280" w:after="80"/>
      </w:pPr>
      <w:r>
        <w:rPr>
          <w:rFonts w:ascii="Arial" w:hAnsi="Arial"/>
          <w:color w:val="2C5282"/>
        </w:rPr>
        <w:t>Etapa 12: Ajuste Definitivo de Antigüedad para Activos</w:t>
      </w:r>
    </w:p>
    <w:p>
      <w:pPr>
        <w:ind w:left="216"/>
      </w:pPr>
      <w:r>
        <w:t>Orientado exclusivamente al personal con estado 'Activo'. El sistema calcula el tiempo neto real transcurrido desde la fecha de contratación corregida hasta la fecha actual del dataset. Si la experiencia total declarada originalmente por el empleado es cero o inferior a ese tiempo de permanencia interna verificado, se sobrescribe con la antigüedad real de la empresa o la mediana del sector, garantizando que el historial de carrera respete los hechos contractuales reales.</w:t>
      </w:r>
    </w:p>
    <w:p>
      <w:pPr>
        <w:pStyle w:val="Heading1"/>
        <w:keepNext/>
        <w:spacing w:before="480" w:after="120"/>
      </w:pPr>
      <w:r>
        <w:rPr>
          <w:rFonts w:ascii="Arial" w:hAnsi="Arial"/>
          <w:color w:val="1A365D"/>
        </w:rPr>
        <w:t>3. Matriz Resumen de Reglas e Imputaciones</w:t>
      </w:r>
    </w:p>
    <w:p>
      <w:r>
        <w:t>La siguiente tabla resume de forma consolidada el comportamiento de las variables críticas de negocio ante la presencia de errores o valores ausentes:</w:t>
      </w:r>
    </w:p>
    <w:tbl>
      <w:tblPr>
        <w:tblW w:type="auto" w:w="0"/>
        <w:jc w:val="center"/>
        <w:tblLook w:firstColumn="1" w:firstRow="1" w:lastColumn="0" w:lastRow="0" w:noHBand="0" w:noVBand="1" w:val="04A0"/>
      </w:tblPr>
      <w:tblGrid>
        <w:gridCol w:w="2340"/>
        <w:gridCol w:w="2340"/>
        <w:gridCol w:w="2340"/>
        <w:gridCol w:w="2340"/>
      </w:tblGrid>
      <w:tr>
        <w:tc>
          <w:tcPr>
            <w:tcW w:type="dxa" w:w="2160"/>
            <w:shd w:fill="1A365D"/>
            <w:tcMar>
              <w:top w:w="120" w:type="dxa"/>
              <w:bottom w:w="120" w:type="dxa"/>
              <w:left w:w="150" w:type="dxa"/>
              <w:right w:w="150" w:type="dxa"/>
            </w:tcMar>
          </w:tcPr>
          <w:p>
            <w:pPr>
              <w:jc w:val="center"/>
            </w:pPr>
            <w:r>
              <w:rPr>
                <w:b/>
                <w:color w:val="FFFFFF"/>
                <w:sz w:val="20"/>
              </w:rPr>
              <w:t>Variable Crítica</w:t>
            </w:r>
          </w:p>
        </w:tc>
        <w:tc>
          <w:tcPr>
            <w:tcW w:type="dxa" w:w="1728"/>
            <w:shd w:fill="1A365D"/>
            <w:tcMar>
              <w:top w:w="120" w:type="dxa"/>
              <w:bottom w:w="120" w:type="dxa"/>
              <w:left w:w="150" w:type="dxa"/>
              <w:right w:w="150" w:type="dxa"/>
            </w:tcMar>
          </w:tcPr>
          <w:p>
            <w:pPr>
              <w:jc w:val="center"/>
            </w:pPr>
            <w:r>
              <w:rPr>
                <w:b/>
                <w:color w:val="FFFFFF"/>
                <w:sz w:val="20"/>
              </w:rPr>
              <w:t>Tipo de Ajuste</w:t>
            </w:r>
          </w:p>
        </w:tc>
        <w:tc>
          <w:tcPr>
            <w:tcW w:type="dxa" w:w="2592"/>
            <w:shd w:fill="1A365D"/>
            <w:tcMar>
              <w:top w:w="120" w:type="dxa"/>
              <w:bottom w:w="120" w:type="dxa"/>
              <w:left w:w="150" w:type="dxa"/>
              <w:right w:w="150" w:type="dxa"/>
            </w:tcMar>
          </w:tcPr>
          <w:p>
            <w:pPr>
              <w:jc w:val="center"/>
            </w:pPr>
            <w:r>
              <w:rPr>
                <w:b/>
                <w:color w:val="FFFFFF"/>
                <w:sz w:val="20"/>
              </w:rPr>
              <w:t>Estrategia Principal</w:t>
            </w:r>
          </w:p>
        </w:tc>
        <w:tc>
          <w:tcPr>
            <w:tcW w:type="dxa" w:w="2880"/>
            <w:shd w:fill="1A365D"/>
            <w:tcMar>
              <w:top w:w="120" w:type="dxa"/>
              <w:bottom w:w="120" w:type="dxa"/>
              <w:left w:w="150" w:type="dxa"/>
              <w:right w:w="150" w:type="dxa"/>
            </w:tcMar>
          </w:tcPr>
          <w:p>
            <w:pPr>
              <w:jc w:val="center"/>
            </w:pPr>
            <w:r>
              <w:rPr>
                <w:b/>
                <w:color w:val="FFFFFF"/>
                <w:sz w:val="20"/>
              </w:rPr>
              <w:t>Fallback de Seguridad</w:t>
            </w:r>
          </w:p>
        </w:tc>
      </w:tr>
      <w:tr>
        <w:tc>
          <w:tcPr>
            <w:tcW w:type="dxa" w:w="2160"/>
            <w:shd w:fill="F7FAFC"/>
            <w:tcMar>
              <w:top w:w="100" w:type="dxa"/>
              <w:bottom w:w="100" w:type="dxa"/>
              <w:left w:w="150" w:type="dxa"/>
              <w:right w:w="150" w:type="dxa"/>
            </w:tcMar>
          </w:tcPr>
          <w:p>
            <w:pPr>
              <w:jc w:val="left"/>
            </w:pPr>
            <w:r>
              <w:rPr>
                <w:sz w:val="19"/>
              </w:rPr>
              <w:t>Edad (age)</w:t>
            </w:r>
          </w:p>
        </w:tc>
        <w:tc>
          <w:tcPr>
            <w:tcW w:type="dxa" w:w="1728"/>
            <w:shd w:fill="F7FAFC"/>
            <w:tcMar>
              <w:top w:w="100" w:type="dxa"/>
              <w:bottom w:w="100" w:type="dxa"/>
              <w:left w:w="150" w:type="dxa"/>
              <w:right w:w="150" w:type="dxa"/>
            </w:tcMar>
          </w:tcPr>
          <w:p>
            <w:pPr>
              <w:jc w:val="center"/>
            </w:pPr>
            <w:r>
              <w:rPr>
                <w:sz w:val="19"/>
              </w:rPr>
              <w:t>Imputación</w:t>
            </w:r>
          </w:p>
        </w:tc>
        <w:tc>
          <w:tcPr>
            <w:tcW w:type="dxa" w:w="2592"/>
            <w:shd w:fill="F7FAFC"/>
            <w:tcMar>
              <w:top w:w="100" w:type="dxa"/>
              <w:bottom w:w="100" w:type="dxa"/>
              <w:left w:w="150" w:type="dxa"/>
              <w:right w:w="150" w:type="dxa"/>
            </w:tcMar>
          </w:tcPr>
          <w:p>
            <w:pPr>
              <w:jc w:val="left"/>
            </w:pPr>
            <w:r>
              <w:rPr>
                <w:sz w:val="19"/>
              </w:rPr>
              <w:t>Mediana de subgrupo (Puesto × Área)</w:t>
            </w:r>
          </w:p>
        </w:tc>
        <w:tc>
          <w:tcPr>
            <w:tcW w:type="dxa" w:w="2880"/>
            <w:shd w:fill="F7FAFC"/>
            <w:tcMar>
              <w:top w:w="100" w:type="dxa"/>
              <w:bottom w:w="100" w:type="dxa"/>
              <w:left w:w="150" w:type="dxa"/>
              <w:right w:w="150" w:type="dxa"/>
            </w:tcMar>
          </w:tcPr>
          <w:p>
            <w:pPr>
              <w:jc w:val="left"/>
            </w:pPr>
            <w:r>
              <w:rPr>
                <w:sz w:val="19"/>
              </w:rPr>
              <w:t>Mediana global del dataset</w:t>
            </w:r>
          </w:p>
        </w:tc>
      </w:tr>
      <w:tr>
        <w:tc>
          <w:tcPr>
            <w:tcW w:type="dxa" w:w="2160"/>
            <w:shd w:fill="FFFFFF"/>
            <w:tcMar>
              <w:top w:w="100" w:type="dxa"/>
              <w:bottom w:w="100" w:type="dxa"/>
              <w:left w:w="150" w:type="dxa"/>
              <w:right w:w="150" w:type="dxa"/>
            </w:tcMar>
          </w:tcPr>
          <w:p>
            <w:pPr>
              <w:jc w:val="left"/>
            </w:pPr>
            <w:r>
              <w:rPr>
                <w:sz w:val="19"/>
              </w:rPr>
              <w:t>Experiencia (experience_years)</w:t>
            </w:r>
          </w:p>
        </w:tc>
        <w:tc>
          <w:tcPr>
            <w:tcW w:type="dxa" w:w="1728"/>
            <w:shd w:fill="FFFFFF"/>
            <w:tcMar>
              <w:top w:w="100" w:type="dxa"/>
              <w:bottom w:w="100" w:type="dxa"/>
              <w:left w:w="150" w:type="dxa"/>
              <w:right w:w="150" w:type="dxa"/>
            </w:tcMar>
          </w:tcPr>
          <w:p>
            <w:pPr>
              <w:jc w:val="center"/>
            </w:pPr>
            <w:r>
              <w:rPr>
                <w:sz w:val="19"/>
              </w:rPr>
              <w:t>Validación Cruzada / Ajuste</w:t>
            </w:r>
          </w:p>
        </w:tc>
        <w:tc>
          <w:tcPr>
            <w:tcW w:type="dxa" w:w="2592"/>
            <w:shd w:fill="FFFFFF"/>
            <w:tcMar>
              <w:top w:w="100" w:type="dxa"/>
              <w:bottom w:w="100" w:type="dxa"/>
              <w:left w:w="150" w:type="dxa"/>
              <w:right w:w="150" w:type="dxa"/>
            </w:tcMar>
          </w:tcPr>
          <w:p>
            <w:pPr>
              <w:jc w:val="left"/>
            </w:pPr>
            <w:r>
              <w:rPr>
                <w:sz w:val="19"/>
              </w:rPr>
              <w:t>Piso de antigüedad real en la empresa</w:t>
            </w:r>
          </w:p>
        </w:tc>
        <w:tc>
          <w:tcPr>
            <w:tcW w:type="dxa" w:w="2880"/>
            <w:shd w:fill="FFFFFF"/>
            <w:tcMar>
              <w:top w:w="100" w:type="dxa"/>
              <w:bottom w:w="100" w:type="dxa"/>
              <w:left w:w="150" w:type="dxa"/>
              <w:right w:w="150" w:type="dxa"/>
            </w:tcMar>
          </w:tcPr>
          <w:p>
            <w:pPr>
              <w:jc w:val="left"/>
            </w:pPr>
            <w:r>
              <w:rPr>
                <w:sz w:val="19"/>
              </w:rPr>
              <w:t>Mediana de subgrupo organizacional</w:t>
            </w:r>
          </w:p>
        </w:tc>
      </w:tr>
      <w:tr>
        <w:tc>
          <w:tcPr>
            <w:tcW w:type="dxa" w:w="2160"/>
            <w:shd w:fill="F7FAFC"/>
            <w:tcMar>
              <w:top w:w="100" w:type="dxa"/>
              <w:bottom w:w="100" w:type="dxa"/>
              <w:left w:w="150" w:type="dxa"/>
              <w:right w:w="150" w:type="dxa"/>
            </w:tcMar>
          </w:tcPr>
          <w:p>
            <w:pPr>
              <w:jc w:val="left"/>
            </w:pPr>
            <w:r>
              <w:rPr>
                <w:sz w:val="19"/>
              </w:rPr>
              <w:t>Salario (salary)</w:t>
            </w:r>
          </w:p>
        </w:tc>
        <w:tc>
          <w:tcPr>
            <w:tcW w:type="dxa" w:w="1728"/>
            <w:shd w:fill="F7FAFC"/>
            <w:tcMar>
              <w:top w:w="100" w:type="dxa"/>
              <w:bottom w:w="100" w:type="dxa"/>
              <w:left w:w="150" w:type="dxa"/>
              <w:right w:w="150" w:type="dxa"/>
            </w:tcMar>
          </w:tcPr>
          <w:p>
            <w:pPr>
              <w:jc w:val="center"/>
            </w:pPr>
            <w:r>
              <w:rPr>
                <w:sz w:val="19"/>
              </w:rPr>
              <w:t>Filtro IQR / Corrección</w:t>
            </w:r>
          </w:p>
        </w:tc>
        <w:tc>
          <w:tcPr>
            <w:tcW w:type="dxa" w:w="2592"/>
            <w:shd w:fill="F7FAFC"/>
            <w:tcMar>
              <w:top w:w="100" w:type="dxa"/>
              <w:bottom w:w="100" w:type="dxa"/>
              <w:left w:w="150" w:type="dxa"/>
              <w:right w:w="150" w:type="dxa"/>
            </w:tcMar>
          </w:tcPr>
          <w:p>
            <w:pPr>
              <w:jc w:val="left"/>
            </w:pPr>
            <w:r>
              <w:rPr>
                <w:sz w:val="19"/>
              </w:rPr>
              <w:t>Reemplazo de ceros e IQR por mediana limpia</w:t>
            </w:r>
          </w:p>
        </w:tc>
        <w:tc>
          <w:tcPr>
            <w:tcW w:type="dxa" w:w="2880"/>
            <w:shd w:fill="F7FAFC"/>
            <w:tcMar>
              <w:top w:w="100" w:type="dxa"/>
              <w:bottom w:w="100" w:type="dxa"/>
              <w:left w:w="150" w:type="dxa"/>
              <w:right w:w="150" w:type="dxa"/>
            </w:tcMar>
          </w:tcPr>
          <w:p>
            <w:pPr>
              <w:jc w:val="left"/>
            </w:pPr>
            <w:r>
              <w:rPr>
                <w:sz w:val="19"/>
              </w:rPr>
              <w:t>Mediana global no contaminada</w:t>
            </w:r>
          </w:p>
        </w:tc>
      </w:tr>
      <w:tr>
        <w:tc>
          <w:tcPr>
            <w:tcW w:type="dxa" w:w="2160"/>
            <w:shd w:fill="FFFFFF"/>
            <w:tcMar>
              <w:top w:w="100" w:type="dxa"/>
              <w:bottom w:w="100" w:type="dxa"/>
              <w:left w:w="150" w:type="dxa"/>
              <w:right w:w="150" w:type="dxa"/>
            </w:tcMar>
          </w:tcPr>
          <w:p>
            <w:pPr>
              <w:jc w:val="left"/>
            </w:pPr>
            <w:r>
              <w:rPr>
                <w:sz w:val="19"/>
              </w:rPr>
              <w:t>Fecha Ingreso (hire_date)</w:t>
            </w:r>
          </w:p>
        </w:tc>
        <w:tc>
          <w:tcPr>
            <w:tcW w:type="dxa" w:w="1728"/>
            <w:shd w:fill="FFFFFF"/>
            <w:tcMar>
              <w:top w:w="100" w:type="dxa"/>
              <w:bottom w:w="100" w:type="dxa"/>
              <w:left w:w="150" w:type="dxa"/>
              <w:right w:w="150" w:type="dxa"/>
            </w:tcMar>
          </w:tcPr>
          <w:p>
            <w:pPr>
              <w:jc w:val="center"/>
            </w:pPr>
            <w:r>
              <w:rPr>
                <w:sz w:val="19"/>
              </w:rPr>
              <w:t>Imputación Temporal</w:t>
            </w:r>
          </w:p>
        </w:tc>
        <w:tc>
          <w:tcPr>
            <w:tcW w:type="dxa" w:w="2592"/>
            <w:shd w:fill="FFFFFF"/>
            <w:tcMar>
              <w:top w:w="100" w:type="dxa"/>
              <w:bottom w:w="100" w:type="dxa"/>
              <w:left w:w="150" w:type="dxa"/>
              <w:right w:w="150" w:type="dxa"/>
            </w:tcMar>
          </w:tcPr>
          <w:p>
            <w:pPr>
              <w:jc w:val="left"/>
            </w:pPr>
            <w:r>
              <w:rPr>
                <w:sz w:val="19"/>
              </w:rPr>
              <w:t>Mediana en días (epoch) por subgrupo</w:t>
            </w:r>
          </w:p>
        </w:tc>
        <w:tc>
          <w:tcPr>
            <w:tcW w:type="dxa" w:w="2880"/>
            <w:shd w:fill="FFFFFF"/>
            <w:tcMar>
              <w:top w:w="100" w:type="dxa"/>
              <w:bottom w:w="100" w:type="dxa"/>
              <w:left w:w="150" w:type="dxa"/>
              <w:right w:w="150" w:type="dxa"/>
            </w:tcMar>
          </w:tcPr>
          <w:p>
            <w:pPr>
              <w:jc w:val="left"/>
            </w:pPr>
            <w:r>
              <w:rPr>
                <w:sz w:val="19"/>
              </w:rPr>
              <w:t>Fecha base calculada (1970 / global)</w:t>
            </w:r>
          </w:p>
        </w:tc>
      </w:tr>
      <w:tr>
        <w:tc>
          <w:tcPr>
            <w:tcW w:type="dxa" w:w="2160"/>
            <w:shd w:fill="F7FAFC"/>
            <w:tcMar>
              <w:top w:w="100" w:type="dxa"/>
              <w:bottom w:w="100" w:type="dxa"/>
              <w:left w:w="150" w:type="dxa"/>
              <w:right w:w="150" w:type="dxa"/>
            </w:tcMar>
          </w:tcPr>
          <w:p>
            <w:pPr>
              <w:jc w:val="left"/>
            </w:pPr>
            <w:r>
              <w:rPr>
                <w:sz w:val="19"/>
              </w:rPr>
              <w:t>Calificación (performance_rating)</w:t>
            </w:r>
          </w:p>
        </w:tc>
        <w:tc>
          <w:tcPr>
            <w:tcW w:type="dxa" w:w="1728"/>
            <w:shd w:fill="F7FAFC"/>
            <w:tcMar>
              <w:top w:w="100" w:type="dxa"/>
              <w:bottom w:w="100" w:type="dxa"/>
              <w:left w:w="150" w:type="dxa"/>
              <w:right w:w="150" w:type="dxa"/>
            </w:tcMar>
          </w:tcPr>
          <w:p>
            <w:pPr>
              <w:jc w:val="center"/>
            </w:pPr>
            <w:r>
              <w:rPr>
                <w:sz w:val="19"/>
              </w:rPr>
              <w:t>Estrategia Adaptativa</w:t>
            </w:r>
          </w:p>
        </w:tc>
        <w:tc>
          <w:tcPr>
            <w:tcW w:type="dxa" w:w="2592"/>
            <w:shd w:fill="F7FAFC"/>
            <w:tcMar>
              <w:top w:w="100" w:type="dxa"/>
              <w:bottom w:w="100" w:type="dxa"/>
              <w:left w:w="150" w:type="dxa"/>
              <w:right w:w="150" w:type="dxa"/>
            </w:tcMar>
          </w:tcPr>
          <w:p>
            <w:pPr>
              <w:jc w:val="left"/>
            </w:pPr>
            <w:r>
              <w:rPr>
                <w:sz w:val="19"/>
              </w:rPr>
              <w:t>Moda del subgrupo (si &lt; 3% de nulos)</w:t>
            </w:r>
          </w:p>
        </w:tc>
        <w:tc>
          <w:tcPr>
            <w:tcW w:type="dxa" w:w="2880"/>
            <w:shd w:fill="F7FAFC"/>
            <w:tcMar>
              <w:top w:w="100" w:type="dxa"/>
              <w:bottom w:w="100" w:type="dxa"/>
              <w:left w:w="150" w:type="dxa"/>
              <w:right w:w="150" w:type="dxa"/>
            </w:tcMar>
          </w:tcPr>
          <w:p>
            <w:pPr>
              <w:jc w:val="left"/>
            </w:pPr>
            <w:r>
              <w:rPr>
                <w:sz w:val="19"/>
              </w:rPr>
              <w:t>Categoría control 'Unknown' / Eliminación</w:t>
            </w:r>
          </w:p>
        </w:tc>
      </w:tr>
      <w:tr>
        <w:tc>
          <w:tcPr>
            <w:tcW w:type="dxa" w:w="2160"/>
            <w:shd w:fill="FFFFFF"/>
            <w:tcMar>
              <w:top w:w="100" w:type="dxa"/>
              <w:bottom w:w="100" w:type="dxa"/>
              <w:left w:w="150" w:type="dxa"/>
              <w:right w:w="150" w:type="dxa"/>
            </w:tcMar>
          </w:tcPr>
          <w:p>
            <w:pPr>
              <w:jc w:val="left"/>
            </w:pPr>
            <w:r>
              <w:rPr>
                <w:sz w:val="19"/>
              </w:rPr>
              <w:t>Campos Categóricos</w:t>
            </w:r>
          </w:p>
        </w:tc>
        <w:tc>
          <w:tcPr>
            <w:tcW w:type="dxa" w:w="1728"/>
            <w:shd w:fill="FFFFFF"/>
            <w:tcMar>
              <w:top w:w="100" w:type="dxa"/>
              <w:bottom w:w="100" w:type="dxa"/>
              <w:left w:w="150" w:type="dxa"/>
              <w:right w:w="150" w:type="dxa"/>
            </w:tcMar>
          </w:tcPr>
          <w:p>
            <w:pPr>
              <w:jc w:val="center"/>
            </w:pPr>
            <w:r>
              <w:rPr>
                <w:sz w:val="19"/>
              </w:rPr>
              <w:t>Estandarización</w:t>
            </w:r>
          </w:p>
        </w:tc>
        <w:tc>
          <w:tcPr>
            <w:tcW w:type="dxa" w:w="2592"/>
            <w:shd w:fill="FFFFFF"/>
            <w:tcMar>
              <w:top w:w="100" w:type="dxa"/>
              <w:bottom w:w="100" w:type="dxa"/>
              <w:left w:w="150" w:type="dxa"/>
              <w:right w:w="150" w:type="dxa"/>
            </w:tcMar>
          </w:tcPr>
          <w:p>
            <w:pPr>
              <w:jc w:val="left"/>
            </w:pPr>
            <w:r>
              <w:rPr>
                <w:sz w:val="19"/>
              </w:rPr>
              <w:t>Asignación de Valor Centinela Fijo</w:t>
            </w:r>
          </w:p>
        </w:tc>
        <w:tc>
          <w:tcPr>
            <w:tcW w:type="dxa" w:w="2880"/>
            <w:shd w:fill="FFFFFF"/>
            <w:tcMar>
              <w:top w:w="100" w:type="dxa"/>
              <w:bottom w:w="100" w:type="dxa"/>
              <w:left w:w="150" w:type="dxa"/>
              <w:right w:w="150" w:type="dxa"/>
            </w:tcMar>
          </w:tcPr>
          <w:p>
            <w:pPr>
              <w:jc w:val="left"/>
            </w:pPr>
            <w:r>
              <w:rPr>
                <w:sz w:val="19"/>
              </w:rPr>
              <w:t>Marcado de auditoría del sistema</w:t>
            </w:r>
          </w:p>
        </w:tc>
      </w:tr>
    </w:tbl>
    <w:p>
      <w:pPr>
        <w:spacing w:before="240"/>
      </w:pPr>
    </w:p>
    <w:p>
      <w:pPr>
        <w:pStyle w:val="Heading1"/>
        <w:keepNext/>
        <w:spacing w:before="360" w:after="120"/>
      </w:pPr>
      <w:r>
        <w:rPr>
          <w:rFonts w:ascii="Arial" w:hAnsi="Arial"/>
          <w:color w:val="1A365D"/>
        </w:rPr>
        <w:t>4. Consideraciones Técnicas de Control y Calidad</w:t>
      </w:r>
    </w:p>
    <w:p>
      <w:r>
        <w:t>El pipeline está diseñado bajo un principio de tolerancia controlada. Cada etapa genera métricas automáticas de auditoría que permiten cuantificar el volumen de registros modificados. Si un lote de datos presenta un comportamiento anómalo recurrente (por ejemplo, salarios globales en cero o pérdida masiva de nombres), las salvaguardas finales actúan como mallas de seguridad inyectando valores por defecto controlados, garantizando de esta forma que la base final resultante esté completamente limpia, libre de nulos y estructurada para uso inmediato de la organización.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