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97D" w:val="clear"/>
        <w:spacing w:after="0"/>
      </w:pPr>
      <w:r>
        <w:rPr>
          <w:sz w:val="2"/>
          <w:szCs w:val="2"/>
        </w:rPr>
        <w:t xml:space="preserve"> </w:t>
      </w:r>
    </w:p>
    <w:p>
      <w:pPr>
        <w:spacing w:after="0" w:before="1600"/>
      </w:pPr>
      <w:r>
        <w:t xml:space="preserve"/>
      </w:r>
    </w:p>
    <w:p>
      <w:pPr>
        <w:spacing w:after="100" w:before="400"/>
        <w:jc w:val="center"/>
      </w:pPr>
      <w:r>
        <w:rPr>
          <w:rFonts w:ascii="Calibri" w:cs="Calibri" w:eastAsia="Calibri" w:hAnsi="Calibri"/>
          <w:b/>
          <w:bCs/>
          <w:color w:val="F2A900"/>
          <w:sz w:val="40"/>
          <w:szCs w:val="40"/>
        </w:rPr>
        <w:t xml:space="preserve">DUOC UC</w:t>
      </w:r>
    </w:p>
    <w:p>
      <w:pPr>
        <w:pBdr>
          <w:bottom w:val="single" w:color="4F81BD" w:sz="12" w:space="10"/>
        </w:pBdr>
        <w:spacing w:after="600"/>
        <w:jc w:val="center"/>
      </w:pPr>
      <w:r>
        <w:rPr>
          <w:rFonts w:ascii="Calibri" w:cs="Calibri" w:eastAsia="Calibri" w:hAnsi="Calibri"/>
          <w:i/>
          <w:iCs/>
          <w:color w:val="595959"/>
          <w:sz w:val="20"/>
          <w:szCs w:val="20"/>
        </w:rPr>
        <w:t xml:space="preserve">Escuela de Informática y Telecomunicaciones</w:t>
      </w:r>
    </w:p>
    <w:p>
      <w:pPr>
        <w:spacing w:after="100" w:before="800"/>
        <w:jc w:val="center"/>
      </w:pPr>
      <w:r>
        <w:rPr>
          <w:rFonts w:ascii="Calibri" w:cs="Calibri" w:eastAsia="Calibri" w:hAnsi="Calibri"/>
          <w:b/>
          <w:bCs/>
          <w:color w:val="1F497D"/>
          <w:sz w:val="44"/>
          <w:szCs w:val="44"/>
        </w:rPr>
        <w:t xml:space="preserve">Informe Técnico</w:t>
      </w:r>
    </w:p>
    <w:p>
      <w:pPr>
        <w:spacing w:after="100"/>
        <w:jc w:val="center"/>
      </w:pPr>
      <w:r>
        <w:rPr>
          <w:rFonts w:ascii="Calibri" w:cs="Calibri" w:eastAsia="Calibri" w:hAnsi="Calibri"/>
          <w:b/>
          <w:bCs/>
          <w:color w:val="1A1A1A"/>
          <w:sz w:val="30"/>
          <w:szCs w:val="30"/>
        </w:rPr>
        <w:t xml:space="preserve">Migración a Orquestación de Contenedores en AWS ECS Fargate</w:t>
      </w:r>
    </w:p>
    <w:p>
      <w:pPr>
        <w:spacing w:after="500"/>
        <w:jc w:val="center"/>
      </w:pPr>
      <w:r>
        <w:rPr>
          <w:rFonts w:ascii="Calibri" w:cs="Calibri" w:eastAsia="Calibri" w:hAnsi="Calibri"/>
          <w:i/>
          <w:iCs/>
          <w:color w:val="4F81BD"/>
          <w:sz w:val="26"/>
          <w:szCs w:val="26"/>
        </w:rPr>
        <w:t xml:space="preserve">"Plataforma Grupo Cordillera"</w:t>
      </w:r>
    </w:p>
    <w:p>
      <w:pPr>
        <w:spacing w:after="100"/>
        <w:jc w:val="center"/>
      </w:pPr>
      <w:r>
        <w:rPr>
          <w:rFonts w:ascii="Calibri" w:cs="Calibri" w:eastAsia="Calibri" w:hAnsi="Calibri"/>
          <w:b/>
          <w:bCs/>
          <w:color w:val="1A1A1A"/>
          <w:sz w:val="24"/>
          <w:szCs w:val="24"/>
        </w:rPr>
        <w:t xml:space="preserve">Evaluación Parcial N°3 — Encargo con Presentación</w:t>
      </w:r>
    </w:p>
    <w:p>
      <w:pPr>
        <w:spacing w:after="800"/>
        <w:jc w:val="center"/>
      </w:pPr>
      <w:r>
        <w:rPr>
          <w:rFonts w:ascii="Calibri" w:cs="Calibri" w:eastAsia="Calibri" w:hAnsi="Calibri"/>
          <w:color w:val="595959"/>
          <w:sz w:val="22"/>
          <w:szCs w:val="22"/>
        </w:rPr>
        <w:t xml:space="preserve">ISY1101 — Introducción a Herramientas DevOps</w:t>
      </w:r>
    </w:p>
    <w:p>
      <w:pPr>
        <w:spacing w:after="60"/>
        <w:jc w:val="center"/>
      </w:pPr>
      <w:r>
        <w:rPr>
          <w:rFonts w:ascii="Calibri" w:cs="Calibri" w:eastAsia="Calibri" w:hAnsi="Calibri"/>
          <w:color w:val="1A1A1A"/>
          <w:sz w:val="20"/>
          <w:szCs w:val="20"/>
        </w:rPr>
        <w:t xml:space="preserve">Docente: [Nombre del docente a completar por la dupla]</w:t>
      </w:r>
    </w:p>
    <w:p>
      <w:pPr>
        <w:spacing w:after="60"/>
        <w:jc w:val="center"/>
      </w:pPr>
      <w:r>
        <w:rPr>
          <w:rFonts w:ascii="Calibri" w:cs="Calibri" w:eastAsia="Calibri" w:hAnsi="Calibri"/>
          <w:color w:val="1A1A1A"/>
          <w:sz w:val="20"/>
          <w:szCs w:val="20"/>
        </w:rPr>
        <w:t xml:space="preserve">Integrantes: Felipe Ulloa · Rodrigo Jara · Darío Morales</w:t>
      </w:r>
    </w:p>
    <w:p>
      <w:pPr>
        <w:spacing w:after="1200"/>
        <w:jc w:val="center"/>
      </w:pPr>
      <w:r>
        <w:rPr>
          <w:rFonts w:ascii="Calibri" w:cs="Calibri" w:eastAsia="Calibri" w:hAnsi="Calibri"/>
          <w:color w:val="595959"/>
          <w:sz w:val="20"/>
          <w:szCs w:val="20"/>
        </w:rPr>
        <w:t xml:space="preserve">Santiago de Chile, julio de 2026</w:t>
      </w:r>
    </w:p>
    <w:p>
      <w:r>
        <w:br w:type="page"/>
      </w:r>
    </w:p>
    <w:p>
      <w:pPr>
        <w:sectPr>
          <w:headerReference w:type="default" r:id="rId7"/>
          <w:footerReference w:type="default" r:id="rId8"/>
          <w:pgSz w:w="12240" w:h="15840" w:orient="portrait"/>
          <w:pgMar w:top="1440" w:right="1350" w:bottom="1440" w:left="1350" w:header="708" w:footer="708" w:gutter="0"/>
          <w:pgNumType/>
          <w:titlePg/>
          <w:docGrid w:linePitch="360"/>
        </w:sectPr>
      </w:pPr>
    </w:p>
    <w:p>
      <w:pPr>
        <w:pStyle w:val="Heading1"/>
        <w:spacing w:after="300"/>
      </w:pPr>
      <w:r>
        <w:rPr>
          <w:rFonts w:ascii="Calibri" w:cs="Calibri" w:eastAsia="Calibri" w:hAnsi="Calibri"/>
          <w:b/>
          <w:bCs/>
          <w:color w:val="1F497D"/>
          <w:sz w:val="30"/>
          <w:szCs w:val="30"/>
        </w:rPr>
        <w:t xml:space="preserve">Tabla de contenido</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4F81BD" w:sz="6" w:space="4"/>
        </w:pBdr>
        <w:spacing w:after="200" w:before="400"/>
      </w:pPr>
      <w:r>
        <w:rPr>
          <w:rFonts w:ascii="Calibri" w:cs="Calibri" w:eastAsia="Calibri" w:hAnsi="Calibri"/>
          <w:b/>
          <w:bCs/>
          <w:color w:val="1F497D"/>
          <w:sz w:val="30"/>
          <w:szCs w:val="30"/>
        </w:rPr>
        <w:t xml:space="preserve">Datos del documento</w:t>
      </w:r>
    </w:p>
    <w:p>
      <w:pPr>
        <w:pStyle w:val="Heading3"/>
        <w:spacing w:after="100" w:before="200"/>
      </w:pPr>
      <w:r>
        <w:rPr>
          <w:rFonts w:ascii="Calibri" w:cs="Calibri" w:eastAsia="Calibri" w:hAnsi="Calibri"/>
          <w:b/>
          <w:bCs/>
          <w:color w:val="4F81BD"/>
          <w:sz w:val="22"/>
          <w:szCs w:val="22"/>
        </w:rPr>
        <w:t xml:space="preserve">Histórico de versiones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1600"/>
        <w:gridCol w:w="4650"/>
        <w:gridCol w:w="1800"/>
      </w:tblGrid>
      <w:tr>
        <w:trPr>
          <w:tblHeader/>
        </w:trPr>
        <w:tc>
          <w:tcPr>
            <w:tcW w:type="dxa" w:w="1300"/>
            <w:shd w:fill="1F497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Versión</w:t>
            </w:r>
          </w:p>
        </w:tc>
        <w:tc>
          <w:tcPr>
            <w:tcW w:type="dxa" w:w="1600"/>
            <w:shd w:fill="1F497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Fecha</w:t>
            </w:r>
          </w:p>
        </w:tc>
        <w:tc>
          <w:tcPr>
            <w:tcW w:type="dxa" w:w="4650"/>
            <w:shd w:fill="1F497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Descripción / cambio</w:t>
            </w:r>
          </w:p>
        </w:tc>
        <w:tc>
          <w:tcPr>
            <w:tcW w:type="dxa" w:w="1800"/>
            <w:shd w:fill="1F497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Autores</w:t>
            </w:r>
          </w:p>
        </w:tc>
      </w:tr>
      <w:tr>
        <w:tc>
          <w:tcPr>
            <w:tcW w:type="dxa" w:w="13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1.0.0</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03/07/2026</w:t>
            </w:r>
          </w:p>
        </w:tc>
        <w:tc>
          <w:tcPr>
            <w:tcW w:type="dxa" w:w="465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Creación del informe para la Evaluación Parcial N°3, con base en la migración de la plataforma a AWS ECS Fargate.</w:t>
            </w:r>
          </w:p>
        </w:tc>
        <w:tc>
          <w:tcPr>
            <w:tcW w:type="dxa" w:w="18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Felipe Ulloa, Rodrigo Jara, Darío Morales</w:t>
            </w:r>
          </w:p>
        </w:tc>
      </w:tr>
    </w:tbl>
    <w:p>
      <w:pPr>
        <w:spacing w:before="300"/>
      </w:pPr>
    </w:p>
    <w:p>
      <w:pPr>
        <w:pStyle w:val="Heading3"/>
        <w:spacing w:after="100" w:before="200"/>
      </w:pPr>
      <w:r>
        <w:rPr>
          <w:rFonts w:ascii="Calibri" w:cs="Calibri" w:eastAsia="Calibri" w:hAnsi="Calibri"/>
          <w:b/>
          <w:bCs/>
          <w:color w:val="4F81BD"/>
          <w:sz w:val="22"/>
          <w:szCs w:val="22"/>
        </w:rPr>
        <w:t xml:space="preserve">Información del proyecto</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50"/>
      </w:tblGrid>
      <w:tr>
        <w:trPr>
          <w:tblHeader/>
        </w:trPr>
        <w:tc>
          <w:tcPr>
            <w:tcW w:type="dxa" w:w="3000"/>
            <w:shd w:fill="1F497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Campo</w:t>
            </w:r>
          </w:p>
        </w:tc>
        <w:tc>
          <w:tcPr>
            <w:tcW w:type="dxa" w:w="6350"/>
            <w:shd w:fill="1F497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Detalle</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Organización</w:t>
            </w:r>
          </w:p>
        </w:tc>
        <w:tc>
          <w:tcPr>
            <w:tcW w:type="dxa" w:w="635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Duoc UC — Escuela de Informática y Telecomunicaciones</w:t>
            </w:r>
          </w:p>
        </w:tc>
      </w:tr>
      <w:tr>
        <w:tc>
          <w:tcPr>
            <w:tcW w:type="dxa" w:w="300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Asignatura</w:t>
            </w:r>
          </w:p>
        </w:tc>
        <w:tc>
          <w:tcPr>
            <w:tcW w:type="dxa" w:w="635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ISY1101 — Introducción a Herramientas DevOps</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Evaluación</w:t>
            </w:r>
          </w:p>
        </w:tc>
        <w:tc>
          <w:tcPr>
            <w:tcW w:type="dxa" w:w="635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Evaluación Parcial N°3 — Encargo con Presentación (Orquestación y automatización en la nube)</w:t>
            </w:r>
          </w:p>
        </w:tc>
      </w:tr>
      <w:tr>
        <w:tc>
          <w:tcPr>
            <w:tcW w:type="dxa" w:w="300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Proyecto</w:t>
            </w:r>
          </w:p>
        </w:tc>
        <w:tc>
          <w:tcPr>
            <w:tcW w:type="dxa" w:w="635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Plataforma Grupo Cordillera — sistema de monitoreo empresarial basado en microservicios</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Caso de negocio</w:t>
            </w:r>
          </w:p>
        </w:tc>
        <w:tc>
          <w:tcPr>
            <w:tcW w:type="dxa" w:w="635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Innovatech Chile — automatización y orquestación productiva sobre la infraestructura base construida en EP1 y EP2</w:t>
            </w:r>
          </w:p>
        </w:tc>
      </w:tr>
      <w:tr>
        <w:tc>
          <w:tcPr>
            <w:tcW w:type="dxa" w:w="300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Repositorio principal</w:t>
            </w:r>
          </w:p>
        </w:tc>
        <w:tc>
          <w:tcPr>
            <w:tcW w:type="dxa" w:w="635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github.com/dariomorales1/Fullstack3</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Rama principal de despliegue</w:t>
            </w:r>
          </w:p>
        </w:tc>
        <w:tc>
          <w:tcPr>
            <w:tcW w:type="dxa" w:w="635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master</w:t>
            </w:r>
          </w:p>
        </w:tc>
      </w:tr>
      <w:tr>
        <w:tc>
          <w:tcPr>
            <w:tcW w:type="dxa" w:w="300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Tecnologías principales</w:t>
            </w:r>
          </w:p>
        </w:tc>
        <w:tc>
          <w:tcPr>
            <w:tcW w:type="dxa" w:w="635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AWS ECS Fargate, Amazon ECR, ALB, RDS PostgreSQL, Secrets Manager, CloudWatch, GitHub Actions, Docker</w:t>
            </w:r>
          </w:p>
        </w:tc>
      </w:tr>
    </w:tbl>
    <w:p>
      <w:pPr>
        <w:spacing w:before="300"/>
      </w:pPr>
    </w:p>
    <w:p>
      <w:pPr>
        <w:pStyle w:val="Heading3"/>
        <w:spacing w:after="100" w:before="200"/>
      </w:pPr>
      <w:r>
        <w:rPr>
          <w:rFonts w:ascii="Calibri" w:cs="Calibri" w:eastAsia="Calibri" w:hAnsi="Calibri"/>
          <w:b/>
          <w:bCs/>
          <w:color w:val="4F81BD"/>
          <w:sz w:val="22"/>
          <w:szCs w:val="22"/>
        </w:rPr>
        <w:t xml:space="preserve">Integrantes y responsabilidades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2200"/>
        <w:gridCol w:w="5150"/>
      </w:tblGrid>
      <w:tr>
        <w:trPr>
          <w:tblHeader/>
        </w:trPr>
        <w:tc>
          <w:tcPr>
            <w:tcW w:type="dxa" w:w="2000"/>
            <w:shd w:fill="1F497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Nombre</w:t>
            </w:r>
          </w:p>
        </w:tc>
        <w:tc>
          <w:tcPr>
            <w:tcW w:type="dxa" w:w="2200"/>
            <w:shd w:fill="1F497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Módulo a cargo</w:t>
            </w:r>
          </w:p>
        </w:tc>
        <w:tc>
          <w:tcPr>
            <w:tcW w:type="dxa" w:w="5150"/>
            <w:shd w:fill="1F497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Aporte principal en esta entrega</w:t>
            </w:r>
          </w:p>
        </w:tc>
      </w:tr>
      <w:tr>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Rodrigo Jara</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Infraestructura</w:t>
            </w:r>
          </w:p>
        </w:tc>
        <w:tc>
          <w:tcPr>
            <w:tcW w:type="dxa" w:w="515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Diseño y aprovisionamiento de la red (VPC, subredes, Security Groups), configuración del clúster ECS, ALB y roles IAM.</w:t>
            </w:r>
          </w:p>
        </w:tc>
      </w:tr>
      <w:tr>
        <w:tc>
          <w:tcPr>
            <w:tcW w:type="dxa" w:w="200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Darío Morales</w:t>
            </w:r>
          </w:p>
        </w:tc>
        <w:tc>
          <w:tcPr>
            <w:tcW w:type="dxa" w:w="220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Data Sources</w:t>
            </w:r>
          </w:p>
        </w:tc>
        <w:tc>
          <w:tcPr>
            <w:tcW w:type="dxa" w:w="515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Adaptación de los microservicios de datos a Fargate, Dockerfiles, Task Definitions y soporte del pipeline de despliegue.</w:t>
            </w:r>
          </w:p>
        </w:tc>
      </w:tr>
      <w:tr>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Felipe Ulloa</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Core Intelligence y Frontend</w:t>
            </w:r>
          </w:p>
        </w:tc>
        <w:tc>
          <w:tcPr>
            <w:tcW w:type="dxa" w:w="515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Configuración de Service Connect, autoscaling, integración del frontend con el ALB y redacción de esta documentación.</w:t>
            </w:r>
          </w:p>
        </w:tc>
      </w:tr>
    </w:tbl>
    <w:p>
      <w:r>
        <w:br w:type="page"/>
      </w:r>
    </w:p>
    <w:p>
      <w:pPr>
        <w:pStyle w:val="Heading1"/>
        <w:pBdr>
          <w:bottom w:val="single" w:color="4F81BD" w:sz="6" w:space="4"/>
        </w:pBdr>
        <w:spacing w:after="200" w:before="400"/>
      </w:pPr>
      <w:r>
        <w:rPr>
          <w:rFonts w:ascii="Calibri" w:cs="Calibri" w:eastAsia="Calibri" w:hAnsi="Calibri"/>
          <w:b/>
          <w:bCs/>
          <w:color w:val="1F497D"/>
          <w:sz w:val="30"/>
          <w:szCs w:val="30"/>
        </w:rPr>
        <w:t xml:space="preserve">Introducción</w:t>
      </w:r>
    </w:p>
    <w:p>
      <w:pPr>
        <w:spacing w:after="180" w:line="276"/>
        <w:jc w:val="both"/>
      </w:pPr>
      <w:r>
        <w:rPr>
          <w:rFonts w:ascii="Calibri" w:cs="Calibri" w:eastAsia="Calibri" w:hAnsi="Calibri"/>
          <w:color w:val="1A1A1A"/>
          <w:sz w:val="21"/>
          <w:szCs w:val="21"/>
        </w:rPr>
        <w:t xml:space="preserve">Este informe documenta el trabajo realizado por el equipo Grupo Cordillera en la Evaluación Parcial N°3 de la asignatura ISY1101, correspondiente a la migración de la plataforma de monitoreo empresarial desde un esquema de despliegue manual sobre instancias EC2 con Docker Compose hacia un entorno de orquestación de contenedores en AWS ECS Fargate. El proyecto arrastra dos etapas previas: en EP1 se levantó la infraestructura base en AWS (VPC, EC2, RDS) y en EP2 se completó la contenedorización de los doce servicios que componen el sistema. Esta tercera etapa exige dar el salto desde contenedores administrados manualmente hacia un clúster capaz de escalar, autorecuperarse y desplegarse de forma automática ante cada cambio en el repositorio.</w:t>
      </w:r>
    </w:p>
    <w:p>
      <w:pPr>
        <w:spacing w:after="180" w:line="276"/>
        <w:jc w:val="both"/>
      </w:pPr>
      <w:r>
        <w:rPr>
          <w:rFonts w:ascii="Calibri" w:cs="Calibri" w:eastAsia="Calibri" w:hAnsi="Calibri"/>
          <w:color w:val="1A1A1A"/>
          <w:sz w:val="21"/>
          <w:szCs w:val="21"/>
        </w:rPr>
        <w:t xml:space="preserve">La plataforma Grupo Cordillera centraliza información de ventas, inventario, finanzas y clientes para la alta gerencia de una organización retail, consolidando esos datos en indicadores y reportes ejecutivos accesibles desde un dashboard único. Su arquitectura de microservicios —heredada de las evaluaciones anteriores— separa responsabilidades entre un frontend React, un API Gateway, un BFF orquestador, servicios de inteligencia de negocio y cuatro fuentes de datos independientes, cada una con su propia base de datos lógica sobre una instancia PostgreSQL en RDS.</w:t>
      </w:r>
    </w:p>
    <w:p>
      <w:pPr>
        <w:spacing w:after="180" w:line="276"/>
        <w:jc w:val="both"/>
      </w:pPr>
      <w:r>
        <w:rPr>
          <w:rFonts w:ascii="Calibri" w:cs="Calibri" w:eastAsia="Calibri" w:hAnsi="Calibri"/>
          <w:color w:val="1A1A1A"/>
          <w:sz w:val="21"/>
          <w:szCs w:val="21"/>
        </w:rPr>
        <w:t xml:space="preserve">El documento describe la arquitectura final desplegada en ECS Fargate, las decisiones tomadas durante la migración —incluyendo el abandono de Eureka como mecanismo de descubrimiento de servicios en favor de ECS Service Connect—, la configuración de autoscaling y balanceo de carga, el pipeline de CI/CD adaptado a la nueva infraestructura, la gestión de secretos y el monitoreo mediante CloudWatch. También se incluye la evidencia de validación funcional, la prueba de carga ejecutada sobre el servicio de KPIs y los dos escenarios de resiliencia probados sobre ms-reporting, junto con un análisis honesto de los resultados obtenidos, incluyendo aquello que no se comportó exactamente como se esperaba.</w:t>
      </w:r>
    </w:p>
    <w:p>
      <w:pPr>
        <w:pStyle w:val="Heading1"/>
        <w:pBdr>
          <w:bottom w:val="single" w:color="4F81BD" w:sz="6" w:space="4"/>
        </w:pBdr>
        <w:spacing w:after="200" w:before="400"/>
      </w:pPr>
      <w:r>
        <w:rPr>
          <w:rFonts w:ascii="Calibri" w:cs="Calibri" w:eastAsia="Calibri" w:hAnsi="Calibri"/>
          <w:b/>
          <w:bCs/>
          <w:color w:val="1F497D"/>
          <w:sz w:val="30"/>
          <w:szCs w:val="30"/>
        </w:rPr>
        <w:t xml:space="preserve">Objetivos</w:t>
      </w:r>
    </w:p>
    <w:p>
      <w:pPr>
        <w:pStyle w:val="Heading2"/>
        <w:spacing w:after="150" w:before="300"/>
      </w:pPr>
      <w:r>
        <w:rPr>
          <w:rFonts w:ascii="Calibri" w:cs="Calibri" w:eastAsia="Calibri" w:hAnsi="Calibri"/>
          <w:b/>
          <w:bCs/>
          <w:color w:val="1F497D"/>
          <w:sz w:val="25"/>
          <w:szCs w:val="25"/>
        </w:rPr>
        <w:t xml:space="preserve">Objetivo general</w:t>
      </w:r>
    </w:p>
    <w:p>
      <w:pPr>
        <w:spacing w:after="180" w:line="276"/>
        <w:jc w:val="both"/>
      </w:pPr>
      <w:r>
        <w:rPr>
          <w:rFonts w:ascii="Calibri" w:cs="Calibri" w:eastAsia="Calibri" w:hAnsi="Calibri"/>
          <w:color w:val="1A1A1A"/>
          <w:sz w:val="21"/>
          <w:szCs w:val="21"/>
        </w:rPr>
        <w:t xml:space="preserve">Migrar la plataforma Grupo Cordillera desde un despliegue basado en instancias EC2 con Docker Compose hacia un clúster de contenedores orquestado en AWS ECS Fargate, garantizando alta disponibilidad, escalabilidad automática, recuperación ante fallos y despliegue continuo mediante GitHub Actions, sin interrumpir la operación del entorno productivo existente durante el proceso.</w:t>
      </w:r>
    </w:p>
    <w:p>
      <w:pPr>
        <w:pStyle w:val="Heading2"/>
        <w:spacing w:after="150" w:before="300"/>
      </w:pPr>
      <w:r>
        <w:rPr>
          <w:rFonts w:ascii="Calibri" w:cs="Calibri" w:eastAsia="Calibri" w:hAnsi="Calibri"/>
          <w:b/>
          <w:bCs/>
          <w:color w:val="1F497D"/>
          <w:sz w:val="25"/>
          <w:szCs w:val="25"/>
        </w:rPr>
        <w:t xml:space="preserve">Objetivos específicos</w:t>
      </w:r>
    </w:p>
    <w:p>
      <w:pPr>
        <w:pStyle w:val="ListParagraph"/>
        <w:numPr>
          <w:ilvl w:val="0"/>
          <w:numId w:val="1"/>
        </w:numPr>
        <w:spacing w:after="100" w:line="270"/>
        <w:jc w:val="both"/>
      </w:pPr>
      <w:r>
        <w:rPr>
          <w:rFonts w:ascii="Calibri" w:cs="Calibri" w:eastAsia="Calibri" w:hAnsi="Calibri"/>
          <w:color w:val="1A1A1A"/>
          <w:sz w:val="21"/>
          <w:szCs w:val="21"/>
        </w:rPr>
        <w:t xml:space="preserve">Configurar un clúster ECS Fargate con doce servicios, red interna vía Service Connect y roles IAM diferenciados para ejecución y para las tareas.</w:t>
      </w:r>
    </w:p>
    <w:p>
      <w:pPr>
        <w:pStyle w:val="ListParagraph"/>
        <w:numPr>
          <w:ilvl w:val="0"/>
          <w:numId w:val="1"/>
        </w:numPr>
        <w:spacing w:after="100" w:line="270"/>
        <w:jc w:val="both"/>
      </w:pPr>
      <w:r>
        <w:rPr>
          <w:rFonts w:ascii="Calibri" w:cs="Calibri" w:eastAsia="Calibri" w:hAnsi="Calibri"/>
          <w:color w:val="1A1A1A"/>
          <w:sz w:val="21"/>
          <w:szCs w:val="21"/>
        </w:rPr>
        <w:t xml:space="preserve">Desplegar el frontend y los servicios backend utilizando imágenes publicadas en Amazon ECR, exponiendo únicamente el frontend a través de un Application Load Balancer.</w:t>
      </w:r>
    </w:p>
    <w:p>
      <w:pPr>
        <w:pStyle w:val="ListParagraph"/>
        <w:numPr>
          <w:ilvl w:val="0"/>
          <w:numId w:val="1"/>
        </w:numPr>
        <w:spacing w:after="100" w:line="270"/>
        <w:jc w:val="both"/>
      </w:pPr>
      <w:r>
        <w:rPr>
          <w:rFonts w:ascii="Calibri" w:cs="Calibri" w:eastAsia="Calibri" w:hAnsi="Calibri"/>
          <w:color w:val="1A1A1A"/>
          <w:sz w:val="21"/>
          <w:szCs w:val="21"/>
        </w:rPr>
        <w:t xml:space="preserve">Configurar autoscaling basado en Target Tracking sobre los servicios con mayor carga (api-gateway, bff y ms-kpis), justificando los umbrales elegidos.</w:t>
      </w:r>
    </w:p>
    <w:p>
      <w:pPr>
        <w:pStyle w:val="ListParagraph"/>
        <w:numPr>
          <w:ilvl w:val="0"/>
          <w:numId w:val="1"/>
        </w:numPr>
        <w:spacing w:after="100" w:line="270"/>
        <w:jc w:val="both"/>
      </w:pPr>
      <w:r>
        <w:rPr>
          <w:rFonts w:ascii="Calibri" w:cs="Calibri" w:eastAsia="Calibri" w:hAnsi="Calibri"/>
          <w:color w:val="1A1A1A"/>
          <w:sz w:val="21"/>
          <w:szCs w:val="21"/>
        </w:rPr>
        <w:t xml:space="preserve">Extender el pipeline de CI/CD existente para que, ante cada push a la rama principal, reconstruya las imágenes, las publique en ECR y actualice las doce Task Definitions en ECS.</w:t>
      </w:r>
    </w:p>
    <w:p>
      <w:pPr>
        <w:pStyle w:val="ListParagraph"/>
        <w:numPr>
          <w:ilvl w:val="0"/>
          <w:numId w:val="1"/>
        </w:numPr>
        <w:spacing w:after="100" w:line="270"/>
        <w:jc w:val="both"/>
      </w:pPr>
      <w:r>
        <w:rPr>
          <w:rFonts w:ascii="Calibri" w:cs="Calibri" w:eastAsia="Calibri" w:hAnsi="Calibri"/>
          <w:color w:val="1A1A1A"/>
          <w:sz w:val="21"/>
          <w:szCs w:val="21"/>
        </w:rPr>
        <w:t xml:space="preserve">Centralizar la gestión de credenciales sensibles (base de datos, JWT, API de correo) en AWS Secrets Manager, evitando su exposición en el código o en los archivos de configuración.</w:t>
      </w:r>
    </w:p>
    <w:p>
      <w:pPr>
        <w:pStyle w:val="ListParagraph"/>
        <w:numPr>
          <w:ilvl w:val="0"/>
          <w:numId w:val="1"/>
        </w:numPr>
        <w:spacing w:after="100" w:line="270"/>
        <w:jc w:val="both"/>
      </w:pPr>
      <w:r>
        <w:rPr>
          <w:rFonts w:ascii="Calibri" w:cs="Calibri" w:eastAsia="Calibri" w:hAnsi="Calibri"/>
          <w:color w:val="1A1A1A"/>
          <w:sz w:val="21"/>
          <w:szCs w:val="21"/>
        </w:rPr>
        <w:t xml:space="preserve">Habilitar observabilidad mediante CloudWatch Logs y un dashboard de métricas por servicio.</w:t>
      </w:r>
    </w:p>
    <w:p>
      <w:pPr>
        <w:pStyle w:val="ListParagraph"/>
        <w:numPr>
          <w:ilvl w:val="0"/>
          <w:numId w:val="1"/>
        </w:numPr>
        <w:spacing w:after="100" w:line="270"/>
        <w:jc w:val="both"/>
      </w:pPr>
      <w:r>
        <w:rPr>
          <w:rFonts w:ascii="Calibri" w:cs="Calibri" w:eastAsia="Calibri" w:hAnsi="Calibri"/>
          <w:color w:val="1A1A1A"/>
          <w:sz w:val="21"/>
          <w:szCs w:val="21"/>
        </w:rPr>
        <w:t xml:space="preserve">Validar funcionalmente el sistema end-to-end y documentar pruebas de carga y de resiliencia con evidencia real, incluyendo los resultados que no coincidieron con lo esperado.</w:t>
      </w:r>
    </w:p>
    <w:p>
      <w:r>
        <w:br w:type="page"/>
      </w:r>
    </w:p>
    <w:p>
      <w:pPr>
        <w:pStyle w:val="Heading1"/>
        <w:pBdr>
          <w:bottom w:val="single" w:color="4F81BD" w:sz="6" w:space="4"/>
        </w:pBdr>
        <w:spacing w:after="200" w:before="400"/>
      </w:pPr>
      <w:r>
        <w:rPr>
          <w:rFonts w:ascii="Calibri" w:cs="Calibri" w:eastAsia="Calibri" w:hAnsi="Calibri"/>
          <w:b/>
          <w:bCs/>
          <w:color w:val="1F497D"/>
          <w:sz w:val="30"/>
          <w:szCs w:val="30"/>
        </w:rPr>
        <w:t xml:space="preserve">Descripción del proyecto</w:t>
      </w:r>
    </w:p>
    <w:p>
      <w:pPr>
        <w:pStyle w:val="Heading2"/>
        <w:spacing w:after="150" w:before="300"/>
      </w:pPr>
      <w:r>
        <w:rPr>
          <w:rFonts w:ascii="Calibri" w:cs="Calibri" w:eastAsia="Calibri" w:hAnsi="Calibri"/>
          <w:b/>
          <w:bCs/>
          <w:color w:val="1F497D"/>
          <w:sz w:val="25"/>
          <w:szCs w:val="25"/>
        </w:rPr>
        <w:t xml:space="preserve">Problema</w:t>
      </w:r>
    </w:p>
    <w:p>
      <w:pPr>
        <w:spacing w:after="180" w:line="276"/>
        <w:jc w:val="both"/>
      </w:pPr>
      <w:r>
        <w:rPr>
          <w:rFonts w:ascii="Calibri" w:cs="Calibri" w:eastAsia="Calibri" w:hAnsi="Calibri"/>
          <w:color w:val="1A1A1A"/>
          <w:sz w:val="21"/>
          <w:szCs w:val="21"/>
        </w:rPr>
        <w:t xml:space="preserve">Al cierre de la Evaluación Parcial N°2, la plataforma se encontraba desplegada sobre cuatro instancias EC2 t3.micro, cada una ejecutando distintos servicios mediante Docker Compose y coordinadas por un pipeline de GitHub Actions que realizaba el despliegue por SSH con ProxyJump hacia las instancias privadas. Este esquema cumplía el objetivo de contenedorizar la aplicación, pero no constituye un clúster de orquestación: no existe reposición automática de contenedores caídos, el escalamiento es inexistente y cualquier cambio de imagen requiere que el pipeline se conecte una a una a las cuatro máquinas y reinicie los contenedores manualmente. Además, el registro de servicios vía Eureka exponía un problema de fondo: cada microservicio se anunciaba con la IP interna de su propio contenedor Docker, válida solo dentro de su host, lo que en más de una ocasión provocó errores de conectividad entre instancias distintas.</w:t>
      </w:r>
    </w:p>
    <w:p>
      <w:pPr>
        <w:pStyle w:val="Heading2"/>
        <w:spacing w:after="150" w:before="300"/>
      </w:pPr>
      <w:r>
        <w:rPr>
          <w:rFonts w:ascii="Calibri" w:cs="Calibri" w:eastAsia="Calibri" w:hAnsi="Calibri"/>
          <w:b/>
          <w:bCs/>
          <w:color w:val="1F497D"/>
          <w:sz w:val="25"/>
          <w:szCs w:val="25"/>
        </w:rPr>
        <w:t xml:space="preserve">Necesidad</w:t>
      </w:r>
    </w:p>
    <w:p>
      <w:pPr>
        <w:spacing w:after="180" w:line="276"/>
        <w:jc w:val="both"/>
      </w:pPr>
      <w:r>
        <w:rPr>
          <w:rFonts w:ascii="Calibri" w:cs="Calibri" w:eastAsia="Calibri" w:hAnsi="Calibri"/>
          <w:color w:val="1A1A1A"/>
          <w:sz w:val="21"/>
          <w:szCs w:val="21"/>
        </w:rPr>
        <w:t xml:space="preserve">La pauta de esta evaluación exige demostrar competencias de orquestación real: creación de un clúster ECS o EKS, despliegue de servicios administrados por el propio orquestador, autoscaling verificable, un pipeline que automatice build, push y deploy, y evidencia de que el sistema tolera fallos y se recupera sin intervención manual. Ninguno de estos puntos se satisface con el esquema EC2 más Docker Compose heredado de EP2, por lo que la necesidad concreta de esta etapa es migrar la capa de ejecución de los contenedores hacia un orquestador gestionado, conservando la base de datos, el registro de imágenes y el resto de la infraestructura de red ya construida.</w:t>
      </w:r>
    </w:p>
    <w:p>
      <w:pPr>
        <w:pStyle w:val="Heading2"/>
        <w:spacing w:after="150" w:before="300"/>
      </w:pPr>
      <w:r>
        <w:rPr>
          <w:rFonts w:ascii="Calibri" w:cs="Calibri" w:eastAsia="Calibri" w:hAnsi="Calibri"/>
          <w:b/>
          <w:bCs/>
          <w:color w:val="1F497D"/>
          <w:sz w:val="25"/>
          <w:szCs w:val="25"/>
        </w:rPr>
        <w:t xml:space="preserve">Solución propuesta</w:t>
      </w:r>
    </w:p>
    <w:p>
      <w:pPr>
        <w:spacing w:after="180" w:line="276"/>
        <w:jc w:val="both"/>
      </w:pPr>
      <w:r>
        <w:rPr>
          <w:rFonts w:ascii="Calibri" w:cs="Calibri" w:eastAsia="Calibri" w:hAnsi="Calibri"/>
          <w:color w:val="1A1A1A"/>
          <w:sz w:val="21"/>
          <w:szCs w:val="21"/>
        </w:rPr>
        <w:t xml:space="preserve">Se optó por AWS ECS en modo Fargate por sobre EKS. La razón principal es operativa: Fargate elimina la administración de nodos (no hay que dimensionar ni parchar instancias EC2 para el clúster), lo que reduce la superficie de configuración en un proyecto académico con un plazo de una semana y un presupuesto de laboratorio acotado. ECS también se integra de forma más directa con el resto del stack ya usado en EP1 y EP2 —IAM, ALB, CloudWatch, Secrets Manager— sin necesitar herramientas adicionales de la familia Kubernetes.</w:t>
      </w:r>
    </w:p>
    <w:p>
      <w:pPr>
        <w:spacing w:after="180" w:line="276"/>
        <w:jc w:val="both"/>
      </w:pPr>
      <w:r>
        <w:rPr>
          <w:rFonts w:ascii="Calibri" w:cs="Calibri" w:eastAsia="Calibri" w:hAnsi="Calibri"/>
          <w:color w:val="1A1A1A"/>
          <w:sz w:val="21"/>
          <w:szCs w:val="21"/>
        </w:rPr>
        <w:t xml:space="preserve">La solución final reutiliza la VPC, las subredes y la instancia RDS creadas en EP1, y las doce imágenes ya publicadas en ECR desde EP2. Sobre esa base se creó un clúster ECS Fargate con doce servicios — todos los backend en modo privado, sin IP pública — un único Application Load Balancer expuesto a internet apuntando al frontend, comunicación interna resuelta por ECS Service Connect y autoscaling por Target Tracking en los tres servicios con mayor variabilidad de carga. El pipeline de GitHub Actions se extendió para registrar una nueva revisión de cada Task Definition y forzar el despliegue en el servicio correspondiente ante cada push a master, con Deployment Circuit Breaker habilitado para revertir automáticamente un despliegue que falle sus health checks.</w:t>
      </w:r>
    </w:p>
    <w:p>
      <w:pPr>
        <w:spacing w:after="180" w:line="276"/>
        <w:jc w:val="both"/>
      </w:pPr>
      <w:r>
        <w:rPr>
          <w:rFonts w:ascii="Calibri" w:cs="Calibri" w:eastAsia="Calibri" w:hAnsi="Calibri"/>
          <w:color w:val="1A1A1A"/>
          <w:sz w:val="21"/>
          <w:szCs w:val="21"/>
        </w:rPr>
        <w:t xml:space="preserve">La migración se ejecutó dentro de una ventana de validación de 48 horas, manteniendo el entorno EC2 anterior encendido y sin modificaciones hasta confirmar que ECS funcionaba de extremo a extremo, de manera que en ningún momento el sistema en producción quedó sin un entorno funcional respaldando la operación.</w:t>
      </w:r>
    </w:p>
    <w:p>
      <w:r>
        <w:br w:type="page"/>
      </w:r>
    </w:p>
    <w:p>
      <w:pPr>
        <w:pStyle w:val="Heading1"/>
        <w:pBdr>
          <w:bottom w:val="single" w:color="4F81BD" w:sz="6" w:space="4"/>
        </w:pBdr>
        <w:spacing w:after="200" w:before="400"/>
      </w:pPr>
      <w:r>
        <w:rPr>
          <w:rFonts w:ascii="Calibri" w:cs="Calibri" w:eastAsia="Calibri" w:hAnsi="Calibri"/>
          <w:b/>
          <w:bCs/>
          <w:color w:val="1F497D"/>
          <w:sz w:val="30"/>
          <w:szCs w:val="30"/>
        </w:rPr>
        <w:t xml:space="preserve">Arquitectura de la solución</w:t>
      </w:r>
    </w:p>
    <w:p>
      <w:pPr>
        <w:spacing w:after="180" w:line="276"/>
        <w:jc w:val="both"/>
      </w:pPr>
      <w:r>
        <w:rPr>
          <w:rFonts w:ascii="Calibri" w:cs="Calibri" w:eastAsia="Calibri" w:hAnsi="Calibri"/>
          <w:color w:val="1A1A1A"/>
          <w:sz w:val="21"/>
          <w:szCs w:val="21"/>
        </w:rPr>
        <w:t xml:space="preserve">La plataforma quedó organizada en doce servicios ECS que se agrupan, igual que en las evaluaciones anteriores, en tres capas funcionales: infraestructura compartida (frontend, api-gateway, ms-auth, eureka-server con desiredCount en cero), inteligencia de negocio (bff, ms-kpis, ms-reporting, ms-data-ingestion) y fuentes de datos (ms-sales, ms-inventory, ms-finance, ms-customer). Todos corren como tareas Fargate dentro de un mismo clúster, con el frontend como único punto de entrada público.</w:t>
      </w:r>
    </w:p>
    <w:p>
      <w:pPr>
        <w:pBdr>
          <w:top w:val="dashed" w:color="4F81BD" w:sz="6" w:space="8"/>
          <w:bottom w:val="dashed" w:color="4F81BD" w:sz="6" w:space="8"/>
          <w:left w:val="dashed" w:color="4F81BD" w:sz="6" w:space="8"/>
          <w:right w:val="dashed" w:color="4F81BD" w:sz="6" w:space="8"/>
        </w:pBdr>
        <w:spacing w:after="300" w:before="200"/>
        <w:jc w:val="center"/>
      </w:pPr>
      <w:r>
        <w:rPr>
          <w:rFonts w:ascii="Calibri" w:cs="Calibri" w:eastAsia="Calibri" w:hAnsi="Calibri"/>
          <w:b/>
          <w:bCs/>
          <w:i/>
          <w:iCs/>
          <w:color w:val="1F497D"/>
          <w:sz w:val="21"/>
          <w:szCs w:val="21"/>
        </w:rPr>
        <w:br/>
        <w:t xml:space="preserve">Figura A.1</w:t>
      </w:r>
      <w:r>
        <w:rPr>
          <w:rFonts w:ascii="Calibri" w:cs="Calibri" w:eastAsia="Calibri" w:hAnsi="Calibri"/>
          <w:i/>
          <w:iCs/>
          <w:color w:val="595959"/>
          <w:sz w:val="19"/>
          <w:szCs w:val="19"/>
        </w:rPr>
        <w:br/>
        <w:t xml:space="preserve">(Aquí se insertará la imagen correspondiente: Diagrama de arquitectura general del clúster ECS Fargate)</w:t>
      </w:r>
    </w:p>
    <w:p>
      <w:pPr>
        <w:pStyle w:val="Heading2"/>
        <w:spacing w:after="150" w:before="300"/>
      </w:pPr>
      <w:r>
        <w:rPr>
          <w:rFonts w:ascii="Calibri" w:cs="Calibri" w:eastAsia="Calibri" w:hAnsi="Calibri"/>
          <w:b/>
          <w:bCs/>
          <w:color w:val="1F497D"/>
          <w:sz w:val="25"/>
          <w:szCs w:val="25"/>
        </w:rPr>
        <w:t xml:space="preserve">ECS Cluster</w:t>
      </w:r>
    </w:p>
    <w:p>
      <w:pPr>
        <w:spacing w:after="180" w:line="276"/>
        <w:jc w:val="both"/>
      </w:pPr>
      <w:r>
        <w:rPr>
          <w:rFonts w:ascii="Calibri" w:cs="Calibri" w:eastAsia="Calibri" w:hAnsi="Calibri"/>
          <w:color w:val="1A1A1A"/>
          <w:sz w:val="21"/>
          <w:szCs w:val="21"/>
        </w:rPr>
        <w:t xml:space="preserve">El clúster agrupa las doce definiciones de servicio bajo el modo de lanzamiento Fargate, lo que significa que AWS administra la capacidad de cómputo subyacente y el equipo solo declara CPU, memoria y networking por tarea. Se eligió Fargate en lugar de EC2 como capacity provider porque el proyecto no requiere control fino sobre el sistema operativo de los nodos, y porque evita el trabajo adicional de mantener un Auto Scaling Group de instancias para el propio clúster, tarea que no aporta valor a los objetivos de esta evaluación.</w:t>
      </w:r>
    </w:p>
    <w:p>
      <w:pPr>
        <w:pStyle w:val="Heading2"/>
        <w:spacing w:after="150" w:before="300"/>
      </w:pPr>
      <w:r>
        <w:rPr>
          <w:rFonts w:ascii="Calibri" w:cs="Calibri" w:eastAsia="Calibri" w:hAnsi="Calibri"/>
          <w:b/>
          <w:bCs/>
          <w:color w:val="1F497D"/>
          <w:sz w:val="25"/>
          <w:szCs w:val="25"/>
        </w:rPr>
        <w:t xml:space="preserve">ECS Services y ECS Tasks</w:t>
      </w:r>
    </w:p>
    <w:p>
      <w:pPr>
        <w:spacing w:after="180" w:line="276"/>
        <w:jc w:val="both"/>
      </w:pPr>
      <w:r>
        <w:rPr>
          <w:rFonts w:ascii="Calibri" w:cs="Calibri" w:eastAsia="Calibri" w:hAnsi="Calibri"/>
          <w:color w:val="1A1A1A"/>
          <w:sz w:val="21"/>
          <w:szCs w:val="21"/>
        </w:rPr>
        <w:t xml:space="preserve">Cada uno de los doce servicios se administra de forma independiente: define su propia Task Definition, su propio desiredCount y su propia política de autoscaling cuando corresponde. Los servicios backend se configuraron con assignPublicIp en DISABLED, ya que no necesitan ser alcanzables desde internet — solo deben responder al api-gateway o al bff a través de la red interna. El único servicio con Target Group propio en el ALB es frontend; el resto se comunica exclusivamente vía Service Connect.</w:t>
      </w:r>
    </w:p>
    <w:p>
      <w:pPr>
        <w:pStyle w:val="Heading2"/>
        <w:spacing w:after="150" w:before="300"/>
      </w:pPr>
      <w:r>
        <w:rPr>
          <w:rFonts w:ascii="Calibri" w:cs="Calibri" w:eastAsia="Calibri" w:hAnsi="Calibri"/>
          <w:b/>
          <w:bCs/>
          <w:color w:val="1F497D"/>
          <w:sz w:val="25"/>
          <w:szCs w:val="25"/>
        </w:rPr>
        <w:t xml:space="preserve">ECS Service Connect</w:t>
      </w:r>
    </w:p>
    <w:p>
      <w:pPr>
        <w:spacing w:after="180" w:line="276"/>
        <w:jc w:val="both"/>
      </w:pPr>
      <w:r>
        <w:rPr>
          <w:rFonts w:ascii="Calibri" w:cs="Calibri" w:eastAsia="Calibri" w:hAnsi="Calibri"/>
          <w:color w:val="1A1A1A"/>
          <w:sz w:val="21"/>
          <w:szCs w:val="21"/>
        </w:rPr>
        <w:t xml:space="preserve">Service Connect resuelve el problema de descubrimiento de servicios sin depender de un componente externo como Eureka. Se configuró un namespace Cloud Map de tipo DNS privado (cordillera-dns.local) donde cada servicio queda accesible por un nombre DNS estable — por ejemplo ms-kpis.cordillera-dns.local — independiente de la IP de la tarea que lo está sirviendo en un momento dado. Esta decisión reemplazó por completo a Eureka dentro de ECS; el motivo se detalla en la sección de infraestructura AWS, ya que fue la decisión de arquitectura más relevante tomada durante la migración.</w:t>
      </w:r>
    </w:p>
    <w:p>
      <w:pPr>
        <w:pStyle w:val="Heading2"/>
        <w:spacing w:after="150" w:before="300"/>
      </w:pPr>
      <w:r>
        <w:rPr>
          <w:rFonts w:ascii="Calibri" w:cs="Calibri" w:eastAsia="Calibri" w:hAnsi="Calibri"/>
          <w:b/>
          <w:bCs/>
          <w:color w:val="1F497D"/>
          <w:sz w:val="25"/>
          <w:szCs w:val="25"/>
        </w:rPr>
        <w:t xml:space="preserve">Amazon ECR</w:t>
      </w:r>
    </w:p>
    <w:p>
      <w:pPr>
        <w:spacing w:after="180" w:line="276"/>
        <w:jc w:val="both"/>
      </w:pPr>
      <w:r>
        <w:rPr>
          <w:rFonts w:ascii="Calibri" w:cs="Calibri" w:eastAsia="Calibri" w:hAnsi="Calibri"/>
          <w:color w:val="1A1A1A"/>
          <w:sz w:val="21"/>
          <w:szCs w:val="21"/>
        </w:rPr>
        <w:t xml:space="preserve">El registro de imágenes se mantuvo sin cambios respecto de EP2: doce repositorios bajo el prefijo grupocordillera/, uno por servicio, con dos tags por cada build (latest y el hash del commit). ECS Fargate descarga las imágenes directamente desde ECR usando el rol de ejecución de la tarea, sin necesidad de credenciales adicionales, lo que simplificó la adaptación del pipeline.</w:t>
      </w:r>
    </w:p>
    <w:p>
      <w:pPr>
        <w:pStyle w:val="Heading2"/>
        <w:spacing w:after="150" w:before="300"/>
      </w:pPr>
      <w:r>
        <w:rPr>
          <w:rFonts w:ascii="Calibri" w:cs="Calibri" w:eastAsia="Calibri" w:hAnsi="Calibri"/>
          <w:b/>
          <w:bCs/>
          <w:color w:val="1F497D"/>
          <w:sz w:val="25"/>
          <w:szCs w:val="25"/>
        </w:rPr>
        <w:t xml:space="preserve">Application Load Balancer</w:t>
      </w:r>
    </w:p>
    <w:p>
      <w:pPr>
        <w:spacing w:after="180" w:line="276"/>
        <w:jc w:val="both"/>
      </w:pPr>
      <w:r>
        <w:rPr>
          <w:rFonts w:ascii="Calibri" w:cs="Calibri" w:eastAsia="Calibri" w:hAnsi="Calibri"/>
          <w:color w:val="1A1A1A"/>
          <w:sz w:val="21"/>
          <w:szCs w:val="21"/>
        </w:rPr>
        <w:t xml:space="preserve">Se desplegó un único ALB público, cordillera-alb, con un Target Group dirigido al servicio frontend. Se concentró todo el tráfico externo en un solo balanceador, en vez de exponer también el api-gateway, porque el patrón de acceso de la aplicación siempre pasa primero por el frontend (que sirve la SPA y hace de proxy hacia el Gateway vía nginx); exponer un segundo Target Group no aportaba una ruta de acceso adicional real y sí sumaba superficie de ataque.</w:t>
      </w:r>
    </w:p>
    <w:p>
      <w:pPr>
        <w:pStyle w:val="Heading2"/>
        <w:spacing w:after="150" w:before="300"/>
      </w:pPr>
      <w:r>
        <w:rPr>
          <w:rFonts w:ascii="Calibri" w:cs="Calibri" w:eastAsia="Calibri" w:hAnsi="Calibri"/>
          <w:b/>
          <w:bCs/>
          <w:color w:val="1F497D"/>
          <w:sz w:val="25"/>
          <w:szCs w:val="25"/>
        </w:rPr>
        <w:t xml:space="preserve">RDS PostgreSQL</w:t>
      </w:r>
    </w:p>
    <w:p>
      <w:pPr>
        <w:spacing w:after="180" w:line="276"/>
        <w:jc w:val="both"/>
      </w:pPr>
      <w:r>
        <w:rPr>
          <w:rFonts w:ascii="Calibri" w:cs="Calibri" w:eastAsia="Calibri" w:hAnsi="Calibri"/>
          <w:color w:val="1A1A1A"/>
          <w:sz w:val="21"/>
          <w:szCs w:val="21"/>
        </w:rPr>
        <w:t xml:space="preserve">La base de datos no se migró: se reutilizó la misma instancia RDS PostgreSQL 16 creada en EP1, agregando únicamente una regla nueva en su Security Group para aceptar conexiones desde el Security Group de las tareas ECS. Mantener la misma instancia evitó tener que reexportar y recargar las ocho bases de datos lógicas del proyecto, y permitió validar ECS contra datos reales sin riesgo de introducir inconsistencias entre dos copias de la base.</w:t>
      </w:r>
    </w:p>
    <w:p>
      <w:pPr>
        <w:pStyle w:val="Heading2"/>
        <w:spacing w:after="150" w:before="300"/>
      </w:pPr>
      <w:r>
        <w:rPr>
          <w:rFonts w:ascii="Calibri" w:cs="Calibri" w:eastAsia="Calibri" w:hAnsi="Calibri"/>
          <w:b/>
          <w:bCs/>
          <w:color w:val="1F497D"/>
          <w:sz w:val="25"/>
          <w:szCs w:val="25"/>
        </w:rPr>
        <w:t xml:space="preserve">CloudWatch</w:t>
      </w:r>
    </w:p>
    <w:p>
      <w:pPr>
        <w:spacing w:after="180" w:line="276"/>
        <w:jc w:val="both"/>
      </w:pPr>
      <w:r>
        <w:rPr>
          <w:rFonts w:ascii="Calibri" w:cs="Calibri" w:eastAsia="Calibri" w:hAnsi="Calibri"/>
          <w:color w:val="1A1A1A"/>
          <w:sz w:val="21"/>
          <w:szCs w:val="21"/>
        </w:rPr>
        <w:t xml:space="preserve">Cada servicio escribe sus logs en un log group dedicado bajo el prefijo /ecs/cordillera/, y se habilitó Container Insights sobre el clúster para obtener métricas agregadas de CPU, memoria y red por servicio sin instrumentación adicional en el código. Sobre esas métricas se construyó un dashboard, cordillera-dashboard, que se detalla en la sección de monitoreo.</w:t>
      </w:r>
    </w:p>
    <w:p>
      <w:r>
        <w:br w:type="page"/>
      </w:r>
    </w:p>
    <w:p>
      <w:pPr>
        <w:pStyle w:val="Heading1"/>
        <w:pBdr>
          <w:bottom w:val="single" w:color="4F81BD" w:sz="6" w:space="4"/>
        </w:pBdr>
        <w:spacing w:after="200" w:before="400"/>
      </w:pPr>
      <w:r>
        <w:rPr>
          <w:rFonts w:ascii="Calibri" w:cs="Calibri" w:eastAsia="Calibri" w:hAnsi="Calibri"/>
          <w:b/>
          <w:bCs/>
          <w:color w:val="1F497D"/>
          <w:sz w:val="30"/>
          <w:szCs w:val="30"/>
        </w:rPr>
        <w:t xml:space="preserve">Infraestructura AWS</w:t>
      </w:r>
    </w:p>
    <w:p>
      <w:pPr>
        <w:pStyle w:val="Heading2"/>
        <w:spacing w:after="150" w:before="300"/>
      </w:pPr>
      <w:r>
        <w:rPr>
          <w:rFonts w:ascii="Calibri" w:cs="Calibri" w:eastAsia="Calibri" w:hAnsi="Calibri"/>
          <w:b/>
          <w:bCs/>
          <w:color w:val="1F497D"/>
          <w:sz w:val="25"/>
          <w:szCs w:val="25"/>
        </w:rPr>
        <w:t xml:space="preserve">VPC y subredes</w:t>
      </w:r>
    </w:p>
    <w:p>
      <w:pPr>
        <w:spacing w:after="180" w:line="276"/>
        <w:jc w:val="both"/>
      </w:pPr>
      <w:r>
        <w:rPr>
          <w:rFonts w:ascii="Calibri" w:cs="Calibri" w:eastAsia="Calibri" w:hAnsi="Calibri"/>
          <w:color w:val="1A1A1A"/>
          <w:sz w:val="21"/>
          <w:szCs w:val="21"/>
        </w:rPr>
        <w:t xml:space="preserve">Se conservó la VPC cordillera-vpc (10.0.0.0/16) construida en EP1, con una subred pública y dos privadas. Las tareas ECS backend se desplegaron en las subredes privadas ya existentes, junto a la instancia RDS; el ALB se publicó en la subred pública. No se creó una VPC nueva porque reutilizar la red validada en etapas anteriores reduce el riesgo de introducir errores de enrutamiento durante una migración que ya de por sí cambia el mecanismo de descubrimiento de servicios.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50"/>
      </w:tblGrid>
      <w:tr>
        <w:trPr>
          <w:tblHeader/>
        </w:trPr>
        <w:tc>
          <w:tcPr>
            <w:tcW w:type="dxa" w:w="3000"/>
            <w:shd w:fill="1F497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Recurso</w:t>
            </w:r>
          </w:p>
        </w:tc>
        <w:tc>
          <w:tcPr>
            <w:tcW w:type="dxa" w:w="6350"/>
            <w:shd w:fill="1F497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Detalle</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VPC</w:t>
            </w:r>
          </w:p>
        </w:tc>
        <w:tc>
          <w:tcPr>
            <w:tcW w:type="dxa" w:w="635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cordillera-vpc — 10.0.0.0/16</w:t>
            </w:r>
          </w:p>
        </w:tc>
      </w:tr>
      <w:tr>
        <w:tc>
          <w:tcPr>
            <w:tcW w:type="dxa" w:w="300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Subred pública</w:t>
            </w:r>
          </w:p>
        </w:tc>
        <w:tc>
          <w:tcPr>
            <w:tcW w:type="dxa" w:w="635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10.0.1.0/24 — ALB y salida a internet</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Subredes privadas</w:t>
            </w:r>
          </w:p>
        </w:tc>
        <w:tc>
          <w:tcPr>
            <w:tcW w:type="dxa" w:w="635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10.0.2.0/24 y 10.0.3.0/24 — tareas ECS y RDS</w:t>
            </w:r>
          </w:p>
        </w:tc>
      </w:tr>
      <w:tr>
        <w:tc>
          <w:tcPr>
            <w:tcW w:type="dxa" w:w="300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Acceso a internet de tareas privadas</w:t>
            </w:r>
          </w:p>
        </w:tc>
        <w:tc>
          <w:tcPr>
            <w:tcW w:type="dxa" w:w="635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NAT — necesario para que las tareas descarguen imágenes de ECR y resuelvan llamadas salientes (por ejemplo, la API de envío de correo)</w:t>
            </w:r>
          </w:p>
        </w:tc>
      </w:tr>
    </w:tbl>
    <w:p>
      <w:pPr>
        <w:spacing w:before="300"/>
      </w:pPr>
    </w:p>
    <w:p>
      <w:pPr>
        <w:pStyle w:val="Heading2"/>
        <w:spacing w:after="150" w:before="300"/>
      </w:pPr>
      <w:r>
        <w:rPr>
          <w:rFonts w:ascii="Calibri" w:cs="Calibri" w:eastAsia="Calibri" w:hAnsi="Calibri"/>
          <w:b/>
          <w:bCs/>
          <w:color w:val="1F497D"/>
          <w:sz w:val="25"/>
          <w:szCs w:val="25"/>
        </w:rPr>
        <w:t xml:space="preserve">Security Groups</w:t>
      </w:r>
    </w:p>
    <w:p>
      <w:pPr>
        <w:spacing w:after="180" w:line="276"/>
        <w:jc w:val="both"/>
      </w:pPr>
      <w:r>
        <w:rPr>
          <w:rFonts w:ascii="Calibri" w:cs="Calibri" w:eastAsia="Calibri" w:hAnsi="Calibri"/>
          <w:color w:val="1A1A1A"/>
          <w:sz w:val="21"/>
          <w:szCs w:val="21"/>
        </w:rPr>
        <w:t xml:space="preserve">Se creó un Security Group específico para las tareas ECS, separado del que usaban las instancias EC2, con reglas de entrada acotadas al tráfico proveniente del ALB (en el caso del frontend) y al tráfico interno entre tareas por los puertos de cada servicio. La regla del Security Group de RDS se amplió para aceptar conexiones desde este nuevo grupo, sin abrir el puerto 5432 a ningún otro origen.</w:t>
      </w:r>
    </w:p>
    <w:p>
      <w:pPr>
        <w:pStyle w:val="Heading2"/>
        <w:spacing w:after="150" w:before="300"/>
      </w:pPr>
      <w:r>
        <w:rPr>
          <w:rFonts w:ascii="Calibri" w:cs="Calibri" w:eastAsia="Calibri" w:hAnsi="Calibri"/>
          <w:b/>
          <w:bCs/>
          <w:color w:val="1F497D"/>
          <w:sz w:val="25"/>
          <w:szCs w:val="25"/>
        </w:rPr>
        <w:t xml:space="preserve">Roles IAM</w:t>
      </w:r>
    </w:p>
    <w:p>
      <w:pPr>
        <w:spacing w:after="180" w:line="276"/>
        <w:jc w:val="both"/>
      </w:pPr>
      <w:r>
        <w:rPr>
          <w:rFonts w:ascii="Calibri" w:cs="Calibri" w:eastAsia="Calibri" w:hAnsi="Calibri"/>
          <w:color w:val="1A1A1A"/>
          <w:sz w:val="21"/>
          <w:szCs w:val="21"/>
        </w:rPr>
        <w:t xml:space="preserve">ECS Fargate distingue dos roles por tarea, y ambos se configuraron de forma explícita en cada Task Definition:</w:t>
      </w:r>
    </w:p>
    <w:p>
      <w:pPr>
        <w:pStyle w:val="ListParagraph"/>
        <w:numPr>
          <w:ilvl w:val="0"/>
          <w:numId w:val="1"/>
        </w:numPr>
        <w:spacing w:after="100" w:line="270"/>
        <w:jc w:val="both"/>
      </w:pPr>
      <w:r>
        <w:rPr>
          <w:rFonts w:ascii="Calibri" w:cs="Calibri" w:eastAsia="Calibri" w:hAnsi="Calibri"/>
          <w:color w:val="1A1A1A"/>
          <w:sz w:val="21"/>
          <w:szCs w:val="21"/>
        </w:rPr>
        <w:t xml:space="preserve">Execution Role: usado por el agente de ECS para autenticarse en ECR al descargar la imagen y para leer los secretos desde Secrets Manager antes de iniciar el contenedor.</w:t>
      </w:r>
    </w:p>
    <w:p>
      <w:pPr>
        <w:pStyle w:val="ListParagraph"/>
        <w:numPr>
          <w:ilvl w:val="0"/>
          <w:numId w:val="1"/>
        </w:numPr>
        <w:spacing w:after="100" w:line="270"/>
        <w:jc w:val="both"/>
      </w:pPr>
      <w:r>
        <w:rPr>
          <w:rFonts w:ascii="Calibri" w:cs="Calibri" w:eastAsia="Calibri" w:hAnsi="Calibri"/>
          <w:color w:val="1A1A1A"/>
          <w:sz w:val="21"/>
          <w:szCs w:val="21"/>
        </w:rPr>
        <w:t xml:space="preserve">Task Role: usado por la aplicación en tiempo de ejecución para interactuar con otros servicios de AWS si lo necesitara. En los servicios de este proyecto se mantuvo con permisos mínimos, ya que la aplicación no llama directamente a APIs de AWS.</w:t>
      </w:r>
    </w:p>
    <w:p>
      <w:pPr>
        <w:spacing w:after="180" w:line="276"/>
        <w:jc w:val="both"/>
      </w:pPr>
      <w:r>
        <w:rPr>
          <w:rFonts w:ascii="Calibri" w:cs="Calibri" w:eastAsia="Calibri" w:hAnsi="Calibri"/>
          <w:color w:val="1A1A1A"/>
          <w:sz w:val="21"/>
          <w:szCs w:val="21"/>
        </w:rPr>
        <w:t xml:space="preserve">Separar ambos roles sigue el principio de menor privilegio: el rol de ejecución solo necesita permisos sobre ECR, CloudWatch Logs y Secrets Manager, mientras que el rol de tarea queda libre para ampliarse en el futuro sin heredar automáticamente los permisos de arranque del contenedor.</w:t>
      </w:r>
    </w:p>
    <w:p>
      <w:pPr>
        <w:pStyle w:val="Heading2"/>
        <w:spacing w:after="150" w:before="300"/>
      </w:pPr>
      <w:r>
        <w:rPr>
          <w:rFonts w:ascii="Calibri" w:cs="Calibri" w:eastAsia="Calibri" w:hAnsi="Calibri"/>
          <w:b/>
          <w:bCs/>
          <w:color w:val="1F497D"/>
          <w:sz w:val="25"/>
          <w:szCs w:val="25"/>
        </w:rPr>
        <w:t xml:space="preserve">Target Groups y Application Load Balancer</w:t>
      </w:r>
    </w:p>
    <w:p>
      <w:pPr>
        <w:spacing w:after="180" w:line="276"/>
        <w:jc w:val="both"/>
      </w:pPr>
      <w:r>
        <w:rPr>
          <w:rFonts w:ascii="Calibri" w:cs="Calibri" w:eastAsia="Calibri" w:hAnsi="Calibri"/>
          <w:color w:val="1A1A1A"/>
          <w:sz w:val="21"/>
          <w:szCs w:val="21"/>
        </w:rPr>
        <w:t xml:space="preserve">El Target Group cordillera-frontend-tg usa health checks HTTP sobre la ruta raíz servida por nginx, con un intervalo y un umbral de fallos configurados para detectar una tarea no saludable antes de que el Deployment Circuit Breaker deba intervenir. El listener del ALB en el puerto 80 reenvía todo el tráfico a este Target Group; no se configuró HTTPS en esta entrega por tratarse de un entorno de laboratorio académico sin dominio propio, lo cual se deja explícitamente como pendiente en las conclusiones.</w:t>
      </w:r>
    </w:p>
    <w:p>
      <w:pPr>
        <w:pStyle w:val="Heading2"/>
        <w:spacing w:after="150" w:before="300"/>
      </w:pPr>
      <w:r>
        <w:rPr>
          <w:rFonts w:ascii="Calibri" w:cs="Calibri" w:eastAsia="Calibri" w:hAnsi="Calibri"/>
          <w:b/>
          <w:bCs/>
          <w:color w:val="1F497D"/>
          <w:sz w:val="25"/>
          <w:szCs w:val="25"/>
        </w:rPr>
        <w:t xml:space="preserve">Fargate</w:t>
      </w:r>
    </w:p>
    <w:p>
      <w:pPr>
        <w:spacing w:after="180" w:line="276"/>
        <w:jc w:val="both"/>
      </w:pPr>
      <w:r>
        <w:rPr>
          <w:rFonts w:ascii="Calibri" w:cs="Calibri" w:eastAsia="Calibri" w:hAnsi="Calibri"/>
          <w:color w:val="1A1A1A"/>
          <w:sz w:val="21"/>
          <w:szCs w:val="21"/>
        </w:rPr>
        <w:t xml:space="preserve">Cada servicio define su CPU y memoria en la Task Definition según su perfil de consumo observado en EP2: los servicios más livianos (por ejemplo ms-auth) se configuraron con la combinación mínima soportada por Fargate, mientras que bff y ms-kpis, que concentran más lógica de orquestación y cálculo, reciben una asignación mayor. Esta diferenciación evita sobreaprovisionar recursos en servicios que no lo requieren, controlando el costo total del clúster.</w:t>
      </w:r>
    </w:p>
    <w:p>
      <w:pPr>
        <w:pStyle w:val="Heading2"/>
        <w:spacing w:after="150" w:before="300"/>
      </w:pPr>
      <w:r>
        <w:rPr>
          <w:rFonts w:ascii="Calibri" w:cs="Calibri" w:eastAsia="Calibri" w:hAnsi="Calibri"/>
          <w:b/>
          <w:bCs/>
          <w:color w:val="1F497D"/>
          <w:sz w:val="25"/>
          <w:szCs w:val="25"/>
        </w:rPr>
        <w:t xml:space="preserve">ECS Service Connect — por qué se eligió y por qué se abandonó Eureka</w:t>
      </w:r>
    </w:p>
    <w:p>
      <w:pPr>
        <w:spacing w:after="180" w:line="276"/>
        <w:jc w:val="both"/>
      </w:pPr>
      <w:r>
        <w:rPr>
          <w:rFonts w:ascii="Calibri" w:cs="Calibri" w:eastAsia="Calibri" w:hAnsi="Calibri"/>
          <w:color w:val="1A1A1A"/>
          <w:sz w:val="21"/>
          <w:szCs w:val="21"/>
        </w:rPr>
        <w:t xml:space="preserve">Esta fue la decisión de arquitectura más importante de la migración, y se documenta con el mismo nivel de detalle con el que se investigó, incluyendo el camino que no funcionó. El plan inicial era mantener Eureka también en ECS, agregando eureka-server como un servicio más del clúster, asumiendo que sería el cambio de menor esfuerzo respecto del esquema EC2. Bajo Service Connect, sin embargo, eureka-server entró en un ciclo continuo de renovación de arriendos fallida, generando más de ciento noventa ocurrencias de error en cinco minutos y provocando que endpoints como el login respondieran de forma intermitente entre 200 y 503 sin un patrón claro.</w:t>
      </w:r>
    </w:p>
    <w:p>
      <w:pPr>
        <w:spacing w:after="180" w:line="276"/>
        <w:jc w:val="both"/>
      </w:pPr>
      <w:r>
        <w:rPr>
          <w:rFonts w:ascii="Calibri" w:cs="Calibri" w:eastAsia="Calibri" w:hAnsi="Calibri"/>
          <w:color w:val="1A1A1A"/>
          <w:sz w:val="21"/>
          <w:szCs w:val="21"/>
        </w:rPr>
        <w:t xml:space="preserve">Se descartó primero el consumo de recursos como causa —la métrica de CPU de eureka-server se mantuvo entre 6 y 13 % en CloudWatch— y también un reinicio recurrente del propio contenedor, que se confirmó estable. En el camino se identificaron y corrigieron tres problemas reales, aunque ninguno resolvió la inestabilidad por sí solo:</w:t>
      </w:r>
    </w:p>
    <w:p>
      <w:pPr>
        <w:pStyle w:val="ListParagraph"/>
        <w:numPr>
          <w:ilvl w:val="0"/>
          <w:numId w:val="1"/>
        </w:numPr>
        <w:spacing w:after="100" w:line="270"/>
        <w:jc w:val="both"/>
      </w:pPr>
      <w:r>
        <w:rPr>
          <w:rFonts w:ascii="Calibri" w:cs="Calibri" w:eastAsia="Calibri" w:hAnsi="Calibri"/>
          <w:color w:val="1A1A1A"/>
          <w:sz w:val="21"/>
          <w:szCs w:val="21"/>
        </w:rPr>
        <w:t xml:space="preserve">El namespace HTTP de Service Connect no publicaba un registro DNS real consultable por resolución dinámica; nginx hace consultas DNS UDP que ese namespace no respondía como se esperaba, así que se cambió a proxy_pass estático, que sí resuelve correctamente contra la tabla de hosts interna.</w:t>
      </w:r>
    </w:p>
    <w:p>
      <w:pPr>
        <w:pStyle w:val="ListParagraph"/>
        <w:numPr>
          <w:ilvl w:val="0"/>
          <w:numId w:val="1"/>
        </w:numPr>
        <w:spacing w:after="100" w:line="270"/>
        <w:jc w:val="both"/>
      </w:pPr>
      <w:r>
        <w:rPr>
          <w:rFonts w:ascii="Calibri" w:cs="Calibri" w:eastAsia="Calibri" w:hAnsi="Calibri"/>
          <w:color w:val="1A1A1A"/>
          <w:sz w:val="21"/>
          <w:szCs w:val="21"/>
        </w:rPr>
        <w:t xml:space="preserve">Los alias de cliente de Service Connect usaban nombres cortos en vez del nombre de dominio completo, lo que se corrigió agregando el sufijo cordillera-dns.local en los scripts de creación y actualización de servicios.</w:t>
      </w:r>
    </w:p>
    <w:p>
      <w:pPr>
        <w:pStyle w:val="ListParagraph"/>
        <w:numPr>
          <w:ilvl w:val="0"/>
          <w:numId w:val="1"/>
        </w:numPr>
        <w:spacing w:after="100" w:line="270"/>
        <w:jc w:val="both"/>
      </w:pPr>
      <w:r>
        <w:rPr>
          <w:rFonts w:ascii="Calibri" w:cs="Calibri" w:eastAsia="Calibri" w:hAnsi="Calibri"/>
          <w:color w:val="1A1A1A"/>
          <w:sz w:val="21"/>
          <w:szCs w:val="21"/>
        </w:rPr>
        <w:t xml:space="preserve">El identificador de instancia de Eureka se autodetectaba a partir de un endpoint de metadata que devolvía la misma IP link-local en todas las tareas, provocando colisiones de instanceId; se corrigió fijando el identificador de forma explícita por servicio y puerto.</w:t>
      </w:r>
    </w:p>
    <w:p>
      <w:pPr>
        <w:spacing w:after="180" w:line="276"/>
        <w:jc w:val="both"/>
      </w:pPr>
      <w:r>
        <w:rPr>
          <w:rFonts w:ascii="Calibri" w:cs="Calibri" w:eastAsia="Calibri" w:hAnsi="Calibri"/>
          <w:color w:val="1A1A1A"/>
          <w:sz w:val="21"/>
          <w:szCs w:val="21"/>
        </w:rPr>
        <w:t xml:space="preserve">Con los tres fixes aplicados la inestabilidad persistió, lo que llevó a la decisión de abandonar Eureka por completo dentro de ECS: Service Connect ya resuelve nombres de servicio con DNS interno y expone sus propios health checks, por lo que mantener un segundo mecanismo de descubrimiento era redundante y, en este caso, activamente perjudicial. Las doce Task Definitions pasaron a desactivar el cliente de Eureka, con api-gateway y bff apuntando a URLs directas de Service Connect. El servicio eureka-server se dejó desplegado con desiredCount en cero en lugar de eliminarlo, para conservar su configuración documentada. Tras el redeploy, pruebas repetidas contra los endpoints principales del sistema mostraron cien por ciento de respuestas exitosas y cero errores 503.</w:t>
      </w:r>
    </w:p>
    <w:p>
      <w:pPr>
        <w:pStyle w:val="Heading2"/>
        <w:spacing w:after="150" w:before="300"/>
      </w:pPr>
      <w:r>
        <w:rPr>
          <w:rFonts w:ascii="Calibri" w:cs="Calibri" w:eastAsia="Calibri" w:hAnsi="Calibri"/>
          <w:b/>
          <w:bCs/>
          <w:color w:val="1F497D"/>
          <w:sz w:val="25"/>
          <w:szCs w:val="25"/>
        </w:rPr>
        <w:t xml:space="preserve">Secrets Manager</w:t>
      </w:r>
    </w:p>
    <w:p>
      <w:pPr>
        <w:spacing w:after="180" w:line="276"/>
        <w:jc w:val="both"/>
      </w:pPr>
      <w:r>
        <w:rPr>
          <w:rFonts w:ascii="Calibri" w:cs="Calibri" w:eastAsia="Calibri" w:hAnsi="Calibri"/>
          <w:color w:val="1A1A1A"/>
          <w:sz w:val="21"/>
          <w:szCs w:val="21"/>
        </w:rPr>
        <w:t xml:space="preserve">Las credenciales de RDS, la clave de firma de JWT y la API key del servicio de envío de correo se almacenaron en AWS Secrets Manager y se referencian desde las Task Definitions mediante el bloque secrets, no como variables de entorno en texto plano. El detalle de esta configuración se desarrolla en la sección dedicada a gestión de secretos.</w:t>
      </w:r>
    </w:p>
    <w:p>
      <w:r>
        <w:br w:type="page"/>
      </w:r>
    </w:p>
    <w:p>
      <w:pPr>
        <w:pStyle w:val="Heading1"/>
        <w:pBdr>
          <w:bottom w:val="single" w:color="4F81BD" w:sz="6" w:space="4"/>
        </w:pBdr>
        <w:spacing w:after="200" w:before="400"/>
      </w:pPr>
      <w:r>
        <w:rPr>
          <w:rFonts w:ascii="Calibri" w:cs="Calibri" w:eastAsia="Calibri" w:hAnsi="Calibri"/>
          <w:b/>
          <w:bCs/>
          <w:color w:val="1F497D"/>
          <w:sz w:val="30"/>
          <w:szCs w:val="30"/>
        </w:rPr>
        <w:t xml:space="preserve">Pipeline CI/CD</w:t>
      </w:r>
    </w:p>
    <w:p>
      <w:pPr>
        <w:spacing w:after="180" w:line="276"/>
        <w:jc w:val="both"/>
      </w:pPr>
      <w:r>
        <w:rPr>
          <w:rFonts w:ascii="Calibri" w:cs="Calibri" w:eastAsia="Calibri" w:hAnsi="Calibri"/>
          <w:color w:val="1A1A1A"/>
          <w:sz w:val="21"/>
          <w:szCs w:val="21"/>
        </w:rPr>
        <w:t xml:space="preserve">El archivo .github/workflows/ci-cd.yml, que en EP2 terminaba en un despliegue por SSH con ProxyJump hacia las cuatro instancias EC2, se reescribió para dialogar con la API de ECS en lugar de con Docker Compose remoto. El disparador también cambió: en el esquema anterior el push a develop activaba el despliegue; en el entorno ECS el disparador es un push a la rama master, mientras que un pull request hacia esa misma rama solo ejecuta build y pruebas, sin desplegar. Se optó por esta regla simple —cualquier push a master redespliega los doce servicios— en lugar de un esquema más flexible que decidiera qué servicios redesplegar según los archivos modificados, priorizando la previsibilidad del pipeline por sobre la velocidad marginal que un despliegue selectivo hubiera aportado en esta etapa del proyecto.</w:t>
      </w:r>
    </w:p>
    <w:p>
      <w:pPr>
        <w:pBdr>
          <w:top w:val="dashed" w:color="4F81BD" w:sz="6" w:space="8"/>
          <w:bottom w:val="dashed" w:color="4F81BD" w:sz="6" w:space="8"/>
          <w:left w:val="dashed" w:color="4F81BD" w:sz="6" w:space="8"/>
          <w:right w:val="dashed" w:color="4F81BD" w:sz="6" w:space="8"/>
        </w:pBdr>
        <w:spacing w:after="300" w:before="200"/>
        <w:jc w:val="center"/>
      </w:pPr>
      <w:r>
        <w:rPr>
          <w:rFonts w:ascii="Calibri" w:cs="Calibri" w:eastAsia="Calibri" w:hAnsi="Calibri"/>
          <w:b/>
          <w:bCs/>
          <w:i/>
          <w:iCs/>
          <w:color w:val="1F497D"/>
          <w:sz w:val="21"/>
          <w:szCs w:val="21"/>
        </w:rPr>
        <w:br/>
        <w:t xml:space="preserve">Figura A.2</w:t>
      </w:r>
      <w:r>
        <w:rPr>
          <w:rFonts w:ascii="Calibri" w:cs="Calibri" w:eastAsia="Calibri" w:hAnsi="Calibri"/>
          <w:i/>
          <w:iCs/>
          <w:color w:val="595959"/>
          <w:sz w:val="19"/>
          <w:szCs w:val="19"/>
        </w:rPr>
        <w:br/>
        <w:t xml:space="preserve">(Aquí se insertará la imagen correspondiente: Diagrama del pipeline CI/CD extendido para ECS)</w:t>
      </w:r>
    </w:p>
    <w:p>
      <w:pPr>
        <w:pStyle w:val="Heading2"/>
        <w:spacing w:after="150" w:before="300"/>
      </w:pPr>
      <w:r>
        <w:rPr>
          <w:rFonts w:ascii="Calibri" w:cs="Calibri" w:eastAsia="Calibri" w:hAnsi="Calibri"/>
          <w:b/>
          <w:bCs/>
          <w:color w:val="1F497D"/>
          <w:sz w:val="25"/>
          <w:szCs w:val="25"/>
        </w:rPr>
        <w:t xml:space="preserve">Etapas del pipeline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50"/>
      </w:tblGrid>
      <w:tr>
        <w:trPr>
          <w:tblHeader/>
        </w:trPr>
        <w:tc>
          <w:tcPr>
            <w:tcW w:type="dxa" w:w="2600"/>
            <w:shd w:fill="1F497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Etapa</w:t>
            </w:r>
          </w:p>
        </w:tc>
        <w:tc>
          <w:tcPr>
            <w:tcW w:type="dxa" w:w="6750"/>
            <w:shd w:fill="1F497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Descripción</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Build</w:t>
            </w:r>
          </w:p>
        </w:tc>
        <w:tc>
          <w:tcPr>
            <w:tcW w:type="dxa" w:w="675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Compilación de los once microservicios backend con Maven y build del frontend con npm, en paralelo, igual que en EP2.</w:t>
            </w:r>
          </w:p>
        </w:tc>
      </w:tr>
      <w:tr>
        <w:tc>
          <w:tcPr>
            <w:tcW w:type="dxa" w:w="260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Docker Build</w:t>
            </w:r>
          </w:p>
        </w:tc>
        <w:tc>
          <w:tcPr>
            <w:tcW w:type="dxa" w:w="675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Construcción de las doce imágenes usando los Dockerfiles multi-stage ya existentes, sin cambios respecto de la etapa anterior.</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Docker Push a ECR</w:t>
            </w:r>
          </w:p>
        </w:tc>
        <w:tc>
          <w:tcPr>
            <w:tcW w:type="dxa" w:w="675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Publicación de cada imagen con dos tags: latest y el hash del commit (github.sha), permitiendo rollback a una revisión exacta.</w:t>
            </w:r>
          </w:p>
        </w:tc>
      </w:tr>
      <w:tr>
        <w:tc>
          <w:tcPr>
            <w:tcW w:type="dxa" w:w="260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Update Task Definition</w:t>
            </w:r>
          </w:p>
        </w:tc>
        <w:tc>
          <w:tcPr>
            <w:tcW w:type="dxa" w:w="675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Por cada uno de los doce servicios, se registra una nueva revisión de su Task Definition con la imagen recién publicada (register-task-definition).</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Deploy / Force New Deployment</w:t>
            </w:r>
          </w:p>
        </w:tc>
        <w:tc>
          <w:tcPr>
            <w:tcW w:type="dxa" w:w="675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 actualiza cada servicio ECS con update-service --force-new-deployment, indicando la nueva revisión de la Task Definition.</w:t>
            </w:r>
          </w:p>
        </w:tc>
      </w:tr>
      <w:tr>
        <w:tc>
          <w:tcPr>
            <w:tcW w:type="dxa" w:w="260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Wait Services Stable</w:t>
            </w:r>
          </w:p>
        </w:tc>
        <w:tc>
          <w:tcPr>
            <w:tcW w:type="dxa" w:w="675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El pipeline espera a que ECS confirme que el servicio alcanzó un estado estable (wait services-stable) antes de continuar con el siguiente, evitando reportar éxito sobre un despliegue que en realidad sigue en curso.</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Rollback / Deployment Circuit Breaker</w:t>
            </w:r>
          </w:p>
        </w:tc>
        <w:tc>
          <w:tcPr>
            <w:tcW w:type="dxa" w:w="675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Si un despliegue no logra pasar sus health checks dentro del límite configurado, el Deployment Circuit Breaker revierte automáticamente el servicio a la revisión anterior sin intervención manual.</w:t>
            </w:r>
          </w:p>
        </w:tc>
      </w:tr>
    </w:tbl>
    <w:p>
      <w:pPr>
        <w:spacing w:before="300"/>
      </w:pPr>
    </w:p>
    <w:p>
      <w:pPr>
        <w:pStyle w:val="Heading2"/>
        <w:spacing w:after="150" w:before="300"/>
      </w:pPr>
      <w:r>
        <w:rPr>
          <w:rFonts w:ascii="Calibri" w:cs="Calibri" w:eastAsia="Calibri" w:hAnsi="Calibri"/>
          <w:b/>
          <w:bCs/>
          <w:color w:val="1F497D"/>
          <w:sz w:val="25"/>
          <w:szCs w:val="25"/>
        </w:rPr>
        <w:t xml:space="preserve">Deployment Circuit Breaker</w:t>
      </w:r>
    </w:p>
    <w:p>
      <w:pPr>
        <w:spacing w:after="180" w:line="276"/>
        <w:jc w:val="both"/>
      </w:pPr>
      <w:r>
        <w:rPr>
          <w:rFonts w:ascii="Calibri" w:cs="Calibri" w:eastAsia="Calibri" w:hAnsi="Calibri"/>
          <w:color w:val="1A1A1A"/>
          <w:sz w:val="21"/>
          <w:szCs w:val="21"/>
        </w:rPr>
        <w:t xml:space="preserve">Se habilitó el Deployment Circuit Breaker con la opción de rollback automático activada en las doce definiciones de servicio. Esto significa que si una nueva revisión de un servicio no alcanza el estado saludable esperado — por ejemplo, porque la imagen recién publicada falla al iniciar — ECS detecta el despliegue fallido y revierte el servicio a la última revisión estable sin que nadie del equipo tenga que intervenir manualmente. Se prefirió esta configuración fija (circuit breaker siempre activo, con rollback siempre en true) por sobre dejarla configurable por servicio, ya que no existe ningún caso en este proyecto donde convenga permitir que un despliegue roto se mantenga sirviendo tráfico.</w:t>
      </w:r>
    </w:p>
    <w:p>
      <w:pPr>
        <w:pStyle w:val="Heading2"/>
        <w:spacing w:after="150" w:before="300"/>
      </w:pPr>
      <w:r>
        <w:rPr>
          <w:rFonts w:ascii="Calibri" w:cs="Calibri" w:eastAsia="Calibri" w:hAnsi="Calibri"/>
          <w:b/>
          <w:bCs/>
          <w:color w:val="1F497D"/>
          <w:sz w:val="25"/>
          <w:szCs w:val="25"/>
        </w:rPr>
        <w:t xml:space="preserve">Automatización y beneficios</w:t>
      </w:r>
    </w:p>
    <w:p>
      <w:pPr>
        <w:spacing w:after="180" w:line="276"/>
        <w:jc w:val="both"/>
      </w:pPr>
      <w:r>
        <w:rPr>
          <w:rFonts w:ascii="Calibri" w:cs="Calibri" w:eastAsia="Calibri" w:hAnsi="Calibri"/>
          <w:color w:val="1A1A1A"/>
          <w:sz w:val="21"/>
          <w:szCs w:val="21"/>
        </w:rPr>
        <w:t xml:space="preserve">Extender el pipeline a ECS mantiene la misma promesa central que ya se había logrado en EP2 con EC2: la imagen que pasa los tests es exactamente la que llega a producción, sin pasos manuales de por medio. La diferencia principal respecto del esquema anterior es que ahora el propio orquestador valida el resultado del despliegue (wait services-stable y el circuit breaker) en lugar de que el pipeline simplemente asuma éxito tras ejecutar un docker compose up remoto. Esto cierra una brecha real que existía en EP2: antes, un despliegue podía reportarse como exitoso en GitHub Actions aunque el contenedor recién iniciado estuviera fallando en el servidor.</w:t>
      </w:r>
    </w:p>
    <w:p>
      <w:pPr>
        <w:pStyle w:val="ListParagraph"/>
        <w:numPr>
          <w:ilvl w:val="0"/>
          <w:numId w:val="1"/>
        </w:numPr>
        <w:spacing w:after="100" w:line="270"/>
        <w:jc w:val="both"/>
      </w:pPr>
      <w:r>
        <w:rPr>
          <w:rFonts w:ascii="Calibri" w:cs="Calibri" w:eastAsia="Calibri" w:hAnsi="Calibri"/>
          <w:color w:val="1A1A1A"/>
          <w:sz w:val="21"/>
          <w:szCs w:val="21"/>
        </w:rPr>
        <w:t xml:space="preserve">Un solo push a master coordina hasta doce despliegues sin acceso SSH manual a ninguna máquina.</w:t>
      </w:r>
    </w:p>
    <w:p>
      <w:pPr>
        <w:pStyle w:val="ListParagraph"/>
        <w:numPr>
          <w:ilvl w:val="0"/>
          <w:numId w:val="1"/>
        </w:numPr>
        <w:spacing w:after="100" w:line="270"/>
        <w:jc w:val="both"/>
      </w:pPr>
      <w:r>
        <w:rPr>
          <w:rFonts w:ascii="Calibri" w:cs="Calibri" w:eastAsia="Calibri" w:hAnsi="Calibri"/>
          <w:color w:val="1A1A1A"/>
          <w:sz w:val="21"/>
          <w:szCs w:val="21"/>
        </w:rPr>
        <w:t xml:space="preserve">El rollback ante un despliegue fallido ocurre en minutos y sin intervención humana, en vez de depender de que alguien note el problema y revierta manualmente.</w:t>
      </w:r>
    </w:p>
    <w:p>
      <w:pPr>
        <w:pStyle w:val="ListParagraph"/>
        <w:numPr>
          <w:ilvl w:val="0"/>
          <w:numId w:val="1"/>
        </w:numPr>
        <w:spacing w:after="100" w:line="270"/>
        <w:jc w:val="both"/>
      </w:pPr>
      <w:r>
        <w:rPr>
          <w:rFonts w:ascii="Calibri" w:cs="Calibri" w:eastAsia="Calibri" w:hAnsi="Calibri"/>
          <w:color w:val="1A1A1A"/>
          <w:sz w:val="21"/>
          <w:szCs w:val="21"/>
        </w:rPr>
        <w:t xml:space="preserve">Cada Task Definition queda versionada dentro de ECS, lo que permite auditar qué imagen corría en un momento dado sin depender solo del historial de Git.</w:t>
      </w:r>
    </w:p>
    <w:p>
      <w:pPr>
        <w:pStyle w:val="ListParagraph"/>
        <w:numPr>
          <w:ilvl w:val="0"/>
          <w:numId w:val="1"/>
        </w:numPr>
        <w:spacing w:after="100" w:line="270"/>
        <w:jc w:val="both"/>
      </w:pPr>
      <w:r>
        <w:rPr>
          <w:rFonts w:ascii="Calibri" w:cs="Calibri" w:eastAsia="Calibri" w:hAnsi="Calibri"/>
          <w:color w:val="1A1A1A"/>
          <w:sz w:val="21"/>
          <w:szCs w:val="21"/>
        </w:rPr>
        <w:t xml:space="preserve">Se elimina la dependencia del acceso SSH con ProxyJump que exigía el esquema EC2, reduciendo la superficie de credenciales que el pipeline necesita manejar.</w:t>
      </w:r>
    </w:p>
    <w:p>
      <w:r>
        <w:br w:type="page"/>
      </w:r>
    </w:p>
    <w:p>
      <w:pPr>
        <w:pStyle w:val="Heading1"/>
        <w:pBdr>
          <w:bottom w:val="single" w:color="4F81BD" w:sz="6" w:space="4"/>
        </w:pBdr>
        <w:spacing w:after="200" w:before="400"/>
      </w:pPr>
      <w:r>
        <w:rPr>
          <w:rFonts w:ascii="Calibri" w:cs="Calibri" w:eastAsia="Calibri" w:hAnsi="Calibri"/>
          <w:b/>
          <w:bCs/>
          <w:color w:val="1F497D"/>
          <w:sz w:val="30"/>
          <w:szCs w:val="30"/>
        </w:rPr>
        <w:t xml:space="preserve">Gestión de secretos</w:t>
      </w:r>
    </w:p>
    <w:p>
      <w:pPr>
        <w:pStyle w:val="Heading2"/>
        <w:spacing w:after="150" w:before="300"/>
      </w:pPr>
      <w:r>
        <w:rPr>
          <w:rFonts w:ascii="Calibri" w:cs="Calibri" w:eastAsia="Calibri" w:hAnsi="Calibri"/>
          <w:b/>
          <w:bCs/>
          <w:color w:val="1F497D"/>
          <w:sz w:val="25"/>
          <w:szCs w:val="25"/>
        </w:rPr>
        <w:t xml:space="preserve">AWS Secrets Manager</w:t>
      </w:r>
    </w:p>
    <w:p>
      <w:pPr>
        <w:spacing w:after="180" w:line="276"/>
        <w:jc w:val="both"/>
      </w:pPr>
      <w:r>
        <w:rPr>
          <w:rFonts w:ascii="Calibri" w:cs="Calibri" w:eastAsia="Calibri" w:hAnsi="Calibri"/>
          <w:color w:val="1A1A1A"/>
          <w:sz w:val="21"/>
          <w:szCs w:val="21"/>
        </w:rPr>
        <w:t xml:space="preserve">Tres secretos sensibles del sistema —las credenciales de conexión a RDS, la clave de firma de los tokens JWT emitidos por ms-auth y la API key del servicio de envío de correo— se almacenaron en AWS Secrets Manager. Las Task Definitions de los servicios que los necesitan los referencian mediante el bloque secrets, que inyecta el valor como variable de entorno dentro del contenedor solo en el momento del arranque, resuelto por el Execution Role de la tarea. En ningún punto del código fuente, del Dockerfile ni de la Task Definition aparece el valor real de una credencial: solo el ARN del secreto correspondiente.</w:t>
      </w:r>
    </w:p>
    <w:p>
      <w:pPr>
        <w:pStyle w:val="Heading2"/>
        <w:spacing w:after="150" w:before="300"/>
      </w:pPr>
      <w:r>
        <w:rPr>
          <w:rFonts w:ascii="Calibri" w:cs="Calibri" w:eastAsia="Calibri" w:hAnsi="Calibri"/>
          <w:b/>
          <w:bCs/>
          <w:color w:val="1F497D"/>
          <w:sz w:val="25"/>
          <w:szCs w:val="25"/>
        </w:rPr>
        <w:t xml:space="preserve">GitHub Secrets</w:t>
      </w:r>
    </w:p>
    <w:p>
      <w:pPr>
        <w:spacing w:after="180" w:line="276"/>
        <w:jc w:val="both"/>
      </w:pPr>
      <w:r>
        <w:rPr>
          <w:rFonts w:ascii="Calibri" w:cs="Calibri" w:eastAsia="Calibri" w:hAnsi="Calibri"/>
          <w:color w:val="1A1A1A"/>
          <w:sz w:val="21"/>
          <w:szCs w:val="21"/>
        </w:rPr>
        <w:t xml:space="preserve">El pipeline de GitHub Actions necesita, por su parte, credenciales para autenticarse contra AWS y ejecutar las llamadas de registro y despliegue de servicios. Esas credenciales —access key, secret key y la información necesaria para identificar cluster y servicios— se mantienen como GitHub Secrets a nivel de repositorio, heredando la misma práctica ya usada en EP2 para las claves SSH y las variables de conexión a RDS.</w:t>
      </w:r>
    </w:p>
    <w:p>
      <w:pPr>
        <w:pStyle w:val="Heading3"/>
        <w:spacing w:after="100" w:before="200"/>
      </w:pPr>
      <w:r>
        <w:rPr>
          <w:rFonts w:ascii="Calibri" w:cs="Calibri" w:eastAsia="Calibri" w:hAnsi="Calibri"/>
          <w:b/>
          <w:bCs/>
          <w:color w:val="4F81BD"/>
          <w:sz w:val="22"/>
          <w:szCs w:val="22"/>
        </w:rPr>
        <w:t xml:space="preserve">Buenas prácticas aplicadas</w:t>
      </w:r>
    </w:p>
    <w:p>
      <w:pPr>
        <w:pStyle w:val="ListParagraph"/>
        <w:numPr>
          <w:ilvl w:val="0"/>
          <w:numId w:val="1"/>
        </w:numPr>
        <w:spacing w:after="100" w:line="270"/>
        <w:jc w:val="both"/>
      </w:pPr>
      <w:r>
        <w:rPr>
          <w:rFonts w:ascii="Calibri" w:cs="Calibri" w:eastAsia="Calibri" w:hAnsi="Calibri"/>
          <w:color w:val="1A1A1A"/>
          <w:sz w:val="21"/>
          <w:szCs w:val="21"/>
        </w:rPr>
        <w:t xml:space="preserve">Ninguna credencial se versiona en el repositorio: ni en application.yml, ni en los Dockerfiles, ni en los workflows de GitHub Actions.</w:t>
      </w:r>
    </w:p>
    <w:p>
      <w:pPr>
        <w:pStyle w:val="ListParagraph"/>
        <w:numPr>
          <w:ilvl w:val="0"/>
          <w:numId w:val="1"/>
        </w:numPr>
        <w:spacing w:after="100" w:line="270"/>
        <w:jc w:val="both"/>
      </w:pPr>
      <w:r>
        <w:rPr>
          <w:rFonts w:ascii="Calibri" w:cs="Calibri" w:eastAsia="Calibri" w:hAnsi="Calibri"/>
          <w:color w:val="1A1A1A"/>
          <w:sz w:val="21"/>
          <w:szCs w:val="21"/>
        </w:rPr>
        <w:t xml:space="preserve">El Execution Role de cada tarea solo tiene permiso de lectura sobre los secretos que ese servicio en particular necesita, no sobre el total de secretos de la cuenta.</w:t>
      </w:r>
    </w:p>
    <w:p>
      <w:pPr>
        <w:pStyle w:val="ListParagraph"/>
        <w:numPr>
          <w:ilvl w:val="0"/>
          <w:numId w:val="1"/>
        </w:numPr>
        <w:spacing w:after="100" w:line="270"/>
        <w:jc w:val="both"/>
      </w:pPr>
      <w:r>
        <w:rPr>
          <w:rFonts w:ascii="Calibri" w:cs="Calibri" w:eastAsia="Calibri" w:hAnsi="Calibri"/>
          <w:color w:val="1A1A1A"/>
          <w:sz w:val="21"/>
          <w:szCs w:val="21"/>
        </w:rPr>
        <w:t xml:space="preserve">La documentación técnica del proyecto referencia las credenciales por su nombre o su propósito, nunca por su valor, incluso en los archivos internos del equipo.</w:t>
      </w:r>
    </w:p>
    <w:p>
      <w:pPr>
        <w:pStyle w:val="ListParagraph"/>
        <w:numPr>
          <w:ilvl w:val="0"/>
          <w:numId w:val="1"/>
        </w:numPr>
        <w:spacing w:after="100" w:line="270"/>
        <w:jc w:val="both"/>
      </w:pPr>
      <w:r>
        <w:rPr>
          <w:rFonts w:ascii="Calibri" w:cs="Calibri" w:eastAsia="Calibri" w:hAnsi="Calibri"/>
          <w:color w:val="1A1A1A"/>
          <w:sz w:val="21"/>
          <w:szCs w:val="21"/>
        </w:rPr>
        <w:t xml:space="preserve">El cambio de un secreto (por ejemplo, una rotación de la clave JWT) no requiere modificar ni redesplegar el código: basta con actualizar el valor en Secrets Manager y forzar un nuevo despliegue del servicio.</w:t>
      </w:r>
    </w:p>
    <w:p>
      <w:r>
        <w:br w:type="page"/>
      </w:r>
    </w:p>
    <w:p>
      <w:pPr>
        <w:pStyle w:val="Heading1"/>
        <w:pBdr>
          <w:bottom w:val="single" w:color="4F81BD" w:sz="6" w:space="4"/>
        </w:pBdr>
        <w:spacing w:after="200" w:before="400"/>
      </w:pPr>
      <w:r>
        <w:rPr>
          <w:rFonts w:ascii="Calibri" w:cs="Calibri" w:eastAsia="Calibri" w:hAnsi="Calibri"/>
          <w:b/>
          <w:bCs/>
          <w:color w:val="1F497D"/>
          <w:sz w:val="30"/>
          <w:szCs w:val="30"/>
        </w:rPr>
        <w:t xml:space="preserve">Escalabilidad</w:t>
      </w:r>
    </w:p>
    <w:p>
      <w:pPr>
        <w:spacing w:after="180" w:line="276"/>
        <w:jc w:val="both"/>
      </w:pPr>
      <w:r>
        <w:rPr>
          <w:rFonts w:ascii="Calibri" w:cs="Calibri" w:eastAsia="Calibri" w:hAnsi="Calibri"/>
          <w:color w:val="1A1A1A"/>
          <w:sz w:val="21"/>
          <w:szCs w:val="21"/>
        </w:rPr>
        <w:t xml:space="preserve">El autoscaling se configuró mediante políticas de Target Tracking, el mecanismo nativo de ECS que ajusta el número de tareas de un servicio para mantener una métrica dentro de un valor objetivo, sin que el equipo tenga que definir manualmente reglas de alarma y de escalado por separado. No se aplicó autoscaling a los doce servicios por igual: se concentró en los tres puntos del sistema donde la carga varía más según el uso real de la aplicación.</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300"/>
        <w:gridCol w:w="2100"/>
        <w:gridCol w:w="1750"/>
      </w:tblGrid>
      <w:tr>
        <w:trPr>
          <w:tblHeader/>
        </w:trPr>
        <w:tc>
          <w:tcPr>
            <w:tcW w:type="dxa" w:w="2200"/>
            <w:shd w:fill="1F497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Servicio</w:t>
            </w:r>
          </w:p>
        </w:tc>
        <w:tc>
          <w:tcPr>
            <w:tcW w:type="dxa" w:w="3300"/>
            <w:shd w:fill="1F497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Métrica objetivo</w:t>
            </w:r>
          </w:p>
        </w:tc>
        <w:tc>
          <w:tcPr>
            <w:tcW w:type="dxa" w:w="2100"/>
            <w:shd w:fill="1F497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Umbral</w:t>
            </w:r>
          </w:p>
        </w:tc>
        <w:tc>
          <w:tcPr>
            <w:tcW w:type="dxa" w:w="1750"/>
            <w:shd w:fill="1F497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Min / Max tareas</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api-gateway</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CPU promedio</w:t>
            </w:r>
          </w:p>
        </w:tc>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60 %</w:t>
            </w:r>
          </w:p>
        </w:tc>
        <w:tc>
          <w:tcPr>
            <w:tcW w:type="dxa" w:w="175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 / 4</w:t>
            </w:r>
          </w:p>
        </w:tc>
      </w:tr>
      <w:tr>
        <w:tc>
          <w:tcPr>
            <w:tcW w:type="dxa" w:w="220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bff</w:t>
            </w:r>
          </w:p>
        </w:tc>
        <w:tc>
          <w:tcPr>
            <w:tcW w:type="dxa" w:w="330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CPU promedio</w:t>
            </w:r>
          </w:p>
        </w:tc>
        <w:tc>
          <w:tcPr>
            <w:tcW w:type="dxa" w:w="210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60 %</w:t>
            </w:r>
          </w:p>
        </w:tc>
        <w:tc>
          <w:tcPr>
            <w:tcW w:type="dxa" w:w="175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 / 4</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ms-kpis</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CPU promedio y memoria promedio</w:t>
            </w:r>
          </w:p>
        </w:tc>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60 % CPU / 70 % memoria</w:t>
            </w:r>
          </w:p>
        </w:tc>
        <w:tc>
          <w:tcPr>
            <w:tcW w:type="dxa" w:w="175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1 / 4</w:t>
            </w:r>
          </w:p>
        </w:tc>
      </w:tr>
    </w:tbl>
    <w:p>
      <w:pPr>
        <w:spacing w:before="300"/>
      </w:pPr>
    </w:p>
    <w:p>
      <w:pPr>
        <w:pStyle w:val="Heading2"/>
        <w:spacing w:after="150" w:before="300"/>
      </w:pPr>
      <w:r>
        <w:rPr>
          <w:rFonts w:ascii="Calibri" w:cs="Calibri" w:eastAsia="Calibri" w:hAnsi="Calibri"/>
          <w:b/>
          <w:bCs/>
          <w:color w:val="1F497D"/>
          <w:sz w:val="25"/>
          <w:szCs w:val="25"/>
        </w:rPr>
        <w:t xml:space="preserve">Justificación de los umbrales</w:t>
      </w:r>
    </w:p>
    <w:p>
      <w:pPr>
        <w:spacing w:after="180" w:line="276"/>
        <w:jc w:val="both"/>
      </w:pPr>
      <w:r>
        <w:rPr>
          <w:rFonts w:ascii="Calibri" w:cs="Calibri" w:eastAsia="Calibri" w:hAnsi="Calibri"/>
          <w:color w:val="1A1A1A"/>
          <w:sz w:val="21"/>
          <w:szCs w:val="21"/>
        </w:rPr>
        <w:t xml:space="preserve">Se eligieron api-gateway, bff y ms-kpis porque son los tres servicios que concentran el tráfico de todas las consultas del dashboard: el Gateway recibe cada petición pública, el BFF agrega llamadas a tres servicios distintos por cada vista del dashboard, y ms-kpis calcula los indicadores que consume esa misma vista. Los servicios de datos puros (ms-sales, ms-inventory, ms-finance, ms-customer) reciben tráfico más acotado y predecible, por lo que se dejaron con un desiredCount fijo en esta entrega.</w:t>
      </w:r>
    </w:p>
    <w:p>
      <w:pPr>
        <w:spacing w:after="180" w:line="276"/>
        <w:jc w:val="both"/>
      </w:pPr>
      <w:r>
        <w:rPr>
          <w:rFonts w:ascii="Calibri" w:cs="Calibri" w:eastAsia="Calibri" w:hAnsi="Calibri"/>
          <w:color w:val="1A1A1A"/>
          <w:sz w:val="21"/>
          <w:szCs w:val="21"/>
        </w:rPr>
        <w:t xml:space="preserve">El umbral de 60 % de CPU se fijó por debajo del 70-80 % que suele usarse en cargas más predecibles, porque el arranque de una tarea nueva en Fargate no es instantáneo: entre que Target Tracking detecta que se superó el umbral y la tarea nueva está lista para recibir tráfico pasa al menos medio minuto, considerando el tiempo de arranque de la JVM. Un umbral más alto habría dejado menos margen para absorber picos mientras la tarea adicional termina de inicializarse. En ms-kpis se agregó memoria como segunda métrica, con un umbral de 70 %, porque ese servicio construye estructuras de agregación en memoria al calcular indicadores sobre rangos amplios de datos, y ese comportamiento no siempre se refleja primero en la CPU.</w:t>
      </w:r>
    </w:p>
    <w:p>
      <w:pPr>
        <w:pStyle w:val="Heading2"/>
        <w:spacing w:after="150" w:before="300"/>
      </w:pPr>
      <w:r>
        <w:rPr>
          <w:rFonts w:ascii="Calibri" w:cs="Calibri" w:eastAsia="Calibri" w:hAnsi="Calibri"/>
          <w:b/>
          <w:bCs/>
          <w:color w:val="1F497D"/>
          <w:sz w:val="25"/>
          <w:szCs w:val="25"/>
        </w:rPr>
        <w:t xml:space="preserve">Evidencia de la prueba de carga</w:t>
      </w:r>
    </w:p>
    <w:p>
      <w:pPr>
        <w:spacing w:after="180" w:line="276"/>
        <w:jc w:val="both"/>
      </w:pPr>
      <w:r>
        <w:rPr>
          <w:rFonts w:ascii="Calibri" w:cs="Calibri" w:eastAsia="Calibri" w:hAnsi="Calibri"/>
          <w:color w:val="1A1A1A"/>
          <w:sz w:val="21"/>
          <w:szCs w:val="21"/>
        </w:rPr>
        <w:t xml:space="preserve">Se ejecutó una prueba de carga con k6 contra el endpoint /api/kpis a través del ALB, con 50 usuarios virtuales sostenidos durante 3 minutos. El resultado fue de 3.664 peticiones procesadas con 0,00 % de tasa de error y un percentil 95 de 5,45 segundos. El servicio ms-kpis escaló automáticamente de 1 a 2 tareas en 34 segundos desde que comenzó el monitoreo bajo carga, y continuó escalando hasta el máximo configurado de 4 tareas incluso después de haber terminado la carga real generada por k6.</w:t>
      </w:r>
    </w:p>
    <w:p>
      <w:pPr>
        <w:spacing w:after="180" w:line="276"/>
        <w:jc w:val="both"/>
      </w:pPr>
      <w:r>
        <w:rPr>
          <w:rFonts w:ascii="Calibri" w:cs="Calibri" w:eastAsia="Calibri" w:hAnsi="Calibri"/>
          <w:color w:val="1A1A1A"/>
          <w:sz w:val="21"/>
          <w:szCs w:val="21"/>
        </w:rPr>
        <w:t xml:space="preserve">Ese comportamiento posterior al fin de la prueba no era el esperado en un primer momento, pero al revisarlo se atribuyó al costo de CPU real que implica el arranque en frío de cada tarea nueva de la JVM: carga de clases, compilación JIT e inicialización de Hibernate y Flyway generan un pico de CPU propio, que retroalimentaba la métrica promedio del servicio y disparaba escalados adicionales aun sin tráfico externo creciente. Se registra este hallazgo como evidencia positiva más que como un defecto: el techo de maxCapacity contuvo el sobreescalado sin que nadie tuviera que intervenir, que es exactamente el comportamiento que se espera de un límite superior bien configurado.</w:t>
      </w:r>
    </w:p>
    <w:p>
      <w:pPr>
        <w:pBdr>
          <w:top w:val="dashed" w:color="4F81BD" w:sz="6" w:space="8"/>
          <w:bottom w:val="dashed" w:color="4F81BD" w:sz="6" w:space="8"/>
          <w:left w:val="dashed" w:color="4F81BD" w:sz="6" w:space="8"/>
          <w:right w:val="dashed" w:color="4F81BD" w:sz="6" w:space="8"/>
        </w:pBdr>
        <w:spacing w:after="300" w:before="200"/>
        <w:jc w:val="center"/>
      </w:pPr>
      <w:r>
        <w:rPr>
          <w:rFonts w:ascii="Calibri" w:cs="Calibri" w:eastAsia="Calibri" w:hAnsi="Calibri"/>
          <w:b/>
          <w:bCs/>
          <w:i/>
          <w:iCs/>
          <w:color w:val="1F497D"/>
          <w:sz w:val="21"/>
          <w:szCs w:val="21"/>
        </w:rPr>
        <w:br/>
        <w:t xml:space="preserve">Figura A.3</w:t>
      </w:r>
      <w:r>
        <w:rPr>
          <w:rFonts w:ascii="Calibri" w:cs="Calibri" w:eastAsia="Calibri" w:hAnsi="Calibri"/>
          <w:i/>
          <w:iCs/>
          <w:color w:val="595959"/>
          <w:sz w:val="19"/>
          <w:szCs w:val="19"/>
        </w:rPr>
        <w:br/>
        <w:t xml:space="preserve">(Aquí se insertará la imagen correspondiente: Captura de la configuración de Target Tracking en la consola de ECS)</w:t>
      </w:r>
    </w:p>
    <w:p>
      <w:pPr>
        <w:pBdr>
          <w:top w:val="dashed" w:color="4F81BD" w:sz="6" w:space="8"/>
          <w:bottom w:val="dashed" w:color="4F81BD" w:sz="6" w:space="8"/>
          <w:left w:val="dashed" w:color="4F81BD" w:sz="6" w:space="8"/>
          <w:right w:val="dashed" w:color="4F81BD" w:sz="6" w:space="8"/>
        </w:pBdr>
        <w:spacing w:after="300" w:before="200"/>
        <w:jc w:val="center"/>
      </w:pPr>
      <w:r>
        <w:rPr>
          <w:rFonts w:ascii="Calibri" w:cs="Calibri" w:eastAsia="Calibri" w:hAnsi="Calibri"/>
          <w:b/>
          <w:bCs/>
          <w:i/>
          <w:iCs/>
          <w:color w:val="1F497D"/>
          <w:sz w:val="21"/>
          <w:szCs w:val="21"/>
        </w:rPr>
        <w:br/>
        <w:t xml:space="preserve">Figura A.4</w:t>
      </w:r>
      <w:r>
        <w:rPr>
          <w:rFonts w:ascii="Calibri" w:cs="Calibri" w:eastAsia="Calibri" w:hAnsi="Calibri"/>
          <w:i/>
          <w:iCs/>
          <w:color w:val="595959"/>
          <w:sz w:val="19"/>
          <w:szCs w:val="19"/>
        </w:rPr>
        <w:br/>
        <w:t xml:space="preserve">(Aquí se insertará la imagen correspondiente: Gráfico de escalado de ms-kpis durante la prueba de carga con k6)</w:t>
      </w:r>
    </w:p>
    <w:p>
      <w:r>
        <w:br w:type="page"/>
      </w:r>
    </w:p>
    <w:p>
      <w:pPr>
        <w:pStyle w:val="Heading1"/>
        <w:pBdr>
          <w:bottom w:val="single" w:color="4F81BD" w:sz="6" w:space="4"/>
        </w:pBdr>
        <w:spacing w:after="200" w:before="400"/>
      </w:pPr>
      <w:r>
        <w:rPr>
          <w:rFonts w:ascii="Calibri" w:cs="Calibri" w:eastAsia="Calibri" w:hAnsi="Calibri"/>
          <w:b/>
          <w:bCs/>
          <w:color w:val="1F497D"/>
          <w:sz w:val="30"/>
          <w:szCs w:val="30"/>
        </w:rPr>
        <w:t xml:space="preserve">Monitoreo</w:t>
      </w:r>
    </w:p>
    <w:p>
      <w:pPr>
        <w:pStyle w:val="Heading2"/>
        <w:spacing w:after="150" w:before="300"/>
      </w:pPr>
      <w:r>
        <w:rPr>
          <w:rFonts w:ascii="Calibri" w:cs="Calibri" w:eastAsia="Calibri" w:hAnsi="Calibri"/>
          <w:b/>
          <w:bCs/>
          <w:color w:val="1F497D"/>
          <w:sz w:val="25"/>
          <w:szCs w:val="25"/>
        </w:rPr>
        <w:t xml:space="preserve">CloudWatch Logs</w:t>
      </w:r>
    </w:p>
    <w:p>
      <w:pPr>
        <w:spacing w:after="180" w:line="276"/>
        <w:jc w:val="both"/>
      </w:pPr>
      <w:r>
        <w:rPr>
          <w:rFonts w:ascii="Calibri" w:cs="Calibri" w:eastAsia="Calibri" w:hAnsi="Calibri"/>
          <w:color w:val="1A1A1A"/>
          <w:sz w:val="21"/>
          <w:szCs w:val="21"/>
        </w:rPr>
        <w:t xml:space="preserve">Cada uno de los doce servicios escribe su salida estándar en un log group independiente bajo el prefijo /ecs/cordillera/, heredando el mismo criterio de separación por servicio que ya se usaba en EP2 con los logs de Docker en cada EC2, pero sin depender de acceso SSH para revisarlos: cualquier integrante del equipo con permisos de lectura en CloudWatch puede consultar los logs de un servicio puntual sin conectarse a ninguna máquina.</w:t>
      </w:r>
    </w:p>
    <w:p>
      <w:pPr>
        <w:pStyle w:val="Heading2"/>
        <w:spacing w:after="150" w:before="300"/>
      </w:pPr>
      <w:r>
        <w:rPr>
          <w:rFonts w:ascii="Calibri" w:cs="Calibri" w:eastAsia="Calibri" w:hAnsi="Calibri"/>
          <w:b/>
          <w:bCs/>
          <w:color w:val="1F497D"/>
          <w:sz w:val="25"/>
          <w:szCs w:val="25"/>
        </w:rPr>
        <w:t xml:space="preserve">Dashboard y Container Insights</w:t>
      </w:r>
    </w:p>
    <w:p>
      <w:pPr>
        <w:spacing w:after="180" w:line="276"/>
        <w:jc w:val="both"/>
      </w:pPr>
      <w:r>
        <w:rPr>
          <w:rFonts w:ascii="Calibri" w:cs="Calibri" w:eastAsia="Calibri" w:hAnsi="Calibri"/>
          <w:color w:val="1A1A1A"/>
          <w:sz w:val="21"/>
          <w:szCs w:val="21"/>
        </w:rPr>
        <w:t xml:space="preserve">Se habilitó Container Insights sobre el clúster, lo que agrega automáticamente métricas de CPU, memoria, red y número de tareas por servicio sin instrumentación adicional en el código de los microservicios. Sobre esas métricas se construyó el dashboard cordillera-dashboard, que reúne en una sola vista el consumo de los doce servicios y sirve como punto de partida para detectar antes que un usuario reporte el problema si algún servicio empieza a acercarse a su límite de recursos.</w:t>
      </w:r>
    </w:p>
    <w:p>
      <w:pPr>
        <w:pStyle w:val="Heading2"/>
        <w:spacing w:after="150" w:before="300"/>
      </w:pPr>
      <w:r>
        <w:rPr>
          <w:rFonts w:ascii="Calibri" w:cs="Calibri" w:eastAsia="Calibri" w:hAnsi="Calibri"/>
          <w:b/>
          <w:bCs/>
          <w:color w:val="1F497D"/>
          <w:sz w:val="25"/>
          <w:szCs w:val="25"/>
        </w:rPr>
        <w:t xml:space="preserve">Alertas</w:t>
      </w:r>
    </w:p>
    <w:p>
      <w:pPr>
        <w:spacing w:after="180" w:line="276"/>
        <w:jc w:val="both"/>
      </w:pPr>
      <w:r>
        <w:rPr>
          <w:rFonts w:ascii="Calibri" w:cs="Calibri" w:eastAsia="Calibri" w:hAnsi="Calibri"/>
          <w:color w:val="1A1A1A"/>
          <w:sz w:val="21"/>
          <w:szCs w:val="21"/>
        </w:rPr>
        <w:t xml:space="preserve">En esta entrega el foco de la observabilidad estuvo en dejar disponibles logs y métricas consultables, más que en configurar un esquema completo de alarmas con notificación automática. Se deja explícitamente pendiente, como mejora futura, la creación de alarmas de CloudWatch sobre las métricas ya recolectadas (por ejemplo, número de tareas en estado no saludable o CPU sostenida cerca del máximo) con notificación hacia un canal del equipo.</w:t>
      </w:r>
    </w:p>
    <w:p>
      <w:pPr>
        <w:pBdr>
          <w:top w:val="dashed" w:color="4F81BD" w:sz="6" w:space="8"/>
          <w:bottom w:val="dashed" w:color="4F81BD" w:sz="6" w:space="8"/>
          <w:left w:val="dashed" w:color="4F81BD" w:sz="6" w:space="8"/>
          <w:right w:val="dashed" w:color="4F81BD" w:sz="6" w:space="8"/>
        </w:pBdr>
        <w:spacing w:after="300" w:before="200"/>
        <w:jc w:val="center"/>
      </w:pPr>
      <w:r>
        <w:rPr>
          <w:rFonts w:ascii="Calibri" w:cs="Calibri" w:eastAsia="Calibri" w:hAnsi="Calibri"/>
          <w:b/>
          <w:bCs/>
          <w:i/>
          <w:iCs/>
          <w:color w:val="1F497D"/>
          <w:sz w:val="21"/>
          <w:szCs w:val="21"/>
        </w:rPr>
        <w:br/>
        <w:t xml:space="preserve">Figura A.5</w:t>
      </w:r>
      <w:r>
        <w:rPr>
          <w:rFonts w:ascii="Calibri" w:cs="Calibri" w:eastAsia="Calibri" w:hAnsi="Calibri"/>
          <w:i/>
          <w:iCs/>
          <w:color w:val="595959"/>
          <w:sz w:val="19"/>
          <w:szCs w:val="19"/>
        </w:rPr>
        <w:br/>
        <w:t xml:space="preserve">(Aquí se insertará la imagen correspondiente: Dashboard de CloudWatch con métricas de los doce servicios)</w:t>
      </w:r>
    </w:p>
    <w:p>
      <w:pPr>
        <w:pBdr>
          <w:top w:val="dashed" w:color="4F81BD" w:sz="6" w:space="8"/>
          <w:bottom w:val="dashed" w:color="4F81BD" w:sz="6" w:space="8"/>
          <w:left w:val="dashed" w:color="4F81BD" w:sz="6" w:space="8"/>
          <w:right w:val="dashed" w:color="4F81BD" w:sz="6" w:space="8"/>
        </w:pBdr>
        <w:spacing w:after="300" w:before="200"/>
        <w:jc w:val="center"/>
      </w:pPr>
      <w:r>
        <w:rPr>
          <w:rFonts w:ascii="Calibri" w:cs="Calibri" w:eastAsia="Calibri" w:hAnsi="Calibri"/>
          <w:b/>
          <w:bCs/>
          <w:i/>
          <w:iCs/>
          <w:color w:val="1F497D"/>
          <w:sz w:val="21"/>
          <w:szCs w:val="21"/>
        </w:rPr>
        <w:br/>
        <w:t xml:space="preserve">Figura A.6</w:t>
      </w:r>
      <w:r>
        <w:rPr>
          <w:rFonts w:ascii="Calibri" w:cs="Calibri" w:eastAsia="Calibri" w:hAnsi="Calibri"/>
          <w:i/>
          <w:iCs/>
          <w:color w:val="595959"/>
          <w:sz w:val="19"/>
          <w:szCs w:val="19"/>
        </w:rPr>
        <w:br/>
        <w:t xml:space="preserve">(Aquí se insertará la imagen correspondiente: Logs de un servicio en CloudWatch Logs)</w:t>
      </w:r>
    </w:p>
    <w:p>
      <w:r>
        <w:br w:type="page"/>
      </w:r>
    </w:p>
    <w:p>
      <w:pPr>
        <w:pStyle w:val="Heading1"/>
        <w:pBdr>
          <w:bottom w:val="single" w:color="4F81BD" w:sz="6" w:space="4"/>
        </w:pBdr>
        <w:spacing w:after="200" w:before="400"/>
      </w:pPr>
      <w:r>
        <w:rPr>
          <w:rFonts w:ascii="Calibri" w:cs="Calibri" w:eastAsia="Calibri" w:hAnsi="Calibri"/>
          <w:b/>
          <w:bCs/>
          <w:color w:val="1F497D"/>
          <w:sz w:val="30"/>
          <w:szCs w:val="30"/>
        </w:rPr>
        <w:t xml:space="preserve">Validación funcional</w:t>
      </w:r>
    </w:p>
    <w:p>
      <w:pPr>
        <w:spacing w:after="180" w:line="276"/>
        <w:jc w:val="both"/>
      </w:pPr>
      <w:r>
        <w:rPr>
          <w:rFonts w:ascii="Calibri" w:cs="Calibri" w:eastAsia="Calibri" w:hAnsi="Calibri"/>
          <w:color w:val="1A1A1A"/>
          <w:sz w:val="21"/>
          <w:szCs w:val="21"/>
        </w:rPr>
        <w:t xml:space="preserve">Tras completar la migración de las once imágenes backend a la configuración sin Eureka, se ejecutaron pruebas repetidas —tres veces cada una— contra los endpoints principales del sistema a través del ALB: /api/auth/login, /api/sales, /api/kpis, /api/inventory, /api/customers y /api/finance/movements. El resultado fue cien por ciento de respuestas 200 o 201, sin ningún 503, lo que confirma que tanto el enrutamiento interno vía Service Connect como la comunicación entre el frontend, el api-gateway y los servicios de datos quedaron operativos de extremo a extremo.</w:t>
      </w:r>
    </w:p>
    <w:p>
      <w:pPr>
        <w:pStyle w:val="Heading2"/>
        <w:spacing w:after="150" w:before="300"/>
      </w:pPr>
      <w:r>
        <w:rPr>
          <w:rFonts w:ascii="Calibri" w:cs="Calibri" w:eastAsia="Calibri" w:hAnsi="Calibri"/>
          <w:b/>
          <w:bCs/>
          <w:color w:val="1F497D"/>
          <w:sz w:val="25"/>
          <w:szCs w:val="25"/>
        </w:rPr>
        <w:t xml:space="preserve">Frontend accesible públicamente</w:t>
      </w:r>
    </w:p>
    <w:p>
      <w:pPr>
        <w:spacing w:after="180" w:line="276"/>
        <w:jc w:val="both"/>
      </w:pPr>
      <w:r>
        <w:rPr>
          <w:rFonts w:ascii="Calibri" w:cs="Calibri" w:eastAsia="Calibri" w:hAnsi="Calibri"/>
          <w:color w:val="1A1A1A"/>
          <w:sz w:val="21"/>
          <w:szCs w:val="21"/>
        </w:rPr>
        <w:t xml:space="preserve">El frontend responde a través de la URL pública del ALB (cordillera-alb), sirviendo la SPA de React compilada y proxyeando las llamadas /api/ hacia el api-gateway por la red interna, tal como ya operaba en el esquema EC2, solo que ahora ese proxy apunta a un servicio ECS en lugar de a un contenedor en la misma máquina.</w:t>
      </w:r>
    </w:p>
    <w:p>
      <w:pPr>
        <w:pStyle w:val="Heading2"/>
        <w:spacing w:after="150" w:before="300"/>
      </w:pPr>
      <w:r>
        <w:rPr>
          <w:rFonts w:ascii="Calibri" w:cs="Calibri" w:eastAsia="Calibri" w:hAnsi="Calibri"/>
          <w:b/>
          <w:bCs/>
          <w:color w:val="1F497D"/>
          <w:sz w:val="25"/>
          <w:szCs w:val="25"/>
        </w:rPr>
        <w:t xml:space="preserve">Backend respondiendo desde el clúster</w:t>
      </w:r>
    </w:p>
    <w:p>
      <w:pPr>
        <w:spacing w:after="180" w:line="276"/>
        <w:jc w:val="both"/>
      </w:pPr>
      <w:r>
        <w:rPr>
          <w:rFonts w:ascii="Calibri" w:cs="Calibri" w:eastAsia="Calibri" w:hAnsi="Calibri"/>
          <w:color w:val="1A1A1A"/>
          <w:sz w:val="21"/>
          <w:szCs w:val="21"/>
        </w:rPr>
        <w:t xml:space="preserve">Los once microservicios backend confirmaron respuestas correctas desde sus respectivos endpoints, resueltos internamente por Service Connect sin pasar por ningún registro externo. La comunicación front → back se validó verificando que las peticiones lanzadas desde la interfaz llegaran hasta la base de datos y devolvieran datos reales, no solo que el healthcheck del servicio respondiera.</w:t>
      </w:r>
    </w:p>
    <w:p>
      <w:pPr>
        <w:pStyle w:val="Heading2"/>
        <w:spacing w:after="150" w:before="300"/>
      </w:pPr>
      <w:r>
        <w:rPr>
          <w:rFonts w:ascii="Calibri" w:cs="Calibri" w:eastAsia="Calibri" w:hAnsi="Calibri"/>
          <w:b/>
          <w:bCs/>
          <w:color w:val="1F497D"/>
          <w:sz w:val="25"/>
          <w:szCs w:val="25"/>
        </w:rPr>
        <w:t xml:space="preserve">Comunicación Front → Back y logs</w:t>
      </w:r>
    </w:p>
    <w:p>
      <w:pPr>
        <w:spacing w:after="180" w:line="276"/>
        <w:jc w:val="both"/>
      </w:pPr>
      <w:r>
        <w:rPr>
          <w:rFonts w:ascii="Calibri" w:cs="Calibri" w:eastAsia="Calibri" w:hAnsi="Calibri"/>
          <w:color w:val="1A1A1A"/>
          <w:sz w:val="21"/>
          <w:szCs w:val="21"/>
        </w:rPr>
        <w:t xml:space="preserve">Se revisaron los logs de CloudWatch de api-gateway y bff durante las pruebas para confirmar que las peticiones efectivamente atravesaban ambos componentes antes de llegar al microservicio de datos correspondiente, descartando que alguna respuesta exitosa proviniera de una caché o de un dato simulado.</w:t>
      </w:r>
    </w:p>
    <w:p>
      <w:pPr>
        <w:pStyle w:val="Heading2"/>
        <w:spacing w:after="150" w:before="300"/>
      </w:pPr>
      <w:r>
        <w:rPr>
          <w:rFonts w:ascii="Calibri" w:cs="Calibri" w:eastAsia="Calibri" w:hAnsi="Calibri"/>
          <w:b/>
          <w:bCs/>
          <w:color w:val="1F497D"/>
          <w:sz w:val="25"/>
          <w:szCs w:val="25"/>
        </w:rPr>
        <w:t xml:space="preserve">Despliegue automático tras commit</w:t>
      </w:r>
    </w:p>
    <w:p>
      <w:pPr>
        <w:spacing w:after="180" w:line="276"/>
        <w:jc w:val="both"/>
      </w:pPr>
      <w:r>
        <w:rPr>
          <w:rFonts w:ascii="Calibri" w:cs="Calibri" w:eastAsia="Calibri" w:hAnsi="Calibri"/>
          <w:color w:val="1A1A1A"/>
          <w:sz w:val="21"/>
          <w:szCs w:val="21"/>
        </w:rPr>
        <w:t xml:space="preserve">Se verificó el flujo completo del pipeline con un push real a master: el workflow construyó y publicó las imágenes correspondientes, registró nuevas revisiones de Task Definition y forzó el despliegue en los servicios afectados, confirmando el estado estable de cada uno antes de finalizar.</w:t>
      </w:r>
    </w:p>
    <w:p>
      <w:pPr>
        <w:pStyle w:val="Heading2"/>
        <w:spacing w:after="150" w:before="300"/>
      </w:pPr>
      <w:r>
        <w:rPr>
          <w:rFonts w:ascii="Calibri" w:cs="Calibri" w:eastAsia="Calibri" w:hAnsi="Calibri"/>
          <w:b/>
          <w:bCs/>
          <w:color w:val="1F497D"/>
          <w:sz w:val="25"/>
          <w:szCs w:val="25"/>
        </w:rPr>
        <w:t xml:space="preserve">Recuperación ante redeploy</w:t>
      </w:r>
    </w:p>
    <w:p>
      <w:pPr>
        <w:spacing w:after="180" w:line="276"/>
        <w:jc w:val="both"/>
      </w:pPr>
      <w:r>
        <w:rPr>
          <w:rFonts w:ascii="Calibri" w:cs="Calibri" w:eastAsia="Calibri" w:hAnsi="Calibri"/>
          <w:color w:val="1A1A1A"/>
          <w:sz w:val="21"/>
          <w:szCs w:val="21"/>
        </w:rPr>
        <w:t xml:space="preserve">Además del comportamiento normal del pipeline, se probaron deliberadamente dos escenarios de falla sobre ms-reporting, descritos en la siguiente sección junto con la evaluación general del pipeline.</w:t>
      </w:r>
    </w:p>
    <w:p>
      <w:pPr>
        <w:pBdr>
          <w:top w:val="dashed" w:color="4F81BD" w:sz="6" w:space="8"/>
          <w:bottom w:val="dashed" w:color="4F81BD" w:sz="6" w:space="8"/>
          <w:left w:val="dashed" w:color="4F81BD" w:sz="6" w:space="8"/>
          <w:right w:val="dashed" w:color="4F81BD" w:sz="6" w:space="8"/>
        </w:pBdr>
        <w:spacing w:after="300" w:before="200"/>
        <w:jc w:val="center"/>
      </w:pPr>
      <w:r>
        <w:rPr>
          <w:rFonts w:ascii="Calibri" w:cs="Calibri" w:eastAsia="Calibri" w:hAnsi="Calibri"/>
          <w:b/>
          <w:bCs/>
          <w:i/>
          <w:iCs/>
          <w:color w:val="1F497D"/>
          <w:sz w:val="21"/>
          <w:szCs w:val="21"/>
        </w:rPr>
        <w:br/>
        <w:t xml:space="preserve">Figura A.7</w:t>
      </w:r>
      <w:r>
        <w:rPr>
          <w:rFonts w:ascii="Calibri" w:cs="Calibri" w:eastAsia="Calibri" w:hAnsi="Calibri"/>
          <w:i/>
          <w:iCs/>
          <w:color w:val="595959"/>
          <w:sz w:val="19"/>
          <w:szCs w:val="19"/>
        </w:rPr>
        <w:br/>
        <w:t xml:space="preserve">(Aquí se insertará la imagen correspondiente: Prueba de login y consulta de KPIs desde el frontend desplegado en ECS)</w:t>
      </w:r>
    </w:p>
    <w:p>
      <w:pPr>
        <w:pBdr>
          <w:top w:val="dashed" w:color="4F81BD" w:sz="6" w:space="8"/>
          <w:bottom w:val="dashed" w:color="4F81BD" w:sz="6" w:space="8"/>
          <w:left w:val="dashed" w:color="4F81BD" w:sz="6" w:space="8"/>
          <w:right w:val="dashed" w:color="4F81BD" w:sz="6" w:space="8"/>
        </w:pBdr>
        <w:spacing w:after="300" w:before="200"/>
        <w:jc w:val="center"/>
      </w:pPr>
      <w:r>
        <w:rPr>
          <w:rFonts w:ascii="Calibri" w:cs="Calibri" w:eastAsia="Calibri" w:hAnsi="Calibri"/>
          <w:b/>
          <w:bCs/>
          <w:i/>
          <w:iCs/>
          <w:color w:val="1F497D"/>
          <w:sz w:val="21"/>
          <w:szCs w:val="21"/>
        </w:rPr>
        <w:br/>
        <w:t xml:space="preserve">Figura A.8</w:t>
      </w:r>
      <w:r>
        <w:rPr>
          <w:rFonts w:ascii="Calibri" w:cs="Calibri" w:eastAsia="Calibri" w:hAnsi="Calibri"/>
          <w:i/>
          <w:iCs/>
          <w:color w:val="595959"/>
          <w:sz w:val="19"/>
          <w:szCs w:val="19"/>
        </w:rPr>
        <w:br/>
        <w:t xml:space="preserve">(Aquí se insertará la imagen correspondiente: Logs de CloudWatch mostrando una petición atravesando api-gateway y bff)</w:t>
      </w:r>
    </w:p>
    <w:p>
      <w:r>
        <w:br w:type="page"/>
      </w:r>
    </w:p>
    <w:p>
      <w:pPr>
        <w:pStyle w:val="Heading1"/>
        <w:pBdr>
          <w:bottom w:val="single" w:color="4F81BD" w:sz="6" w:space="4"/>
        </w:pBdr>
        <w:spacing w:after="200" w:before="400"/>
      </w:pPr>
      <w:r>
        <w:rPr>
          <w:rFonts w:ascii="Calibri" w:cs="Calibri" w:eastAsia="Calibri" w:hAnsi="Calibri"/>
          <w:b/>
          <w:bCs/>
          <w:color w:val="1F497D"/>
          <w:sz w:val="30"/>
          <w:szCs w:val="30"/>
        </w:rPr>
        <w:t xml:space="preserve">Evaluación del pipeline</w:t>
      </w:r>
    </w:p>
    <w:p>
      <w:pPr>
        <w:pStyle w:val="Heading2"/>
        <w:spacing w:after="150" w:before="300"/>
      </w:pPr>
      <w:r>
        <w:rPr>
          <w:rFonts w:ascii="Calibri" w:cs="Calibri" w:eastAsia="Calibri" w:hAnsi="Calibri"/>
          <w:b/>
          <w:bCs/>
          <w:color w:val="1F497D"/>
          <w:sz w:val="25"/>
          <w:szCs w:val="25"/>
        </w:rPr>
        <w:t xml:space="preserve">Prueba de resiliencia — caída de una tarea</w:t>
      </w:r>
    </w:p>
    <w:p>
      <w:pPr>
        <w:spacing w:after="180" w:line="276"/>
        <w:jc w:val="both"/>
      </w:pPr>
      <w:r>
        <w:rPr>
          <w:rFonts w:ascii="Calibri" w:cs="Calibri" w:eastAsia="Calibri" w:hAnsi="Calibri"/>
          <w:color w:val="1A1A1A"/>
          <w:sz w:val="21"/>
          <w:szCs w:val="21"/>
        </w:rPr>
        <w:t xml:space="preserve">El primer escenario consistió en forzar la caída de una tarea de ms-reporting mediante un health check fallido. ECS repuso la tarea de forma automática en un rango de tres a cuatro minutos, sin que nadie del equipo interviniera manualmente. El desiredCount declarativo del servicio —fijado en 1— fue la garantía real detrás de esta recuperación: ECS simplemente vuelve a converger hacia el estado deseado en cuanto detecta que la cantidad de tareas saludables es menor a la declarada.</w:t>
      </w:r>
    </w:p>
    <w:p>
      <w:pPr>
        <w:pStyle w:val="Heading2"/>
        <w:spacing w:after="150" w:before="300"/>
      </w:pPr>
      <w:r>
        <w:rPr>
          <w:rFonts w:ascii="Calibri" w:cs="Calibri" w:eastAsia="Calibri" w:hAnsi="Calibri"/>
          <w:b/>
          <w:bCs/>
          <w:color w:val="1F497D"/>
          <w:sz w:val="25"/>
          <w:szCs w:val="25"/>
        </w:rPr>
        <w:t xml:space="preserve">Prueba de resiliencia — imagen de despliegue inexistente</w:t>
      </w:r>
    </w:p>
    <w:p>
      <w:pPr>
        <w:spacing w:after="180" w:line="276"/>
        <w:jc w:val="both"/>
      </w:pPr>
      <w:r>
        <w:rPr>
          <w:rFonts w:ascii="Calibri" w:cs="Calibri" w:eastAsia="Calibri" w:hAnsi="Calibri"/>
          <w:color w:val="1A1A1A"/>
          <w:sz w:val="21"/>
          <w:szCs w:val="21"/>
        </w:rPr>
        <w:t xml:space="preserve">El segundo escenario fue más exigente: se apuntó ms-reporting a un tag de imagen deliberadamente roto (ms-reporting:imagen-rota-test). El resultado se documenta tal como ocurrió, sin maquillarlo. Por un lado, la revisión estable anterior nunca dejó de servir tráfico — cero downtime confirmado, que es el comportamiento correcto de un despliegue que aún no ha sido validado. Por otro lado, el Deployment Circuit Breaker automático no llegó a marcar el despliegue como FAILED dentro de los aproximadamente once minutos que se observó la corrida con desiredCount en 1, por lo que el equipo terminó forzando manualmente el revert a la revisión anterior.</w:t>
      </w:r>
    </w:p>
    <w:p>
      <w:pPr>
        <w:spacing w:after="180" w:line="276"/>
        <w:jc w:val="both"/>
      </w:pPr>
      <w:r>
        <w:rPr>
          <w:rFonts w:ascii="Calibri" w:cs="Calibri" w:eastAsia="Calibri" w:hAnsi="Calibri"/>
          <w:color w:val="1A1A1A"/>
          <w:sz w:val="21"/>
          <w:szCs w:val="21"/>
        </w:rPr>
        <w:t xml:space="preserve">Este resultado no confirma un rollback cien por ciento automático bajo esas condiciones específicas, y el equipo prefiere dejarlo así documentado en vez de afirmar un comportamiento que no se verificó en esta corrida. Una hipótesis razonable, pendiente de comprobar en una iteración futura, es que con desiredCount en 1 el circuit breaker dispone de menos señal para distinguir un despliegue lento de uno efectivamente fallido que la que tendría con un desiredCount mayor; validar esa hipótesis queda como trabajo futuro.</w:t>
      </w:r>
    </w:p>
    <w:p>
      <w:pPr>
        <w:pStyle w:val="Heading2"/>
        <w:spacing w:after="150" w:before="300"/>
      </w:pPr>
      <w:r>
        <w:rPr>
          <w:rFonts w:ascii="Calibri" w:cs="Calibri" w:eastAsia="Calibri" w:hAnsi="Calibri"/>
          <w:b/>
          <w:bCs/>
          <w:color w:val="1F497D"/>
          <w:sz w:val="25"/>
          <w:szCs w:val="25"/>
        </w:rPr>
        <w:t xml:space="preserve">Tiempos del pipeline</w:t>
      </w:r>
    </w:p>
    <w:p>
      <w:pPr>
        <w:spacing w:after="180" w:line="276"/>
        <w:jc w:val="both"/>
      </w:pPr>
      <w:r>
        <w:rPr>
          <w:rFonts w:ascii="Calibri" w:cs="Calibri" w:eastAsia="Calibri" w:hAnsi="Calibri"/>
          <w:color w:val="1A1A1A"/>
          <w:sz w:val="21"/>
          <w:szCs w:val="21"/>
        </w:rPr>
        <w:t xml:space="preserve">El ciclo completo —build backend, build frontend, construcción y publicación de las doce imágenes, registro de Task Definitions y espera de estado estable de los doce servicios— toma un rango similar al que ya se observaba en el esquema EC2, del orden de quince a veinte minutos de punta a punta. El tramo que más tiempo añadió respecto de EP2 es la espera de wait services-stable por cada servicio, que antes no existía como paso explícito y hacía que el pipeline reportara éxito antes de que el despliegue estuviera realmente confirmado.</w:t>
      </w:r>
    </w:p>
    <w:p>
      <w:pPr>
        <w:pStyle w:val="Heading2"/>
        <w:spacing w:after="150" w:before="300"/>
      </w:pPr>
      <w:r>
        <w:rPr>
          <w:rFonts w:ascii="Calibri" w:cs="Calibri" w:eastAsia="Calibri" w:hAnsi="Calibri"/>
          <w:b/>
          <w:bCs/>
          <w:color w:val="1F497D"/>
          <w:sz w:val="25"/>
          <w:szCs w:val="25"/>
        </w:rPr>
        <w:t xml:space="preserve">Errores encontrados durante la migración</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000"/>
        <w:gridCol w:w="2750"/>
      </w:tblGrid>
      <w:tr>
        <w:trPr>
          <w:tblHeader/>
        </w:trPr>
        <w:tc>
          <w:tcPr>
            <w:tcW w:type="dxa" w:w="2600"/>
            <w:shd w:fill="1F497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Problema</w:t>
            </w:r>
          </w:p>
        </w:tc>
        <w:tc>
          <w:tcPr>
            <w:tcW w:type="dxa" w:w="4000"/>
            <w:shd w:fill="1F497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Causa</w:t>
            </w:r>
          </w:p>
        </w:tc>
        <w:tc>
          <w:tcPr>
            <w:tcW w:type="dxa" w:w="2750"/>
            <w:shd w:fill="1F497D"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Resolución</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Inestabilidad de Eureka bajo Service Connect</w:t>
            </w:r>
          </w:p>
        </w:tc>
        <w:tc>
          <w:tcPr>
            <w:tcW w:type="dxa" w:w="4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Ciclo de renovación de arriendos fallida en eureka-server; namespace HTTP sin DNS real, alias sin FQDN, instanceId colisionando entre tareas</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Se abandonó Eureka en ECS; se adoptó Service Connect como único mecanismo de descubrimiento</w:t>
            </w:r>
          </w:p>
        </w:tc>
      </w:tr>
      <w:tr>
        <w:tc>
          <w:tcPr>
            <w:tcW w:type="dxa" w:w="260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URLs hardcodeadas en bff</w:t>
            </w:r>
          </w:p>
        </w:tc>
        <w:tc>
          <w:tcPr>
            <w:tcW w:type="dxa" w:w="400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Constantes apuntando a host.docker.internal en los clientes de ms-kpis, ms-reporting y ms-data-ingestion, enmascaradas por el manejo de errores de WebClient</w:t>
            </w:r>
          </w:p>
        </w:tc>
        <w:tc>
          <w:tcPr>
            <w:tcW w:type="dxa" w:w="2750"/>
            <w:shd w:fill="D9EAF7" w:val="clear"/>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Externalización a variables de entorno (MS_KPIS_URL, MS_REPORTING_URL, MS_DATA_INGESTION_URL)</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Circuit breaker de despliegue sin marcar FAILED</w:t>
            </w:r>
          </w:p>
        </w:tc>
        <w:tc>
          <w:tcPr>
            <w:tcW w:type="dxa" w:w="400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Ventana de observación de once minutos con desiredCount en 1 insuficiente para que el circuit breaker confirmara el fallo</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color w:val="1A1A1A"/>
                <w:sz w:val="20"/>
                <w:szCs w:val="20"/>
              </w:rPr>
              <w:t xml:space="preserve">Revert manual documentado; queda como mejora futura probar con un desiredCount mayor</w:t>
            </w:r>
          </w:p>
        </w:tc>
      </w:tr>
    </w:tbl>
    <w:p>
      <w:pPr>
        <w:spacing w:before="300"/>
      </w:pPr>
    </w:p>
    <w:p>
      <w:pPr>
        <w:pStyle w:val="Heading2"/>
        <w:spacing w:after="150" w:before="300"/>
      </w:pPr>
      <w:r>
        <w:rPr>
          <w:rFonts w:ascii="Calibri" w:cs="Calibri" w:eastAsia="Calibri" w:hAnsi="Calibri"/>
          <w:b/>
          <w:bCs/>
          <w:color w:val="1F497D"/>
          <w:sz w:val="25"/>
          <w:szCs w:val="25"/>
        </w:rPr>
        <w:t xml:space="preserve">Mejoras implementadas</w:t>
      </w:r>
    </w:p>
    <w:p>
      <w:pPr>
        <w:pStyle w:val="ListParagraph"/>
        <w:numPr>
          <w:ilvl w:val="0"/>
          <w:numId w:val="1"/>
        </w:numPr>
        <w:spacing w:after="100" w:line="270"/>
        <w:jc w:val="both"/>
      </w:pPr>
      <w:r>
        <w:rPr>
          <w:rFonts w:ascii="Calibri" w:cs="Calibri" w:eastAsia="Calibri" w:hAnsi="Calibri"/>
          <w:color w:val="1A1A1A"/>
          <w:sz w:val="21"/>
          <w:szCs w:val="21"/>
        </w:rPr>
        <w:t xml:space="preserve">Wait Services Stable como paso explícito del pipeline, cerrando la brecha de EP2 donde un despliegue podía reportarse exitoso sin estarlo realmente.</w:t>
      </w:r>
    </w:p>
    <w:p>
      <w:pPr>
        <w:pStyle w:val="ListParagraph"/>
        <w:numPr>
          <w:ilvl w:val="0"/>
          <w:numId w:val="1"/>
        </w:numPr>
        <w:spacing w:after="100" w:line="270"/>
        <w:jc w:val="both"/>
      </w:pPr>
      <w:r>
        <w:rPr>
          <w:rFonts w:ascii="Calibri" w:cs="Calibri" w:eastAsia="Calibri" w:hAnsi="Calibri"/>
          <w:color w:val="1A1A1A"/>
          <w:sz w:val="21"/>
          <w:szCs w:val="21"/>
        </w:rPr>
        <w:t xml:space="preserve">Deployment Circuit Breaker con rollback automático, ausente por completo en el esquema de despliegue por SSH de EP2.</w:t>
      </w:r>
    </w:p>
    <w:p>
      <w:pPr>
        <w:pStyle w:val="ListParagraph"/>
        <w:numPr>
          <w:ilvl w:val="0"/>
          <w:numId w:val="1"/>
        </w:numPr>
        <w:spacing w:after="100" w:line="270"/>
        <w:jc w:val="both"/>
      </w:pPr>
      <w:r>
        <w:rPr>
          <w:rFonts w:ascii="Calibri" w:cs="Calibri" w:eastAsia="Calibri" w:hAnsi="Calibri"/>
          <w:color w:val="1A1A1A"/>
          <w:sz w:val="21"/>
          <w:szCs w:val="21"/>
        </w:rPr>
        <w:t xml:space="preserve">Eliminación de la dependencia de acceso SSH con ProxyJump para desplegar, reduciendo la superficie de credenciales que el pipeline necesita manejar.</w:t>
      </w:r>
    </w:p>
    <w:p>
      <w:pPr>
        <w:pStyle w:val="Heading2"/>
        <w:spacing w:after="150" w:before="300"/>
      </w:pPr>
      <w:r>
        <w:rPr>
          <w:rFonts w:ascii="Calibri" w:cs="Calibri" w:eastAsia="Calibri" w:hAnsi="Calibri"/>
          <w:b/>
          <w:bCs/>
          <w:color w:val="1F497D"/>
          <w:sz w:val="25"/>
          <w:szCs w:val="25"/>
        </w:rPr>
        <w:t xml:space="preserve">Mejoras futuras</w:t>
      </w:r>
    </w:p>
    <w:p>
      <w:pPr>
        <w:pStyle w:val="ListParagraph"/>
        <w:numPr>
          <w:ilvl w:val="0"/>
          <w:numId w:val="1"/>
        </w:numPr>
        <w:spacing w:after="100" w:line="270"/>
        <w:jc w:val="both"/>
      </w:pPr>
      <w:r>
        <w:rPr>
          <w:rFonts w:ascii="Calibri" w:cs="Calibri" w:eastAsia="Calibri" w:hAnsi="Calibri"/>
          <w:color w:val="1A1A1A"/>
          <w:sz w:val="21"/>
          <w:szCs w:val="21"/>
        </w:rPr>
        <w:t xml:space="preserve">Configurar alarmas de CloudWatch con notificación activa sobre las métricas ya recolectadas por Container Insights.</w:t>
      </w:r>
    </w:p>
    <w:p>
      <w:pPr>
        <w:pStyle w:val="ListParagraph"/>
        <w:numPr>
          <w:ilvl w:val="0"/>
          <w:numId w:val="1"/>
        </w:numPr>
        <w:spacing w:after="100" w:line="270"/>
        <w:jc w:val="both"/>
      </w:pPr>
      <w:r>
        <w:rPr>
          <w:rFonts w:ascii="Calibri" w:cs="Calibri" w:eastAsia="Calibri" w:hAnsi="Calibri"/>
          <w:color w:val="1A1A1A"/>
          <w:sz w:val="21"/>
          <w:szCs w:val="21"/>
        </w:rPr>
        <w:t xml:space="preserve">Evaluar un despliegue selectivo por servicio según los archivos modificados, en vez de redesplegar los doce servicios ante cualquier cambio.</w:t>
      </w:r>
    </w:p>
    <w:p>
      <w:pPr>
        <w:pStyle w:val="ListParagraph"/>
        <w:numPr>
          <w:ilvl w:val="0"/>
          <w:numId w:val="1"/>
        </w:numPr>
        <w:spacing w:after="100" w:line="270"/>
        <w:jc w:val="both"/>
      </w:pPr>
      <w:r>
        <w:rPr>
          <w:rFonts w:ascii="Calibri" w:cs="Calibri" w:eastAsia="Calibri" w:hAnsi="Calibri"/>
          <w:color w:val="1A1A1A"/>
          <w:sz w:val="21"/>
          <w:szCs w:val="21"/>
        </w:rPr>
        <w:t xml:space="preserve">Incorporar HTTPS en el ALB una vez que el proyecto cuente con un dominio propio.</w:t>
      </w:r>
    </w:p>
    <w:p>
      <w:pPr>
        <w:pStyle w:val="ListParagraph"/>
        <w:numPr>
          <w:ilvl w:val="0"/>
          <w:numId w:val="1"/>
        </w:numPr>
        <w:spacing w:after="100" w:line="270"/>
        <w:jc w:val="both"/>
      </w:pPr>
      <w:r>
        <w:rPr>
          <w:rFonts w:ascii="Calibri" w:cs="Calibri" w:eastAsia="Calibri" w:hAnsi="Calibri"/>
          <w:color w:val="1A1A1A"/>
          <w:sz w:val="21"/>
          <w:szCs w:val="21"/>
        </w:rPr>
        <w:t xml:space="preserve">Repetir la prueba de imagen rota con un desiredCount mayor a 1 para confirmar si el Deployment Circuit Breaker logra marcar el despliegue como FAILED dentro de una ventana de tiempo razonable.</w:t>
      </w:r>
    </w:p>
    <w:p>
      <w:pPr>
        <w:pStyle w:val="Heading2"/>
        <w:spacing w:after="150" w:before="300"/>
      </w:pPr>
      <w:r>
        <w:rPr>
          <w:rFonts w:ascii="Calibri" w:cs="Calibri" w:eastAsia="Calibri" w:hAnsi="Calibri"/>
          <w:b/>
          <w:bCs/>
          <w:color w:val="1F497D"/>
          <w:sz w:val="25"/>
          <w:szCs w:val="25"/>
        </w:rPr>
        <w:t xml:space="preserve">Cuellos de botella identificados</w:t>
      </w:r>
    </w:p>
    <w:p>
      <w:pPr>
        <w:spacing w:after="180" w:line="276"/>
        <w:jc w:val="both"/>
      </w:pPr>
      <w:r>
        <w:rPr>
          <w:rFonts w:ascii="Calibri" w:cs="Calibri" w:eastAsia="Calibri" w:hAnsi="Calibri"/>
          <w:color w:val="1A1A1A"/>
          <w:sz w:val="21"/>
          <w:szCs w:val="21"/>
        </w:rPr>
        <w:t xml:space="preserve">El principal cuello de botella detectado no está en el pipeline en sí, sino en el tiempo de arranque en frío de las tareas Fargate que ejecutan Spring Boot: la carga de clases, la compilación JIT y la inicialización de Hibernate y Flyway retrasan el momento en que una tarea nueva pasa a estar realmente lista para recibir tráfico, lo que a su vez explica tanto la demora de medio minuto observada en el primer escalado de ms-kpis como el escalado adicional después de terminada la carga real, descrito en la sección de escalabilidad.</w:t>
      </w:r>
    </w:p>
    <w:p>
      <w:r>
        <w:br w:type="page"/>
      </w:r>
    </w:p>
    <w:p>
      <w:pPr>
        <w:pStyle w:val="Heading1"/>
        <w:pBdr>
          <w:bottom w:val="single" w:color="4F81BD" w:sz="6" w:space="4"/>
        </w:pBdr>
        <w:spacing w:after="200" w:before="400"/>
      </w:pPr>
      <w:r>
        <w:rPr>
          <w:rFonts w:ascii="Calibri" w:cs="Calibri" w:eastAsia="Calibri" w:hAnsi="Calibri"/>
          <w:b/>
          <w:bCs/>
          <w:color w:val="1F497D"/>
          <w:sz w:val="30"/>
          <w:szCs w:val="30"/>
        </w:rPr>
        <w:t xml:space="preserve">Conclusiones</w:t>
      </w:r>
    </w:p>
    <w:p>
      <w:pPr>
        <w:pStyle w:val="Heading2"/>
        <w:spacing w:after="150" w:before="300"/>
      </w:pPr>
      <w:r>
        <w:rPr>
          <w:rFonts w:ascii="Calibri" w:cs="Calibri" w:eastAsia="Calibri" w:hAnsi="Calibri"/>
          <w:b/>
          <w:bCs/>
          <w:color w:val="1F497D"/>
          <w:sz w:val="25"/>
          <w:szCs w:val="25"/>
        </w:rPr>
        <w:t xml:space="preserve">Conclusión técnica</w:t>
      </w:r>
    </w:p>
    <w:p>
      <w:pPr>
        <w:spacing w:after="180" w:line="276"/>
        <w:jc w:val="both"/>
      </w:pPr>
      <w:r>
        <w:rPr>
          <w:rFonts w:ascii="Calibri" w:cs="Calibri" w:eastAsia="Calibri" w:hAnsi="Calibri"/>
          <w:color w:val="1A1A1A"/>
          <w:sz w:val="21"/>
          <w:szCs w:val="21"/>
        </w:rPr>
        <w:t xml:space="preserve">La migración a ECS Fargate cerró las brechas más evidentes que dejaba el esquema EC2 con Docker Compose de EP2: hoy existe reposición automática de tareas caídas, escalado real basado en métricas y un pipeline que confirma el estado del despliegue en vez de asumirlo. El punto más instructivo del proceso fue la decisión de abandonar Eureka: mantener dos mecanismos de descubrimiento de servicios en paralelo —uno propio de la aplicación y otro nativo del orquestador— generó una inestabilidad que ninguno de los tres fixes puntuales logró resolver por separado, y que solo se resolvió al eliminar la redundancia de raíz.</w:t>
      </w:r>
    </w:p>
    <w:p>
      <w:pPr>
        <w:pStyle w:val="Heading2"/>
        <w:spacing w:after="150" w:before="300"/>
      </w:pPr>
      <w:r>
        <w:rPr>
          <w:rFonts w:ascii="Calibri" w:cs="Calibri" w:eastAsia="Calibri" w:hAnsi="Calibri"/>
          <w:b/>
          <w:bCs/>
          <w:color w:val="1F497D"/>
          <w:sz w:val="25"/>
          <w:szCs w:val="25"/>
        </w:rPr>
        <w:t xml:space="preserve">Conclusión del equipo</w:t>
      </w:r>
    </w:p>
    <w:p>
      <w:pPr>
        <w:spacing w:after="180" w:line="276"/>
        <w:jc w:val="both"/>
      </w:pPr>
      <w:r>
        <w:rPr>
          <w:rFonts w:ascii="Calibri" w:cs="Calibri" w:eastAsia="Calibri" w:hAnsi="Calibri"/>
          <w:color w:val="1A1A1A"/>
          <w:sz w:val="21"/>
          <w:szCs w:val="21"/>
        </w:rPr>
        <w:t xml:space="preserve">El trabajo se organizó siguiendo la misma división de responsabilidades usada en evaluaciones anteriores —infraestructura, data sources, y core intelligence junto con frontend— lo que permitió avanzar en paralelo sobre la configuración de red, la adaptación de los servicios de datos y la puesta en marcha de Service Connect y autoscaling sin bloquearse entre sí. La ventana de 48 horas de validación, manteniendo el entorno EC2 encendido durante todo el proceso, resultó clave para poder investigar el problema de Eureka con calma en vez de bajo la presión de tener el sistema productivo caído.</w:t>
      </w:r>
    </w:p>
    <w:p>
      <w:pPr>
        <w:pStyle w:val="Heading2"/>
        <w:spacing w:after="150" w:before="300"/>
      </w:pPr>
      <w:r>
        <w:rPr>
          <w:rFonts w:ascii="Calibri" w:cs="Calibri" w:eastAsia="Calibri" w:hAnsi="Calibri"/>
          <w:b/>
          <w:bCs/>
          <w:color w:val="1F497D"/>
          <w:sz w:val="25"/>
          <w:szCs w:val="25"/>
        </w:rPr>
        <w:t xml:space="preserve">Lecciones aprendidas</w:t>
      </w:r>
    </w:p>
    <w:p>
      <w:pPr>
        <w:pStyle w:val="ListParagraph"/>
        <w:numPr>
          <w:ilvl w:val="0"/>
          <w:numId w:val="1"/>
        </w:numPr>
        <w:spacing w:after="100" w:line="270"/>
        <w:jc w:val="both"/>
      </w:pPr>
      <w:r>
        <w:rPr>
          <w:rFonts w:ascii="Calibri" w:cs="Calibri" w:eastAsia="Calibri" w:hAnsi="Calibri"/>
          <w:color w:val="1A1A1A"/>
          <w:sz w:val="21"/>
          <w:szCs w:val="21"/>
        </w:rPr>
        <w:t xml:space="preserve">Migrar la infraestructura de ejecución no obliga a migrar de inmediato todos los mecanismos de la aplicación: intentar mantener Eureka "por si acaso" costó más tiempo de diagnóstico que haber decidido reemplazarlo desde el principio.</w:t>
      </w:r>
    </w:p>
    <w:p>
      <w:pPr>
        <w:pStyle w:val="ListParagraph"/>
        <w:numPr>
          <w:ilvl w:val="0"/>
          <w:numId w:val="1"/>
        </w:numPr>
        <w:spacing w:after="100" w:line="270"/>
        <w:jc w:val="both"/>
      </w:pPr>
      <w:r>
        <w:rPr>
          <w:rFonts w:ascii="Calibri" w:cs="Calibri" w:eastAsia="Calibri" w:hAnsi="Calibri"/>
          <w:color w:val="1A1A1A"/>
          <w:sz w:val="21"/>
          <w:szCs w:val="21"/>
        </w:rPr>
        <w:t xml:space="preserve">Un health check y un circuit breaker de despliegue no sustituyen una prueba de resiliencia real: solo al forzar deliberadamente una imagen rota se descubrió que el circuit breaker no reaccionaba dentro del tiempo esperado con desiredCount en 1.</w:t>
      </w:r>
    </w:p>
    <w:p>
      <w:pPr>
        <w:pStyle w:val="ListParagraph"/>
        <w:numPr>
          <w:ilvl w:val="0"/>
          <w:numId w:val="1"/>
        </w:numPr>
        <w:spacing w:after="100" w:line="270"/>
        <w:jc w:val="both"/>
      </w:pPr>
      <w:r>
        <w:rPr>
          <w:rFonts w:ascii="Calibri" w:cs="Calibri" w:eastAsia="Calibri" w:hAnsi="Calibri"/>
          <w:color w:val="1A1A1A"/>
          <w:sz w:val="21"/>
          <w:szCs w:val="21"/>
        </w:rPr>
        <w:t xml:space="preserve">Documentar exactamente lo que ocurrió, incluyendo lo que no funcionó como se esperaba, es más útil para el equipo a futuro que reportar solo los resultados favorables.</w:t>
      </w:r>
    </w:p>
    <w:p>
      <w:pPr>
        <w:pStyle w:val="ListParagraph"/>
        <w:numPr>
          <w:ilvl w:val="0"/>
          <w:numId w:val="1"/>
        </w:numPr>
        <w:spacing w:after="100" w:line="270"/>
        <w:jc w:val="both"/>
      </w:pPr>
      <w:r>
        <w:rPr>
          <w:rFonts w:ascii="Calibri" w:cs="Calibri" w:eastAsia="Calibri" w:hAnsi="Calibri"/>
          <w:color w:val="1A1A1A"/>
          <w:sz w:val="21"/>
          <w:szCs w:val="21"/>
        </w:rPr>
        <w:t xml:space="preserve">Reutilizar la infraestructura ya validada en etapas previas (VPC, RDS, ECR) redujo el riesgo de la migración al limitar el número de variables nuevas introducidas a la vez.</w:t>
      </w:r>
    </w:p>
    <w:p>
      <w:r>
        <w:br w:type="page"/>
      </w:r>
    </w:p>
    <w:p>
      <w:pPr>
        <w:pStyle w:val="Heading1"/>
        <w:pBdr>
          <w:bottom w:val="single" w:color="4F81BD" w:sz="6" w:space="4"/>
        </w:pBdr>
        <w:spacing w:after="200" w:before="400"/>
      </w:pPr>
      <w:r>
        <w:rPr>
          <w:rFonts w:ascii="Calibri" w:cs="Calibri" w:eastAsia="Calibri" w:hAnsi="Calibri"/>
          <w:b/>
          <w:bCs/>
          <w:color w:val="1F497D"/>
          <w:sz w:val="30"/>
          <w:szCs w:val="30"/>
        </w:rPr>
        <w:t xml:space="preserve">Bibliografía</w:t>
      </w:r>
    </w:p>
    <w:p>
      <w:pPr>
        <w:spacing w:after="180" w:line="276"/>
        <w:jc w:val="both"/>
      </w:pPr>
      <w:r>
        <w:rPr>
          <w:rFonts w:ascii="Calibri" w:cs="Calibri" w:eastAsia="Calibri" w:hAnsi="Calibri"/>
          <w:color w:val="1A1A1A"/>
          <w:sz w:val="21"/>
          <w:szCs w:val="21"/>
        </w:rPr>
        <w:t xml:space="preserve">Amazon Web Services. Documentación oficial de Amazon ECS. Disponible en: https://docs.aws.amazon.com/ecs/</w:t>
      </w:r>
    </w:p>
    <w:p>
      <w:pPr>
        <w:spacing w:after="180" w:line="276"/>
        <w:jc w:val="both"/>
      </w:pPr>
      <w:r>
        <w:rPr>
          <w:rFonts w:ascii="Calibri" w:cs="Calibri" w:eastAsia="Calibri" w:hAnsi="Calibri"/>
          <w:color w:val="1A1A1A"/>
          <w:sz w:val="21"/>
          <w:szCs w:val="21"/>
        </w:rPr>
        <w:t xml:space="preserve">Amazon Web Services. Documentación oficial de AWS Fargate. Disponible en: https://docs.aws.amazon.com/AmazonECS/latest/userguide/AWS_Fargate.html</w:t>
      </w:r>
    </w:p>
    <w:p>
      <w:pPr>
        <w:spacing w:after="180" w:line="276"/>
        <w:jc w:val="both"/>
      </w:pPr>
      <w:r>
        <w:rPr>
          <w:rFonts w:ascii="Calibri" w:cs="Calibri" w:eastAsia="Calibri" w:hAnsi="Calibri"/>
          <w:color w:val="1A1A1A"/>
          <w:sz w:val="21"/>
          <w:szCs w:val="21"/>
        </w:rPr>
        <w:t xml:space="preserve">Amazon Web Services. Documentación oficial de ECS Service Connect. Disponible en: https://docs.aws.amazon.com/AmazonECS/latest/developerguide/service-connect.html</w:t>
      </w:r>
    </w:p>
    <w:p>
      <w:pPr>
        <w:spacing w:after="180" w:line="276"/>
        <w:jc w:val="both"/>
      </w:pPr>
      <w:r>
        <w:rPr>
          <w:rFonts w:ascii="Calibri" w:cs="Calibri" w:eastAsia="Calibri" w:hAnsi="Calibri"/>
          <w:color w:val="1A1A1A"/>
          <w:sz w:val="21"/>
          <w:szCs w:val="21"/>
        </w:rPr>
        <w:t xml:space="preserve">Amazon Web Services. Documentación oficial de Amazon ECR. Disponible en: https://docs.aws.amazon.com/ecr/</w:t>
      </w:r>
    </w:p>
    <w:p>
      <w:pPr>
        <w:spacing w:after="180" w:line="276"/>
        <w:jc w:val="both"/>
      </w:pPr>
      <w:r>
        <w:rPr>
          <w:rFonts w:ascii="Calibri" w:cs="Calibri" w:eastAsia="Calibri" w:hAnsi="Calibri"/>
          <w:color w:val="1A1A1A"/>
          <w:sz w:val="21"/>
          <w:szCs w:val="21"/>
        </w:rPr>
        <w:t xml:space="preserve">Amazon Web Services. Documentación oficial de Application Load Balancer. Disponible en: https://docs.aws.amazon.com/elasticloadbalancing/latest/application/</w:t>
      </w:r>
    </w:p>
    <w:p>
      <w:pPr>
        <w:spacing w:after="180" w:line="276"/>
        <w:jc w:val="both"/>
      </w:pPr>
      <w:r>
        <w:rPr>
          <w:rFonts w:ascii="Calibri" w:cs="Calibri" w:eastAsia="Calibri" w:hAnsi="Calibri"/>
          <w:color w:val="1A1A1A"/>
          <w:sz w:val="21"/>
          <w:szCs w:val="21"/>
        </w:rPr>
        <w:t xml:space="preserve">Amazon Web Services. Documentación oficial de AWS Secrets Manager. Disponible en: https://docs.aws.amazon.com/secretsmanager/</w:t>
      </w:r>
    </w:p>
    <w:p>
      <w:pPr>
        <w:spacing w:after="180" w:line="276"/>
        <w:jc w:val="both"/>
      </w:pPr>
      <w:r>
        <w:rPr>
          <w:rFonts w:ascii="Calibri" w:cs="Calibri" w:eastAsia="Calibri" w:hAnsi="Calibri"/>
          <w:color w:val="1A1A1A"/>
          <w:sz w:val="21"/>
          <w:szCs w:val="21"/>
        </w:rPr>
        <w:t xml:space="preserve">Amazon Web Services. Documentación oficial de Amazon CloudWatch. Disponible en: https://docs.aws.amazon.com/cloudwatch/</w:t>
      </w:r>
    </w:p>
    <w:p>
      <w:pPr>
        <w:spacing w:after="180" w:line="276"/>
        <w:jc w:val="both"/>
      </w:pPr>
      <w:r>
        <w:rPr>
          <w:rFonts w:ascii="Calibri" w:cs="Calibri" w:eastAsia="Calibri" w:hAnsi="Calibri"/>
          <w:color w:val="1A1A1A"/>
          <w:sz w:val="21"/>
          <w:szCs w:val="21"/>
        </w:rPr>
        <w:t xml:space="preserve">Docker Inc. Documentación oficial de Docker. Disponible en: https://docs.docker.com/</w:t>
      </w:r>
    </w:p>
    <w:p>
      <w:pPr>
        <w:spacing w:after="180" w:line="276"/>
        <w:jc w:val="both"/>
      </w:pPr>
      <w:r>
        <w:rPr>
          <w:rFonts w:ascii="Calibri" w:cs="Calibri" w:eastAsia="Calibri" w:hAnsi="Calibri"/>
          <w:color w:val="1A1A1A"/>
          <w:sz w:val="21"/>
          <w:szCs w:val="21"/>
        </w:rPr>
        <w:t xml:space="preserve">GitHub Inc. Documentación oficial de GitHub Actions. Disponible en: https://docs.github.com/actions</w:t>
      </w:r>
    </w:p>
    <w:p>
      <w:pPr>
        <w:spacing w:after="180" w:line="276"/>
        <w:jc w:val="both"/>
      </w:pPr>
      <w:r>
        <w:rPr>
          <w:rFonts w:ascii="Calibri" w:cs="Calibri" w:eastAsia="Calibri" w:hAnsi="Calibri"/>
          <w:color w:val="1A1A1A"/>
          <w:sz w:val="21"/>
          <w:szCs w:val="21"/>
        </w:rPr>
        <w:t xml:space="preserve">Grafana Labs / k6. Documentación oficial de k6. Disponible en: https://k6.io/docs/</w:t>
      </w:r>
    </w:p>
    <w:p>
      <w:r>
        <w:br w:type="page"/>
      </w:r>
    </w:p>
    <w:p>
      <w:pPr>
        <w:pStyle w:val="Heading1"/>
        <w:pBdr>
          <w:bottom w:val="single" w:color="4F81BD" w:sz="6" w:space="4"/>
        </w:pBdr>
        <w:spacing w:after="200" w:before="400"/>
      </w:pPr>
      <w:r>
        <w:rPr>
          <w:rFonts w:ascii="Calibri" w:cs="Calibri" w:eastAsia="Calibri" w:hAnsi="Calibri"/>
          <w:b/>
          <w:bCs/>
          <w:color w:val="1F497D"/>
          <w:sz w:val="30"/>
          <w:szCs w:val="30"/>
        </w:rPr>
        <w:t xml:space="preserve">Anexos</w:t>
      </w:r>
    </w:p>
    <w:p>
      <w:pPr>
        <w:spacing w:after="180" w:line="276"/>
        <w:jc w:val="both"/>
      </w:pPr>
      <w:r>
        <w:rPr>
          <w:rFonts w:ascii="Calibri" w:cs="Calibri" w:eastAsia="Calibri" w:hAnsi="Calibri"/>
          <w:color w:val="1A1A1A"/>
          <w:sz w:val="21"/>
          <w:szCs w:val="21"/>
        </w:rPr>
        <w:t xml:space="preserve">Los anexos reúnen las evidencias visuales referenciadas a lo largo del informe. Cada figura se completará con la captura o el diagrama correspondiente antes de la entrega final.</w:t>
      </w:r>
    </w:p>
    <w:p>
      <w:pPr>
        <w:pBdr>
          <w:top w:val="dashed" w:color="4F81BD" w:sz="6" w:space="8"/>
          <w:bottom w:val="dashed" w:color="4F81BD" w:sz="6" w:space="8"/>
          <w:left w:val="dashed" w:color="4F81BD" w:sz="6" w:space="8"/>
          <w:right w:val="dashed" w:color="4F81BD" w:sz="6" w:space="8"/>
        </w:pBdr>
        <w:spacing w:after="300" w:before="200"/>
        <w:jc w:val="center"/>
      </w:pPr>
      <w:r>
        <w:rPr>
          <w:rFonts w:ascii="Calibri" w:cs="Calibri" w:eastAsia="Calibri" w:hAnsi="Calibri"/>
          <w:b/>
          <w:bCs/>
          <w:i/>
          <w:iCs/>
          <w:color w:val="1F497D"/>
          <w:sz w:val="21"/>
          <w:szCs w:val="21"/>
        </w:rPr>
        <w:br/>
        <w:t xml:space="preserve">Figura A.1</w:t>
      </w:r>
      <w:r>
        <w:rPr>
          <w:rFonts w:ascii="Calibri" w:cs="Calibri" w:eastAsia="Calibri" w:hAnsi="Calibri"/>
          <w:i/>
          <w:iCs/>
          <w:color w:val="595959"/>
          <w:sz w:val="19"/>
          <w:szCs w:val="19"/>
        </w:rPr>
        <w:br/>
        <w:t xml:space="preserve">(Aquí se insertará la imagen correspondiente: Diagrama de arquitectura general del clúster ECS Fargate)</w:t>
      </w:r>
    </w:p>
    <w:p>
      <w:pPr>
        <w:pBdr>
          <w:top w:val="dashed" w:color="4F81BD" w:sz="6" w:space="8"/>
          <w:bottom w:val="dashed" w:color="4F81BD" w:sz="6" w:space="8"/>
          <w:left w:val="dashed" w:color="4F81BD" w:sz="6" w:space="8"/>
          <w:right w:val="dashed" w:color="4F81BD" w:sz="6" w:space="8"/>
        </w:pBdr>
        <w:spacing w:after="300" w:before="200"/>
        <w:jc w:val="center"/>
      </w:pPr>
      <w:r>
        <w:rPr>
          <w:rFonts w:ascii="Calibri" w:cs="Calibri" w:eastAsia="Calibri" w:hAnsi="Calibri"/>
          <w:b/>
          <w:bCs/>
          <w:i/>
          <w:iCs/>
          <w:color w:val="1F497D"/>
          <w:sz w:val="21"/>
          <w:szCs w:val="21"/>
        </w:rPr>
        <w:br/>
        <w:t xml:space="preserve">Figura A.2</w:t>
      </w:r>
      <w:r>
        <w:rPr>
          <w:rFonts w:ascii="Calibri" w:cs="Calibri" w:eastAsia="Calibri" w:hAnsi="Calibri"/>
          <w:i/>
          <w:iCs/>
          <w:color w:val="595959"/>
          <w:sz w:val="19"/>
          <w:szCs w:val="19"/>
        </w:rPr>
        <w:br/>
        <w:t xml:space="preserve">(Aquí se insertará la imagen correspondiente: Diagrama del pipeline CI/CD extendido para ECS)</w:t>
      </w:r>
    </w:p>
    <w:p>
      <w:pPr>
        <w:pBdr>
          <w:top w:val="dashed" w:color="4F81BD" w:sz="6" w:space="8"/>
          <w:bottom w:val="dashed" w:color="4F81BD" w:sz="6" w:space="8"/>
          <w:left w:val="dashed" w:color="4F81BD" w:sz="6" w:space="8"/>
          <w:right w:val="dashed" w:color="4F81BD" w:sz="6" w:space="8"/>
        </w:pBdr>
        <w:spacing w:after="300" w:before="200"/>
        <w:jc w:val="center"/>
      </w:pPr>
      <w:r>
        <w:rPr>
          <w:rFonts w:ascii="Calibri" w:cs="Calibri" w:eastAsia="Calibri" w:hAnsi="Calibri"/>
          <w:b/>
          <w:bCs/>
          <w:i/>
          <w:iCs/>
          <w:color w:val="1F497D"/>
          <w:sz w:val="21"/>
          <w:szCs w:val="21"/>
        </w:rPr>
        <w:br/>
        <w:t xml:space="preserve">Figura A.3</w:t>
      </w:r>
      <w:r>
        <w:rPr>
          <w:rFonts w:ascii="Calibri" w:cs="Calibri" w:eastAsia="Calibri" w:hAnsi="Calibri"/>
          <w:i/>
          <w:iCs/>
          <w:color w:val="595959"/>
          <w:sz w:val="19"/>
          <w:szCs w:val="19"/>
        </w:rPr>
        <w:br/>
        <w:t xml:space="preserve">(Aquí se insertará la imagen correspondiente: Captura de la configuración de Target Tracking en la consola de ECS)</w:t>
      </w:r>
    </w:p>
    <w:p>
      <w:pPr>
        <w:pBdr>
          <w:top w:val="dashed" w:color="4F81BD" w:sz="6" w:space="8"/>
          <w:bottom w:val="dashed" w:color="4F81BD" w:sz="6" w:space="8"/>
          <w:left w:val="dashed" w:color="4F81BD" w:sz="6" w:space="8"/>
          <w:right w:val="dashed" w:color="4F81BD" w:sz="6" w:space="8"/>
        </w:pBdr>
        <w:spacing w:after="300" w:before="200"/>
        <w:jc w:val="center"/>
      </w:pPr>
      <w:r>
        <w:rPr>
          <w:rFonts w:ascii="Calibri" w:cs="Calibri" w:eastAsia="Calibri" w:hAnsi="Calibri"/>
          <w:b/>
          <w:bCs/>
          <w:i/>
          <w:iCs/>
          <w:color w:val="1F497D"/>
          <w:sz w:val="21"/>
          <w:szCs w:val="21"/>
        </w:rPr>
        <w:br/>
        <w:t xml:space="preserve">Figura A.4</w:t>
      </w:r>
      <w:r>
        <w:rPr>
          <w:rFonts w:ascii="Calibri" w:cs="Calibri" w:eastAsia="Calibri" w:hAnsi="Calibri"/>
          <w:i/>
          <w:iCs/>
          <w:color w:val="595959"/>
          <w:sz w:val="19"/>
          <w:szCs w:val="19"/>
        </w:rPr>
        <w:br/>
        <w:t xml:space="preserve">(Aquí se insertará la imagen correspondiente: Gráfico de escalado de ms-kpis durante la prueba de carga con k6)</w:t>
      </w:r>
    </w:p>
    <w:p>
      <w:pPr>
        <w:pBdr>
          <w:top w:val="dashed" w:color="4F81BD" w:sz="6" w:space="8"/>
          <w:bottom w:val="dashed" w:color="4F81BD" w:sz="6" w:space="8"/>
          <w:left w:val="dashed" w:color="4F81BD" w:sz="6" w:space="8"/>
          <w:right w:val="dashed" w:color="4F81BD" w:sz="6" w:space="8"/>
        </w:pBdr>
        <w:spacing w:after="300" w:before="200"/>
        <w:jc w:val="center"/>
      </w:pPr>
      <w:r>
        <w:rPr>
          <w:rFonts w:ascii="Calibri" w:cs="Calibri" w:eastAsia="Calibri" w:hAnsi="Calibri"/>
          <w:b/>
          <w:bCs/>
          <w:i/>
          <w:iCs/>
          <w:color w:val="1F497D"/>
          <w:sz w:val="21"/>
          <w:szCs w:val="21"/>
        </w:rPr>
        <w:br/>
        <w:t xml:space="preserve">Figura A.5</w:t>
      </w:r>
      <w:r>
        <w:rPr>
          <w:rFonts w:ascii="Calibri" w:cs="Calibri" w:eastAsia="Calibri" w:hAnsi="Calibri"/>
          <w:i/>
          <w:iCs/>
          <w:color w:val="595959"/>
          <w:sz w:val="19"/>
          <w:szCs w:val="19"/>
        </w:rPr>
        <w:br/>
        <w:t xml:space="preserve">(Aquí se insertará la imagen correspondiente: Dashboard de CloudWatch con métricas de los doce servicios)</w:t>
      </w:r>
    </w:p>
    <w:p>
      <w:pPr>
        <w:pBdr>
          <w:top w:val="dashed" w:color="4F81BD" w:sz="6" w:space="8"/>
          <w:bottom w:val="dashed" w:color="4F81BD" w:sz="6" w:space="8"/>
          <w:left w:val="dashed" w:color="4F81BD" w:sz="6" w:space="8"/>
          <w:right w:val="dashed" w:color="4F81BD" w:sz="6" w:space="8"/>
        </w:pBdr>
        <w:spacing w:after="300" w:before="200"/>
        <w:jc w:val="center"/>
      </w:pPr>
      <w:r>
        <w:rPr>
          <w:rFonts w:ascii="Calibri" w:cs="Calibri" w:eastAsia="Calibri" w:hAnsi="Calibri"/>
          <w:b/>
          <w:bCs/>
          <w:i/>
          <w:iCs/>
          <w:color w:val="1F497D"/>
          <w:sz w:val="21"/>
          <w:szCs w:val="21"/>
        </w:rPr>
        <w:br/>
        <w:t xml:space="preserve">Figura A.6</w:t>
      </w:r>
      <w:r>
        <w:rPr>
          <w:rFonts w:ascii="Calibri" w:cs="Calibri" w:eastAsia="Calibri" w:hAnsi="Calibri"/>
          <w:i/>
          <w:iCs/>
          <w:color w:val="595959"/>
          <w:sz w:val="19"/>
          <w:szCs w:val="19"/>
        </w:rPr>
        <w:br/>
        <w:t xml:space="preserve">(Aquí se insertará la imagen correspondiente: Logs de un servicio en CloudWatch Logs)</w:t>
      </w:r>
    </w:p>
    <w:p>
      <w:pPr>
        <w:pBdr>
          <w:top w:val="dashed" w:color="4F81BD" w:sz="6" w:space="8"/>
          <w:bottom w:val="dashed" w:color="4F81BD" w:sz="6" w:space="8"/>
          <w:left w:val="dashed" w:color="4F81BD" w:sz="6" w:space="8"/>
          <w:right w:val="dashed" w:color="4F81BD" w:sz="6" w:space="8"/>
        </w:pBdr>
        <w:spacing w:after="300" w:before="200"/>
        <w:jc w:val="center"/>
      </w:pPr>
      <w:r>
        <w:rPr>
          <w:rFonts w:ascii="Calibri" w:cs="Calibri" w:eastAsia="Calibri" w:hAnsi="Calibri"/>
          <w:b/>
          <w:bCs/>
          <w:i/>
          <w:iCs/>
          <w:color w:val="1F497D"/>
          <w:sz w:val="21"/>
          <w:szCs w:val="21"/>
        </w:rPr>
        <w:br/>
        <w:t xml:space="preserve">Figura A.7</w:t>
      </w:r>
      <w:r>
        <w:rPr>
          <w:rFonts w:ascii="Calibri" w:cs="Calibri" w:eastAsia="Calibri" w:hAnsi="Calibri"/>
          <w:i/>
          <w:iCs/>
          <w:color w:val="595959"/>
          <w:sz w:val="19"/>
          <w:szCs w:val="19"/>
        </w:rPr>
        <w:br/>
        <w:t xml:space="preserve">(Aquí se insertará la imagen correspondiente: Prueba de login y consulta de KPIs desde el frontend desplegado en ECS)</w:t>
      </w:r>
    </w:p>
    <w:p>
      <w:pPr>
        <w:pBdr>
          <w:top w:val="dashed" w:color="4F81BD" w:sz="6" w:space="8"/>
          <w:bottom w:val="dashed" w:color="4F81BD" w:sz="6" w:space="8"/>
          <w:left w:val="dashed" w:color="4F81BD" w:sz="6" w:space="8"/>
          <w:right w:val="dashed" w:color="4F81BD" w:sz="6" w:space="8"/>
        </w:pBdr>
        <w:spacing w:after="300" w:before="200"/>
        <w:jc w:val="center"/>
      </w:pPr>
      <w:r>
        <w:rPr>
          <w:rFonts w:ascii="Calibri" w:cs="Calibri" w:eastAsia="Calibri" w:hAnsi="Calibri"/>
          <w:b/>
          <w:bCs/>
          <w:i/>
          <w:iCs/>
          <w:color w:val="1F497D"/>
          <w:sz w:val="21"/>
          <w:szCs w:val="21"/>
        </w:rPr>
        <w:br/>
        <w:t xml:space="preserve">Figura A.8</w:t>
      </w:r>
      <w:r>
        <w:rPr>
          <w:rFonts w:ascii="Calibri" w:cs="Calibri" w:eastAsia="Calibri" w:hAnsi="Calibri"/>
          <w:i/>
          <w:iCs/>
          <w:color w:val="595959"/>
          <w:sz w:val="19"/>
          <w:szCs w:val="19"/>
        </w:rPr>
        <w:br/>
        <w:t xml:space="preserve">(Aquí se insertará la imagen correspondiente: Logs de CloudWatch mostrando una petición atravesando api-gateway y bff)</w:t>
      </w:r>
    </w:p>
    <w:p>
      <w:pPr>
        <w:pBdr>
          <w:top w:val="dashed" w:color="4F81BD" w:sz="6" w:space="8"/>
          <w:bottom w:val="dashed" w:color="4F81BD" w:sz="6" w:space="8"/>
          <w:left w:val="dashed" w:color="4F81BD" w:sz="6" w:space="8"/>
          <w:right w:val="dashed" w:color="4F81BD" w:sz="6" w:space="8"/>
        </w:pBdr>
        <w:spacing w:after="300" w:before="200"/>
        <w:jc w:val="center"/>
      </w:pPr>
      <w:r>
        <w:rPr>
          <w:rFonts w:ascii="Calibri" w:cs="Calibri" w:eastAsia="Calibri" w:hAnsi="Calibri"/>
          <w:b/>
          <w:bCs/>
          <w:i/>
          <w:iCs/>
          <w:color w:val="1F497D"/>
          <w:sz w:val="21"/>
          <w:szCs w:val="21"/>
        </w:rPr>
        <w:br/>
        <w:t xml:space="preserve">Figura A.9</w:t>
      </w:r>
      <w:r>
        <w:rPr>
          <w:rFonts w:ascii="Calibri" w:cs="Calibri" w:eastAsia="Calibri" w:hAnsi="Calibri"/>
          <w:i/>
          <w:iCs/>
          <w:color w:val="595959"/>
          <w:sz w:val="19"/>
          <w:szCs w:val="19"/>
        </w:rPr>
        <w:br/>
        <w:t xml:space="preserve">(Aquí se insertará la imagen correspondiente: Consola de ECS mostrando los doce servicios en estado estable)</w:t>
      </w:r>
    </w:p>
    <w:p>
      <w:pPr>
        <w:pBdr>
          <w:top w:val="dashed" w:color="4F81BD" w:sz="6" w:space="8"/>
          <w:bottom w:val="dashed" w:color="4F81BD" w:sz="6" w:space="8"/>
          <w:left w:val="dashed" w:color="4F81BD" w:sz="6" w:space="8"/>
          <w:right w:val="dashed" w:color="4F81BD" w:sz="6" w:space="8"/>
        </w:pBdr>
        <w:spacing w:after="300" w:before="200"/>
        <w:jc w:val="center"/>
      </w:pPr>
      <w:r>
        <w:rPr>
          <w:rFonts w:ascii="Calibri" w:cs="Calibri" w:eastAsia="Calibri" w:hAnsi="Calibri"/>
          <w:b/>
          <w:bCs/>
          <w:i/>
          <w:iCs/>
          <w:color w:val="1F497D"/>
          <w:sz w:val="21"/>
          <w:szCs w:val="21"/>
        </w:rPr>
        <w:br/>
        <w:t xml:space="preserve">Figura A.10</w:t>
      </w:r>
      <w:r>
        <w:rPr>
          <w:rFonts w:ascii="Calibri" w:cs="Calibri" w:eastAsia="Calibri" w:hAnsi="Calibri"/>
          <w:i/>
          <w:iCs/>
          <w:color w:val="595959"/>
          <w:sz w:val="19"/>
          <w:szCs w:val="19"/>
        </w:rPr>
        <w:br/>
        <w:t xml:space="preserve">(Aquí se insertará la imagen correspondiente: Resultado de la prueba de resiliencia — recuperación automática de una tarea caída)</w:t>
      </w:r>
    </w:p>
    <w:p>
      <w:pPr>
        <w:pBdr>
          <w:top w:val="dashed" w:color="4F81BD" w:sz="6" w:space="8"/>
          <w:bottom w:val="dashed" w:color="4F81BD" w:sz="6" w:space="8"/>
          <w:left w:val="dashed" w:color="4F81BD" w:sz="6" w:space="8"/>
          <w:right w:val="dashed" w:color="4F81BD" w:sz="6" w:space="8"/>
        </w:pBdr>
        <w:spacing w:after="300" w:before="200"/>
        <w:jc w:val="center"/>
      </w:pPr>
      <w:r>
        <w:rPr>
          <w:rFonts w:ascii="Calibri" w:cs="Calibri" w:eastAsia="Calibri" w:hAnsi="Calibri"/>
          <w:b/>
          <w:bCs/>
          <w:i/>
          <w:iCs/>
          <w:color w:val="1F497D"/>
          <w:sz w:val="21"/>
          <w:szCs w:val="21"/>
        </w:rPr>
        <w:br/>
        <w:t xml:space="preserve">Figura A.11</w:t>
      </w:r>
      <w:r>
        <w:rPr>
          <w:rFonts w:ascii="Calibri" w:cs="Calibri" w:eastAsia="Calibri" w:hAnsi="Calibri"/>
          <w:i/>
          <w:iCs/>
          <w:color w:val="595959"/>
          <w:sz w:val="19"/>
          <w:szCs w:val="19"/>
        </w:rPr>
        <w:br/>
        <w:t xml:space="preserve">(Aquí se insertará la imagen correspondiente: Resultado de la prueba de resiliencia — despliegue con imagen inexistente)</w:t>
      </w:r>
    </w:p>
    <w:p>
      <w:pPr>
        <w:pBdr>
          <w:top w:val="dashed" w:color="4F81BD" w:sz="6" w:space="8"/>
          <w:bottom w:val="dashed" w:color="4F81BD" w:sz="6" w:space="8"/>
          <w:left w:val="dashed" w:color="4F81BD" w:sz="6" w:space="8"/>
          <w:right w:val="dashed" w:color="4F81BD" w:sz="6" w:space="8"/>
        </w:pBdr>
        <w:spacing w:after="300" w:before="200"/>
        <w:jc w:val="center"/>
      </w:pPr>
      <w:r>
        <w:rPr>
          <w:rFonts w:ascii="Calibri" w:cs="Calibri" w:eastAsia="Calibri" w:hAnsi="Calibri"/>
          <w:b/>
          <w:bCs/>
          <w:i/>
          <w:iCs/>
          <w:color w:val="1F497D"/>
          <w:sz w:val="21"/>
          <w:szCs w:val="21"/>
        </w:rPr>
        <w:br/>
        <w:t xml:space="preserve">Figura A.12</w:t>
      </w:r>
      <w:r>
        <w:rPr>
          <w:rFonts w:ascii="Calibri" w:cs="Calibri" w:eastAsia="Calibri" w:hAnsi="Calibri"/>
          <w:i/>
          <w:iCs/>
          <w:color w:val="595959"/>
          <w:sz w:val="19"/>
          <w:szCs w:val="19"/>
        </w:rPr>
        <w:br/>
        <w:t xml:space="preserve">(Aquí se insertará la imagen correspondiente: Ejecución completa del pipeline de GitHub Actions contra ECS)</w:t>
      </w:r>
    </w:p>
    <w:sectPr>
      <w:headerReference w:type="default" r:id="rId9"/>
      <w:footerReference w:type="default" r:id="rId10"/>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Calibri" w:cs="Calibri" w:eastAsia="Calibri" w:hAnsi="Calibri"/>
        <w:color w:val="595959"/>
        <w:sz w:val="16"/>
        <w:szCs w:val="16"/>
      </w:rPr>
      <w:t xml:space="preserve">Migración a AWS ECS Fargate — Evaluación Parcial N°3 — Duoc UC   |   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Grupo Cordillera — ISY1101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2026-07-03T20:49:45.662Z</dcterms:created>
  <dcterms:modified xsi:type="dcterms:W3CDTF">2026-07-03T20:49:45.663Z</dcterms:modified>
</cp:coreProperties>
</file>

<file path=docProps/custom.xml><?xml version="1.0" encoding="utf-8"?>
<Properties xmlns="http://schemas.openxmlformats.org/officeDocument/2006/custom-properties" xmlns:vt="http://schemas.openxmlformats.org/officeDocument/2006/docPropsVTypes"/>
</file>