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68"/>
          <w:tab w:val="center" w:leader="none" w:pos="468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170545" cy="827405"/>
                <wp:effectExtent b="0" l="0" r="0" t="0"/>
                <wp:wrapNone/>
                <wp:docPr id="12" name=""/>
                <a:graphic>
                  <a:graphicData uri="http://schemas.microsoft.com/office/word/2010/wordprocessingShape">
                    <wps:wsp>
                      <wps:cNvSpPr/>
                      <wps:cNvPr id="3" name="Shape 3"/>
                      <wps:spPr>
                        <a:xfrm>
                          <a:off x="1265490" y="3371060"/>
                          <a:ext cx="8161020" cy="817880"/>
                        </a:xfrm>
                        <a:prstGeom prst="rect">
                          <a:avLst/>
                        </a:prstGeom>
                        <a:solidFill>
                          <a:schemeClr val="accent5"/>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170545" cy="827405"/>
                <wp:effectExtent b="0" l="0" r="0" t="0"/>
                <wp:wrapNone/>
                <wp:docPr id="1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170545" cy="827405"/>
                        </a:xfrm>
                        <a:prstGeom prst="rect"/>
                        <a:ln/>
                      </pic:spPr>
                    </pic:pic>
                  </a:graphicData>
                </a:graphic>
              </wp:anchor>
            </w:drawing>
          </mc:Fallback>
        </mc:AlternateConten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0330" cy="10565765"/>
                <wp:effectExtent b="0" l="0" r="0" t="0"/>
                <wp:wrapNone/>
                <wp:docPr id="1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0330" cy="10565765"/>
                <wp:effectExtent b="0" l="0" r="0" t="0"/>
                <wp:wrapNone/>
                <wp:docPr id="1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00330" cy="10565765"/>
                        </a:xfrm>
                        <a:prstGeom prst="rect"/>
                        <a:ln/>
                      </pic:spPr>
                    </pic:pic>
                  </a:graphicData>
                </a:graphic>
              </wp:anchor>
            </w:drawing>
          </mc:Fallback>
        </mc:AlternateConten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0330" cy="10565765"/>
                <wp:effectExtent b="0" l="0" r="0" t="0"/>
                <wp:wrapNone/>
                <wp:docPr id="14" name=""/>
                <a:graphic>
                  <a:graphicData uri="http://schemas.microsoft.com/office/word/2010/wordprocessingShape">
                    <wps:wsp>
                      <wps:cNvSpPr/>
                      <wps:cNvPr id="5" name="Shape 5"/>
                      <wps:spPr>
                        <a:xfrm>
                          <a:off x="5300598" y="0"/>
                          <a:ext cx="90805" cy="7560000"/>
                        </a:xfrm>
                        <a:prstGeom prst="rect">
                          <a:avLst/>
                        </a:prstGeom>
                        <a:solidFill>
                          <a:srgbClr val="FFFFFF"/>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0330" cy="10565765"/>
                <wp:effectExtent b="0" l="0" r="0" t="0"/>
                <wp:wrapNone/>
                <wp:docPr id="1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00330" cy="10565765"/>
                        </a:xfrm>
                        <a:prstGeom prst="rect"/>
                        <a:ln/>
                      </pic:spPr>
                    </pic:pic>
                  </a:graphicData>
                </a:graphic>
              </wp:anchor>
            </w:drawing>
          </mc:Fallback>
        </mc:AlternateConten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170545" cy="832485"/>
                <wp:effectExtent b="0" l="0" r="0" t="0"/>
                <wp:wrapNone/>
                <wp:docPr id="11" name=""/>
                <a:graphic>
                  <a:graphicData uri="http://schemas.microsoft.com/office/word/2010/wordprocessingShape">
                    <wps:wsp>
                      <wps:cNvSpPr/>
                      <wps:cNvPr id="2" name="Shape 2"/>
                      <wps:spPr>
                        <a:xfrm>
                          <a:off x="1265490" y="3368520"/>
                          <a:ext cx="8161020" cy="822960"/>
                        </a:xfrm>
                        <a:prstGeom prst="rect">
                          <a:avLst/>
                        </a:prstGeom>
                        <a:solidFill>
                          <a:schemeClr val="accent5"/>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170545" cy="832485"/>
                <wp:effectExtent b="0" l="0" r="0" t="0"/>
                <wp:wrapNone/>
                <wp:docPr id="1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8170545" cy="83248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48"/>
          <w:szCs w:val="48"/>
          <w:u w:val="none"/>
          <w:shd w:fill="auto" w:val="clear"/>
          <w:vertAlign w:val="baseline"/>
          <w:rtl w:val="0"/>
        </w:rPr>
        <w:t xml:space="preserve">BoardDocs® Pro              Agenda Item</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Meeting:</w:t>
        <w:tab/>
        <w:tab/>
        <w:t xml:space="preserve">June 12, 2023</w:t>
        <w:tab/>
        <w:tab/>
        <w:t xml:space="preserv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ab/>
        <w:tab/>
        <w:tab/>
        <w:tab/>
        <w:tab/>
        <w:tab/>
        <w:tab/>
        <w:tab/>
        <w:tab/>
        <w:tab/>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4044"/>
        </w:tabs>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Category:</w:t>
        <w:tab/>
        <w:tab/>
        <w:t xml:space="preserve">PINCO</w:t>
        <w:tab/>
        <w:tab/>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4044"/>
        </w:tabs>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ab/>
        <w:tab/>
        <w:tab/>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2160"/>
        <w:jc w:val="both"/>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Subject: </w:t>
        <w:tab/>
        <w:t xml:space="preserve">Approval(s) of PINCO 2023-2024 Request for Proposal(s)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Type:</w:t>
        <w:tab/>
        <w:tab/>
        <w:t xml:space="preserve">Action Item</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Submitted by</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Joseph Cook, PINCO President</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Summary Statement: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With direction from PINCO’s Executive and Advisory Committee Members and following established procurement procedures, the Lead Agency annually conducts open solicitations for pricing and terms of USDA processed and commercially purchased food products.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1"/>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Awarded products are to be ordered and warehoused by PINCO Staff and directly distributed to Member Districts through third-party logistics vendor.</w:t>
      </w:r>
      <w:r w:rsidDel="00000000" w:rsidR="00000000" w:rsidRPr="00000000">
        <w:rPr>
          <w:rtl w:val="0"/>
        </w:rPr>
      </w:r>
    </w:p>
    <w:p w:rsidR="00000000" w:rsidDel="00000000" w:rsidP="00000000" w:rsidRDefault="00000000" w:rsidRPr="00000000" w14:paraId="00000011">
      <w:pPr>
        <w:spacing w:line="21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12">
      <w:pPr>
        <w:spacing w:line="216" w:lineRule="auto"/>
        <w:jc w:val="both"/>
        <w:rPr>
          <w:rFonts w:ascii="Verdana" w:cs="Verdana" w:eastAsia="Verdana" w:hAnsi="Verdana"/>
        </w:rPr>
      </w:pPr>
      <w:r w:rsidDel="00000000" w:rsidR="00000000" w:rsidRPr="00000000">
        <w:rPr>
          <w:rFonts w:ascii="Verdana" w:cs="Verdana" w:eastAsia="Verdana" w:hAnsi="Verdana"/>
          <w:rtl w:val="0"/>
        </w:rPr>
        <w:t xml:space="preserve">PINCO’s Best Value Scoring matrix includes the following variables:</w:t>
      </w:r>
    </w:p>
    <w:p w:rsidR="00000000" w:rsidDel="00000000" w:rsidP="00000000" w:rsidRDefault="00000000" w:rsidRPr="00000000" w14:paraId="00000013">
      <w:pPr>
        <w:spacing w:line="216" w:lineRule="auto"/>
        <w:jc w:val="both"/>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14">
      <w:pPr>
        <w:numPr>
          <w:ilvl w:val="0"/>
          <w:numId w:val="1"/>
        </w:numPr>
        <w:spacing w:line="36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Price.</w:t>
      </w:r>
    </w:p>
    <w:p w:rsidR="00000000" w:rsidDel="00000000" w:rsidP="00000000" w:rsidRDefault="00000000" w:rsidRPr="00000000" w14:paraId="00000015">
      <w:pPr>
        <w:numPr>
          <w:ilvl w:val="0"/>
          <w:numId w:val="1"/>
        </w:numPr>
        <w:spacing w:line="36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Quality of Material</w:t>
      </w:r>
    </w:p>
    <w:p w:rsidR="00000000" w:rsidDel="00000000" w:rsidP="00000000" w:rsidRDefault="00000000" w:rsidRPr="00000000" w14:paraId="00000016">
      <w:pPr>
        <w:numPr>
          <w:ilvl w:val="0"/>
          <w:numId w:val="1"/>
        </w:numPr>
        <w:spacing w:line="36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Acceptability: Past performance &amp; reliability; reasonable minimums &amp; lead times for processing.</w:t>
      </w:r>
    </w:p>
    <w:p w:rsidR="00000000" w:rsidDel="00000000" w:rsidP="00000000" w:rsidRDefault="00000000" w:rsidRPr="00000000" w14:paraId="00000017">
      <w:pPr>
        <w:numPr>
          <w:ilvl w:val="0"/>
          <w:numId w:val="1"/>
        </w:numPr>
        <w:spacing w:line="36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The necessity to award enough items to the vendor.</w:t>
      </w:r>
    </w:p>
    <w:p w:rsidR="00000000" w:rsidDel="00000000" w:rsidP="00000000" w:rsidRDefault="00000000" w:rsidRPr="00000000" w14:paraId="00000018">
      <w:pPr>
        <w:spacing w:line="360" w:lineRule="auto"/>
        <w:ind w:left="720" w:firstLine="0"/>
        <w:jc w:val="both"/>
        <w:rPr>
          <w:rFonts w:ascii="Verdana" w:cs="Verdana" w:eastAsia="Verdana" w:hAnsi="Verdana"/>
          <w:sz w:val="6"/>
          <w:szCs w:val="6"/>
        </w:rPr>
      </w:pPr>
      <w:r w:rsidDel="00000000" w:rsidR="00000000" w:rsidRPr="00000000">
        <w:rPr>
          <w:rtl w:val="0"/>
        </w:rPr>
      </w:r>
    </w:p>
    <w:p w:rsidR="00000000" w:rsidDel="00000000" w:rsidP="00000000" w:rsidRDefault="00000000" w:rsidRPr="00000000" w14:paraId="00000019">
      <w:pPr>
        <w:spacing w:line="360" w:lineRule="auto"/>
        <w:jc w:val="both"/>
        <w:rPr>
          <w:rFonts w:ascii="Verdana" w:cs="Verdana" w:eastAsia="Verdana" w:hAnsi="Verdana"/>
        </w:rPr>
      </w:pPr>
      <w:r w:rsidDel="00000000" w:rsidR="00000000" w:rsidRPr="00000000">
        <w:rPr>
          <w:rFonts w:ascii="Verdana" w:cs="Verdana" w:eastAsia="Verdana" w:hAnsi="Verdana"/>
          <w:rtl w:val="0"/>
        </w:rPr>
        <w:t xml:space="preserve">As part of the vetting process, PINCO Member Districts conducted objective taste testing to help determine quality and student likability.</w:t>
      </w:r>
    </w:p>
    <w:p w:rsidR="00000000" w:rsidDel="00000000" w:rsidP="00000000" w:rsidRDefault="00000000" w:rsidRPr="00000000" w14:paraId="0000001A">
      <w:pPr>
        <w:spacing w:line="360" w:lineRule="auto"/>
        <w:jc w:val="both"/>
        <w:rPr>
          <w:rFonts w:ascii="Verdana" w:cs="Verdana" w:eastAsia="Verdana" w:hAnsi="Verdana"/>
        </w:rPr>
      </w:pPr>
      <w:r w:rsidDel="00000000" w:rsidR="00000000" w:rsidRPr="00000000">
        <w:rPr>
          <w:rFonts w:ascii="Verdana" w:cs="Verdana" w:eastAsia="Verdana" w:hAnsi="Verdana"/>
          <w:rtl w:val="0"/>
        </w:rPr>
        <w:t xml:space="preserve">The following vendors have been recommended for award in the 2023-2024 school year, effective July 1, 2023- June 30, 2024: </w:t>
      </w:r>
    </w:p>
    <w:p w:rsidR="00000000" w:rsidDel="00000000" w:rsidP="00000000" w:rsidRDefault="00000000" w:rsidRPr="00000000" w14:paraId="0000001B">
      <w:pPr>
        <w:spacing w:line="36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1C">
      <w:pPr>
        <w:spacing w:line="36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1D">
      <w:pPr>
        <w:spacing w:line="360" w:lineRule="auto"/>
        <w:jc w:val="both"/>
        <w:rPr>
          <w:rFonts w:ascii="Verdana" w:cs="Verdana" w:eastAsia="Verdana" w:hAnsi="Verdana"/>
        </w:rPr>
      </w:pPr>
      <w:r w:rsidDel="00000000" w:rsidR="00000000" w:rsidRPr="00000000">
        <w:rPr>
          <w:rFonts w:ascii="Verdana" w:cs="Verdana" w:eastAsia="Verdana" w:hAnsi="Verdana"/>
          <w:rtl w:val="0"/>
        </w:rPr>
        <w:t xml:space="preserve">RFP #01/23-24: USDA Processed &amp; Purchased Poultry Products-</w:t>
      </w:r>
    </w:p>
    <w:p w:rsidR="00000000" w:rsidDel="00000000" w:rsidP="00000000" w:rsidRDefault="00000000" w:rsidRPr="00000000" w14:paraId="0000001E">
      <w:pPr>
        <w:spacing w:line="360" w:lineRule="auto"/>
        <w:jc w:val="both"/>
        <w:rPr>
          <w:rFonts w:ascii="Verdana" w:cs="Verdana" w:eastAsia="Verdana" w:hAnsi="Verdana"/>
        </w:rPr>
      </w:pPr>
      <w:r w:rsidDel="00000000" w:rsidR="00000000" w:rsidRPr="00000000">
        <w:rPr>
          <w:rFonts w:ascii="Verdana" w:cs="Verdana" w:eastAsia="Verdana" w:hAnsi="Verdana"/>
          <w:rtl w:val="0"/>
        </w:rPr>
        <w:t xml:space="preserve">Brookwood Farms</w:t>
        <w:tab/>
        <w:tab/>
        <w:tab/>
        <w:tab/>
        <w:tab/>
        <w:t xml:space="preserve">$   200,000.00</w:t>
      </w:r>
    </w:p>
    <w:p w:rsidR="00000000" w:rsidDel="00000000" w:rsidP="00000000" w:rsidRDefault="00000000" w:rsidRPr="00000000" w14:paraId="0000001F">
      <w:pPr>
        <w:spacing w:line="360" w:lineRule="auto"/>
        <w:jc w:val="both"/>
        <w:rPr>
          <w:rFonts w:ascii="Verdana" w:cs="Verdana" w:eastAsia="Verdana" w:hAnsi="Verdana"/>
        </w:rPr>
      </w:pPr>
      <w:r w:rsidDel="00000000" w:rsidR="00000000" w:rsidRPr="00000000">
        <w:rPr>
          <w:rFonts w:ascii="Verdana" w:cs="Verdana" w:eastAsia="Verdana" w:hAnsi="Verdana"/>
          <w:rtl w:val="0"/>
        </w:rPr>
        <w:t xml:space="preserve">Tyson Foods</w:t>
        <w:tab/>
        <w:tab/>
        <w:tab/>
        <w:tab/>
        <w:tab/>
        <w:t xml:space="preserve">$1,000,000.00</w:t>
      </w:r>
    </w:p>
    <w:p w:rsidR="00000000" w:rsidDel="00000000" w:rsidP="00000000" w:rsidRDefault="00000000" w:rsidRPr="00000000" w14:paraId="00000020">
      <w:pPr>
        <w:spacing w:line="360" w:lineRule="auto"/>
        <w:jc w:val="both"/>
        <w:rPr>
          <w:rFonts w:ascii="Verdana" w:cs="Verdana" w:eastAsia="Verdana" w:hAnsi="Verdana"/>
        </w:rPr>
      </w:pPr>
      <w:r w:rsidDel="00000000" w:rsidR="00000000" w:rsidRPr="00000000">
        <w:rPr>
          <w:rFonts w:ascii="Verdana" w:cs="Verdana" w:eastAsia="Verdana" w:hAnsi="Verdana"/>
          <w:rtl w:val="0"/>
        </w:rPr>
        <w:t xml:space="preserve">Asian Food Solutions (Schwan’s)</w:t>
        <w:tab/>
        <w:tab/>
        <w:t xml:space="preserve">$   250,000.00</w:t>
      </w:r>
    </w:p>
    <w:p w:rsidR="00000000" w:rsidDel="00000000" w:rsidP="00000000" w:rsidRDefault="00000000" w:rsidRPr="00000000" w14:paraId="00000021">
      <w:pPr>
        <w:spacing w:line="360" w:lineRule="auto"/>
        <w:jc w:val="both"/>
        <w:rPr>
          <w:rFonts w:ascii="Verdana" w:cs="Verdana" w:eastAsia="Verdana" w:hAnsi="Verdana"/>
          <w:sz w:val="10"/>
          <w:szCs w:val="10"/>
        </w:rPr>
      </w:pPr>
      <w:r w:rsidDel="00000000" w:rsidR="00000000" w:rsidRPr="00000000">
        <w:rPr>
          <w:rtl w:val="0"/>
        </w:rPr>
      </w:r>
    </w:p>
    <w:p w:rsidR="00000000" w:rsidDel="00000000" w:rsidP="00000000" w:rsidRDefault="00000000" w:rsidRPr="00000000" w14:paraId="00000022">
      <w:pPr>
        <w:spacing w:line="360" w:lineRule="auto"/>
        <w:jc w:val="both"/>
        <w:rPr>
          <w:rFonts w:ascii="Verdana" w:cs="Verdana" w:eastAsia="Verdana" w:hAnsi="Verdana"/>
        </w:rPr>
      </w:pPr>
      <w:r w:rsidDel="00000000" w:rsidR="00000000" w:rsidRPr="00000000">
        <w:rPr>
          <w:rFonts w:ascii="Verdana" w:cs="Verdana" w:eastAsia="Verdana" w:hAnsi="Verdana"/>
          <w:rtl w:val="0"/>
        </w:rPr>
        <w:t xml:space="preserve">RFP #02/23-24: USDA Processed and Purchased Beef Products-</w:t>
      </w:r>
    </w:p>
    <w:p w:rsidR="00000000" w:rsidDel="00000000" w:rsidP="00000000" w:rsidRDefault="00000000" w:rsidRPr="00000000" w14:paraId="00000023">
      <w:pPr>
        <w:spacing w:line="360" w:lineRule="auto"/>
        <w:jc w:val="both"/>
        <w:rPr>
          <w:rFonts w:ascii="Verdana" w:cs="Verdana" w:eastAsia="Verdana" w:hAnsi="Verdana"/>
        </w:rPr>
      </w:pPr>
      <w:r w:rsidDel="00000000" w:rsidR="00000000" w:rsidRPr="00000000">
        <w:rPr>
          <w:rFonts w:ascii="Verdana" w:cs="Verdana" w:eastAsia="Verdana" w:hAnsi="Verdana"/>
          <w:rtl w:val="0"/>
        </w:rPr>
        <w:t xml:space="preserve">Don Lee Farms</w:t>
        <w:tab/>
        <w:tab/>
        <w:tab/>
        <w:tab/>
        <w:tab/>
        <w:t xml:space="preserve">$   850,000.00</w:t>
      </w:r>
    </w:p>
    <w:p w:rsidR="00000000" w:rsidDel="00000000" w:rsidP="00000000" w:rsidRDefault="00000000" w:rsidRPr="00000000" w14:paraId="00000024">
      <w:pPr>
        <w:spacing w:line="360" w:lineRule="auto"/>
        <w:jc w:val="both"/>
        <w:rPr>
          <w:rFonts w:ascii="Verdana" w:cs="Verdana" w:eastAsia="Verdana" w:hAnsi="Verdana"/>
          <w:sz w:val="10"/>
          <w:szCs w:val="10"/>
        </w:rPr>
      </w:pPr>
      <w:r w:rsidDel="00000000" w:rsidR="00000000" w:rsidRPr="00000000">
        <w:rPr>
          <w:rtl w:val="0"/>
        </w:rPr>
      </w:r>
    </w:p>
    <w:p w:rsidR="00000000" w:rsidDel="00000000" w:rsidP="00000000" w:rsidRDefault="00000000" w:rsidRPr="00000000" w14:paraId="00000025">
      <w:pPr>
        <w:spacing w:line="360" w:lineRule="auto"/>
        <w:jc w:val="both"/>
        <w:rPr>
          <w:rFonts w:ascii="Verdana" w:cs="Verdana" w:eastAsia="Verdana" w:hAnsi="Verdana"/>
        </w:rPr>
      </w:pPr>
      <w:r w:rsidDel="00000000" w:rsidR="00000000" w:rsidRPr="00000000">
        <w:rPr>
          <w:rFonts w:ascii="Verdana" w:cs="Verdana" w:eastAsia="Verdana" w:hAnsi="Verdana"/>
          <w:rtl w:val="0"/>
        </w:rPr>
        <w:t xml:space="preserve">RFP#05/23-24: Purchased Food Products Delivered Direct to PINCO-</w:t>
      </w:r>
    </w:p>
    <w:p w:rsidR="00000000" w:rsidDel="00000000" w:rsidP="00000000" w:rsidRDefault="00000000" w:rsidRPr="00000000" w14:paraId="00000026">
      <w:pPr>
        <w:spacing w:line="360" w:lineRule="auto"/>
        <w:jc w:val="both"/>
        <w:rPr>
          <w:rFonts w:ascii="Verdana" w:cs="Verdana" w:eastAsia="Verdana" w:hAnsi="Verdana"/>
        </w:rPr>
      </w:pPr>
      <w:r w:rsidDel="00000000" w:rsidR="00000000" w:rsidRPr="00000000">
        <w:rPr>
          <w:rFonts w:ascii="Verdana" w:cs="Verdana" w:eastAsia="Verdana" w:hAnsi="Verdana"/>
          <w:rtl w:val="0"/>
        </w:rPr>
        <w:t xml:space="preserve">Clearbrook Farms</w:t>
        <w:tab/>
        <w:tab/>
        <w:tab/>
        <w:tab/>
        <w:tab/>
        <w:t xml:space="preserve">$  500,000.00</w:t>
      </w:r>
    </w:p>
    <w:p w:rsidR="00000000" w:rsidDel="00000000" w:rsidP="00000000" w:rsidRDefault="00000000" w:rsidRPr="00000000" w14:paraId="00000027">
      <w:pPr>
        <w:spacing w:line="360" w:lineRule="auto"/>
        <w:jc w:val="both"/>
        <w:rPr>
          <w:rFonts w:ascii="Verdana" w:cs="Verdana" w:eastAsia="Verdana" w:hAnsi="Verdana"/>
        </w:rPr>
      </w:pPr>
      <w:r w:rsidDel="00000000" w:rsidR="00000000" w:rsidRPr="00000000">
        <w:rPr>
          <w:rFonts w:ascii="Verdana" w:cs="Verdana" w:eastAsia="Verdana" w:hAnsi="Verdana"/>
          <w:rtl w:val="0"/>
        </w:rPr>
        <w:t xml:space="preserve">Deeply Rooted Farms</w:t>
        <w:tab/>
        <w:tab/>
        <w:tab/>
        <w:tab/>
        <w:t xml:space="preserve">$    50,000.00</w:t>
      </w:r>
    </w:p>
    <w:p w:rsidR="00000000" w:rsidDel="00000000" w:rsidP="00000000" w:rsidRDefault="00000000" w:rsidRPr="00000000" w14:paraId="00000028">
      <w:pPr>
        <w:spacing w:line="360" w:lineRule="auto"/>
        <w:jc w:val="both"/>
        <w:rPr>
          <w:rFonts w:ascii="Verdana" w:cs="Verdana" w:eastAsia="Verdana" w:hAnsi="Verdana"/>
          <w:sz w:val="8"/>
          <w:szCs w:val="8"/>
        </w:rPr>
      </w:pPr>
      <w:r w:rsidDel="00000000" w:rsidR="00000000" w:rsidRPr="00000000">
        <w:rPr>
          <w:rtl w:val="0"/>
        </w:rPr>
      </w:r>
    </w:p>
    <w:p w:rsidR="00000000" w:rsidDel="00000000" w:rsidP="00000000" w:rsidRDefault="00000000" w:rsidRPr="00000000" w14:paraId="00000029">
      <w:pPr>
        <w:spacing w:line="360" w:lineRule="auto"/>
        <w:jc w:val="both"/>
        <w:rPr>
          <w:rFonts w:ascii="Verdana" w:cs="Verdana" w:eastAsia="Verdana" w:hAnsi="Verdana"/>
        </w:rPr>
      </w:pPr>
      <w:r w:rsidDel="00000000" w:rsidR="00000000" w:rsidRPr="00000000">
        <w:rPr>
          <w:rFonts w:ascii="Verdana" w:cs="Verdana" w:eastAsia="Verdana" w:hAnsi="Verdana"/>
          <w:rtl w:val="0"/>
        </w:rPr>
        <w:t xml:space="preserve">*Corresponding dollar amount(s) represent budgeted monies for payment through open SY 2023-2024 purchase order(s) and reimbursed by PINCO Member Districts per JPA language.</w:t>
      </w:r>
    </w:p>
    <w:p w:rsidR="00000000" w:rsidDel="00000000" w:rsidP="00000000" w:rsidRDefault="00000000" w:rsidRPr="00000000" w14:paraId="0000002A">
      <w:pPr>
        <w:spacing w:line="36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Budget Implications; </w:t>
      </w:r>
      <w:r w:rsidDel="00000000" w:rsidR="00000000" w:rsidRPr="00000000">
        <w:rPr>
          <w:rFonts w:ascii="Verdana" w:cs="Verdana" w:eastAsia="Verdana" w:hAnsi="Verdana"/>
          <w:rtl w:val="0"/>
        </w:rPr>
        <w:t xml:space="preserve">The $3,150,000.00 identified are PINCO food expenditures that are paid for directly by Member Districts.</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4"/>
          <w:szCs w:val="24"/>
          <w:u w:val="none"/>
          <w:shd w:fill="auto" w:val="clear"/>
          <w:vertAlign w:val="baseline"/>
        </w:rPr>
        <w:sectPr>
          <w:pgSz w:h="15840" w:w="12240" w:orient="portrait"/>
          <w:pgMar w:bottom="1440" w:top="1440" w:left="1872" w:right="1872" w:header="720" w:footer="720"/>
          <w:pgNumType w:start="1"/>
        </w:sectPr>
      </w:pPr>
      <w:bookmarkStart w:colFirst="0" w:colLast="0" w:name="_heading=h.gjdgxs" w:id="0"/>
      <w:bookmarkEnd w:id="0"/>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Recommended Action: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It is recommended that the Board of Trustees authorize PINCO to enter into agreement(s) with the recommended vendors and to open purchase orders for payment accordingly for SY 2023-2024. </w:t>
      </w:r>
    </w:p>
    <w:p w:rsidR="00000000" w:rsidDel="00000000" w:rsidP="00000000" w:rsidRDefault="00000000" w:rsidRPr="00000000" w14:paraId="0000002E">
      <w:pPr>
        <w:spacing w:after="280" w:before="280" w:lineRule="auto"/>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headerReference r:id="rId11" w:type="first"/>
      <w:footerReference r:id="rId12" w:type="first"/>
      <w:type w:val="nextPage"/>
      <w:pgSz w:h="15840" w:w="12240" w:orient="portrait"/>
      <w:pgMar w:bottom="720" w:top="720" w:left="1440" w:right="994" w:header="288" w:footer="28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0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line="218" w:lineRule="auto"/>
      <w:ind w:firstLine="2160"/>
    </w:pPr>
    <w:rPr>
      <w:rFonts w:ascii="Arial" w:cs="Arial" w:eastAsia="Arial" w:hAnsi="Arial"/>
      <w:b w:val="1"/>
      <w:sz w:val="23"/>
      <w:szCs w:val="2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524F9"/>
    <w:pPr>
      <w:widowControl w:val="0"/>
      <w:spacing w:after="0" w:line="240" w:lineRule="auto"/>
    </w:pPr>
    <w:rPr>
      <w:rFonts w:ascii="Times New Roman" w:cs="Times New Roman" w:eastAsia="Times New Roman" w:hAnsi="Times New Roman"/>
      <w:snapToGrid w:val="0"/>
      <w:sz w:val="24"/>
      <w:szCs w:val="20"/>
    </w:rPr>
  </w:style>
  <w:style w:type="paragraph" w:styleId="Heading3">
    <w:name w:val="heading 3"/>
    <w:basedOn w:val="Normal"/>
    <w:next w:val="Normal"/>
    <w:link w:val="Heading3Char"/>
    <w:qFormat w:val="1"/>
    <w:rsid w:val="006A5339"/>
    <w:pPr>
      <w:keepNext w:val="1"/>
      <w:spacing w:line="218" w:lineRule="auto"/>
      <w:ind w:firstLine="2160"/>
      <w:outlineLvl w:val="2"/>
    </w:pPr>
    <w:rPr>
      <w:rFonts w:ascii="Arial" w:hAnsi="Arial"/>
      <w:b w:val="1"/>
      <w:sz w:val="23"/>
    </w:rPr>
  </w:style>
  <w:style w:type="paragraph" w:styleId="Heading7">
    <w:name w:val="heading 7"/>
    <w:basedOn w:val="Normal"/>
    <w:next w:val="Normal"/>
    <w:link w:val="Heading7Char"/>
    <w:qFormat w:val="1"/>
    <w:rsid w:val="006A5339"/>
    <w:pPr>
      <w:keepNext w:val="1"/>
      <w:widowControl w:val="1"/>
      <w:jc w:val="center"/>
      <w:outlineLvl w:val="6"/>
    </w:pPr>
    <w:rPr>
      <w:b w:val="1"/>
      <w:snapToGrid w:val="1"/>
      <w:sz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BD2A63"/>
    <w:pPr>
      <w:spacing w:after="0" w:line="240" w:lineRule="auto"/>
    </w:pPr>
    <w:rPr>
      <w:rFonts w:eastAsiaTheme="minorEastAsia"/>
      <w:lang w:eastAsia="ja-JP"/>
    </w:rPr>
  </w:style>
  <w:style w:type="character" w:styleId="NoSpacingChar" w:customStyle="1">
    <w:name w:val="No Spacing Char"/>
    <w:basedOn w:val="DefaultParagraphFont"/>
    <w:link w:val="NoSpacing"/>
    <w:uiPriority w:val="1"/>
    <w:rsid w:val="00BD2A63"/>
    <w:rPr>
      <w:rFonts w:eastAsiaTheme="minorEastAsia"/>
      <w:lang w:eastAsia="ja-JP"/>
    </w:rPr>
  </w:style>
  <w:style w:type="paragraph" w:styleId="BalloonText">
    <w:name w:val="Balloon Text"/>
    <w:basedOn w:val="Normal"/>
    <w:link w:val="BalloonTextChar"/>
    <w:uiPriority w:val="99"/>
    <w:semiHidden w:val="1"/>
    <w:unhideWhenUsed w:val="1"/>
    <w:rsid w:val="00BD2A63"/>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D2A63"/>
    <w:rPr>
      <w:rFonts w:ascii="Tahoma" w:cs="Tahoma" w:hAnsi="Tahoma"/>
      <w:sz w:val="16"/>
      <w:szCs w:val="16"/>
    </w:rPr>
  </w:style>
  <w:style w:type="paragraph" w:styleId="Header">
    <w:name w:val="header"/>
    <w:basedOn w:val="Normal"/>
    <w:link w:val="HeaderChar"/>
    <w:uiPriority w:val="99"/>
    <w:unhideWhenUsed w:val="1"/>
    <w:rsid w:val="003864A5"/>
    <w:pPr>
      <w:tabs>
        <w:tab w:val="center" w:pos="4680"/>
        <w:tab w:val="right" w:pos="9360"/>
      </w:tabs>
    </w:pPr>
  </w:style>
  <w:style w:type="character" w:styleId="HeaderChar" w:customStyle="1">
    <w:name w:val="Header Char"/>
    <w:basedOn w:val="DefaultParagraphFont"/>
    <w:link w:val="Header"/>
    <w:uiPriority w:val="99"/>
    <w:rsid w:val="003864A5"/>
  </w:style>
  <w:style w:type="paragraph" w:styleId="Footer">
    <w:name w:val="footer"/>
    <w:basedOn w:val="Normal"/>
    <w:link w:val="FooterChar"/>
    <w:uiPriority w:val="99"/>
    <w:unhideWhenUsed w:val="1"/>
    <w:rsid w:val="003864A5"/>
    <w:pPr>
      <w:tabs>
        <w:tab w:val="center" w:pos="4680"/>
        <w:tab w:val="right" w:pos="9360"/>
      </w:tabs>
    </w:pPr>
  </w:style>
  <w:style w:type="character" w:styleId="FooterChar" w:customStyle="1">
    <w:name w:val="Footer Char"/>
    <w:basedOn w:val="DefaultParagraphFont"/>
    <w:link w:val="Footer"/>
    <w:uiPriority w:val="99"/>
    <w:rsid w:val="003864A5"/>
  </w:style>
  <w:style w:type="paragraph" w:styleId="BodyText">
    <w:name w:val="Body Text"/>
    <w:basedOn w:val="Normal"/>
    <w:link w:val="BodyTextChar"/>
    <w:rsid w:val="00F524F9"/>
    <w:pPr>
      <w:widowControl w:val="1"/>
      <w:spacing w:line="216" w:lineRule="auto"/>
    </w:pPr>
    <w:rPr>
      <w:rFonts w:ascii="Arial" w:hAnsi="Arial"/>
      <w:snapToGrid w:val="1"/>
      <w:sz w:val="23"/>
      <w:szCs w:val="24"/>
    </w:rPr>
  </w:style>
  <w:style w:type="character" w:styleId="BodyTextChar" w:customStyle="1">
    <w:name w:val="Body Text Char"/>
    <w:basedOn w:val="DefaultParagraphFont"/>
    <w:link w:val="BodyText"/>
    <w:rsid w:val="00F524F9"/>
    <w:rPr>
      <w:rFonts w:ascii="Arial" w:cs="Times New Roman" w:eastAsia="Times New Roman" w:hAnsi="Arial"/>
      <w:sz w:val="23"/>
      <w:szCs w:val="24"/>
    </w:rPr>
  </w:style>
  <w:style w:type="character" w:styleId="Heading3Char" w:customStyle="1">
    <w:name w:val="Heading 3 Char"/>
    <w:basedOn w:val="DefaultParagraphFont"/>
    <w:link w:val="Heading3"/>
    <w:rsid w:val="006A5339"/>
    <w:rPr>
      <w:rFonts w:ascii="Arial" w:cs="Times New Roman" w:eastAsia="Times New Roman" w:hAnsi="Arial"/>
      <w:b w:val="1"/>
      <w:snapToGrid w:val="0"/>
      <w:sz w:val="23"/>
      <w:szCs w:val="20"/>
    </w:rPr>
  </w:style>
  <w:style w:type="character" w:styleId="Heading7Char" w:customStyle="1">
    <w:name w:val="Heading 7 Char"/>
    <w:basedOn w:val="DefaultParagraphFont"/>
    <w:link w:val="Heading7"/>
    <w:rsid w:val="006A5339"/>
    <w:rPr>
      <w:rFonts w:ascii="Times New Roman" w:cs="Times New Roman" w:eastAsia="Times New Roman" w:hAnsi="Times New Roman"/>
      <w:b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4+4KMZ7CpbLEJn7nNKIViyabjA==">CgMxLjAyCGguZ2pkZ3hzOAByITE0Z3FiQXFtY0x2cTFoSC1rdU1hVm1zTmQ2NXlmR290ZQ==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2023-05-29T02:57:00Z</dcterms:created>
  <dc:creator>Windows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25604</vt:lpwstr>
  </property>
  <property fmtid="{D5CDD505-2E9C-101B-9397-08002B2CF9AE}" pid="3" name="NXPowerLiteSettings">
    <vt:lpwstr>F74006B004C800</vt:lpwstr>
  </property>
  <property fmtid="{D5CDD505-2E9C-101B-9397-08002B2CF9AE}" pid="4" name="NXPowerLiteVersion">
    <vt:lpwstr>S5.0.3</vt:lpwstr>
  </property>
</Properties>
</file>