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C1661" w14:textId="77777777" w:rsidR="009563CB" w:rsidRPr="009563CB" w:rsidRDefault="009563CB" w:rsidP="009563CB">
      <w:r w:rsidRPr="009563CB">
        <w:rPr>
          <w:b/>
          <w:bCs/>
        </w:rPr>
        <w:t>Guía de Estilos Visuales</w:t>
      </w:r>
      <w:r w:rsidRPr="009563CB">
        <w:t xml:space="preserve"> </w:t>
      </w:r>
    </w:p>
    <w:p w14:paraId="637375FB" w14:textId="77777777" w:rsidR="009563CB" w:rsidRPr="009563CB" w:rsidRDefault="009563CB" w:rsidP="009563CB">
      <w:pPr>
        <w:numPr>
          <w:ilvl w:val="0"/>
          <w:numId w:val="1"/>
        </w:numPr>
      </w:pPr>
      <w:r w:rsidRPr="009563CB">
        <w:rPr>
          <w:b/>
          <w:bCs/>
        </w:rPr>
        <w:t>Tipografía:</w:t>
      </w:r>
      <w:r w:rsidRPr="009563CB">
        <w:t xml:space="preserve"> Se utilizará una única familia tipográfica de palo seco (sans-serif), como </w:t>
      </w:r>
      <w:r w:rsidRPr="009563CB">
        <w:rPr>
          <w:i/>
          <w:iCs/>
        </w:rPr>
        <w:t>Montserrat</w:t>
      </w:r>
      <w:r w:rsidRPr="009563CB">
        <w:t xml:space="preserve"> o </w:t>
      </w:r>
      <w:r w:rsidRPr="009563CB">
        <w:rPr>
          <w:i/>
          <w:iCs/>
        </w:rPr>
        <w:t>Open Sans</w:t>
      </w:r>
      <w:r w:rsidRPr="009563CB">
        <w:t>, para garantizar la legibilidad moderna acorde al boceto.</w:t>
      </w:r>
    </w:p>
    <w:p w14:paraId="5F820A01" w14:textId="77777777" w:rsidR="009563CB" w:rsidRPr="009563CB" w:rsidRDefault="009563CB" w:rsidP="009563CB">
      <w:pPr>
        <w:numPr>
          <w:ilvl w:val="0"/>
          <w:numId w:val="1"/>
        </w:numPr>
      </w:pPr>
      <w:r w:rsidRPr="009563CB">
        <w:rPr>
          <w:b/>
          <w:bCs/>
        </w:rPr>
        <w:t>Paleta de Colores (Variables CSS):</w:t>
      </w:r>
      <w:r w:rsidRPr="009563CB">
        <w:t xml:space="preserve"> </w:t>
      </w:r>
    </w:p>
    <w:p w14:paraId="1AC6B0D1" w14:textId="77777777" w:rsidR="009563CB" w:rsidRPr="009563CB" w:rsidRDefault="009563CB" w:rsidP="009563CB">
      <w:pPr>
        <w:numPr>
          <w:ilvl w:val="1"/>
          <w:numId w:val="1"/>
        </w:numPr>
      </w:pPr>
      <w:r w:rsidRPr="009563CB">
        <w:t xml:space="preserve">--primary-bg: #5C5C5C (Gris oscuro para la cabecera y sección </w:t>
      </w:r>
      <w:r w:rsidRPr="009563CB">
        <w:rPr>
          <w:i/>
          <w:iCs/>
        </w:rPr>
        <w:t>hero</w:t>
      </w:r>
      <w:r w:rsidRPr="009563CB">
        <w:t>).</w:t>
      </w:r>
    </w:p>
    <w:p w14:paraId="5379FD58" w14:textId="77777777" w:rsidR="009563CB" w:rsidRPr="009563CB" w:rsidRDefault="009563CB" w:rsidP="009563CB">
      <w:pPr>
        <w:numPr>
          <w:ilvl w:val="1"/>
          <w:numId w:val="1"/>
        </w:numPr>
      </w:pPr>
      <w:r w:rsidRPr="009563CB">
        <w:t>--text-light: #FFFFFF (Texto sobre fondos oscuros).</w:t>
      </w:r>
    </w:p>
    <w:p w14:paraId="09F8F463" w14:textId="77777777" w:rsidR="009563CB" w:rsidRPr="009563CB" w:rsidRDefault="009563CB" w:rsidP="009563CB">
      <w:pPr>
        <w:numPr>
          <w:ilvl w:val="1"/>
          <w:numId w:val="1"/>
        </w:numPr>
      </w:pPr>
      <w:r w:rsidRPr="009563CB">
        <w:t>--text-dark: #333333 (Texto principal sobre fondos claros).</w:t>
      </w:r>
    </w:p>
    <w:p w14:paraId="2EC41E28" w14:textId="77777777" w:rsidR="009563CB" w:rsidRPr="009563CB" w:rsidRDefault="009563CB" w:rsidP="009563CB">
      <w:pPr>
        <w:numPr>
          <w:ilvl w:val="1"/>
          <w:numId w:val="1"/>
        </w:numPr>
      </w:pPr>
      <w:r w:rsidRPr="009563CB">
        <w:t>--bg-light: #F8F9FA (Gris muy claro para bloques de contenido secundario, como las tarjetas de Smart Water/Waste).</w:t>
      </w:r>
    </w:p>
    <w:p w14:paraId="34C5B41B" w14:textId="77777777" w:rsidR="009563CB" w:rsidRPr="009563CB" w:rsidRDefault="009563CB" w:rsidP="009563CB">
      <w:pPr>
        <w:numPr>
          <w:ilvl w:val="0"/>
          <w:numId w:val="1"/>
        </w:numPr>
      </w:pPr>
      <w:r w:rsidRPr="009563CB">
        <w:rPr>
          <w:b/>
          <w:bCs/>
        </w:rPr>
        <w:t>Diseño de Layout:</w:t>
      </w:r>
      <w:r w:rsidRPr="009563CB">
        <w:t xml:space="preserve"> El diseño se estructurará a una columna para dispositivos móviles (XS), expandiéndose al 100% en pantallas medianas (MD), y conteniendo márgenes laterales amplios en pantallas grandes (XL) para centrar el contenido, respetando el boceto.</w:t>
      </w:r>
    </w:p>
    <w:p w14:paraId="1F9B45E7" w14:textId="77777777" w:rsidR="009563CB" w:rsidRPr="009563CB" w:rsidRDefault="009563CB" w:rsidP="009563CB">
      <w:r w:rsidRPr="009563CB">
        <w:rPr>
          <w:b/>
          <w:bCs/>
        </w:rPr>
        <w:t>Pautas de Accesibilidad</w:t>
      </w:r>
      <w:r w:rsidRPr="009563CB">
        <w:t xml:space="preserve"> </w:t>
      </w:r>
    </w:p>
    <w:p w14:paraId="22D57D72" w14:textId="77777777" w:rsidR="009563CB" w:rsidRPr="009563CB" w:rsidRDefault="009563CB" w:rsidP="009563CB">
      <w:pPr>
        <w:numPr>
          <w:ilvl w:val="0"/>
          <w:numId w:val="2"/>
        </w:numPr>
      </w:pPr>
      <w:r w:rsidRPr="009563CB">
        <w:rPr>
          <w:b/>
          <w:bCs/>
        </w:rPr>
        <w:t>Semántica HTML5:</w:t>
      </w:r>
      <w:r w:rsidRPr="009563CB">
        <w:t xml:space="preserve"> Uso correcto de etiquetas como &lt;header&gt;, &lt;nav&gt;, &lt;main&gt;, &lt;section&gt; y &lt;footer&gt; para que los lectores de pantalla interpreten correctamente la estructura.</w:t>
      </w:r>
    </w:p>
    <w:p w14:paraId="733A3FAC" w14:textId="77777777" w:rsidR="009563CB" w:rsidRPr="009563CB" w:rsidRDefault="009563CB" w:rsidP="009563CB">
      <w:pPr>
        <w:numPr>
          <w:ilvl w:val="0"/>
          <w:numId w:val="2"/>
        </w:numPr>
      </w:pPr>
      <w:r w:rsidRPr="009563CB">
        <w:rPr>
          <w:b/>
          <w:bCs/>
        </w:rPr>
        <w:t>Imágenes:</w:t>
      </w:r>
      <w:r w:rsidRPr="009563CB">
        <w:t xml:space="preserve"> Todas las imágenes llevarán el atributo alt con descripciones significativas (ej. "Contenedor de Smart Waste").</w:t>
      </w:r>
    </w:p>
    <w:p w14:paraId="1CA9B1B5" w14:textId="77777777" w:rsidR="009563CB" w:rsidRPr="009563CB" w:rsidRDefault="009563CB" w:rsidP="009563CB">
      <w:pPr>
        <w:numPr>
          <w:ilvl w:val="0"/>
          <w:numId w:val="2"/>
        </w:numPr>
      </w:pPr>
      <w:r w:rsidRPr="009563CB">
        <w:rPr>
          <w:b/>
          <w:bCs/>
        </w:rPr>
        <w:t>Contraste:</w:t>
      </w:r>
      <w:r w:rsidRPr="009563CB">
        <w:t xml:space="preserve"> Se garantizará un ratio de contraste adecuado (mínimo 4.5:1) entre el texto y el fondo (por ejemplo, texto blanco puro sobre el gris oscuro de la cabecera).</w:t>
      </w:r>
    </w:p>
    <w:p w14:paraId="351328EC" w14:textId="77777777" w:rsidR="009563CB" w:rsidRPr="009563CB" w:rsidRDefault="009563CB" w:rsidP="009563CB">
      <w:pPr>
        <w:numPr>
          <w:ilvl w:val="0"/>
          <w:numId w:val="2"/>
        </w:numPr>
      </w:pPr>
      <w:r w:rsidRPr="009563CB">
        <w:rPr>
          <w:b/>
          <w:bCs/>
        </w:rPr>
        <w:t>Formularios:</w:t>
      </w:r>
      <w:r w:rsidRPr="009563CB">
        <w:t xml:space="preserve"> Uso de etiquetas &lt;label&gt; correctamente enlazadas a sus respectivos &lt;input&gt; mediante el atributo for.</w:t>
      </w:r>
    </w:p>
    <w:p w14:paraId="3B15BA1B" w14:textId="77777777" w:rsidR="009563CB" w:rsidRPr="009563CB" w:rsidRDefault="009563CB" w:rsidP="009563CB">
      <w:r w:rsidRPr="009563CB">
        <w:rPr>
          <w:b/>
          <w:bCs/>
        </w:rPr>
        <w:t>Estrategias de Usabilidad</w:t>
      </w:r>
      <w:r w:rsidRPr="009563CB">
        <w:t xml:space="preserve"> </w:t>
      </w:r>
    </w:p>
    <w:p w14:paraId="4B916584" w14:textId="77777777" w:rsidR="009563CB" w:rsidRPr="009563CB" w:rsidRDefault="009563CB" w:rsidP="009563CB">
      <w:pPr>
        <w:numPr>
          <w:ilvl w:val="0"/>
          <w:numId w:val="3"/>
        </w:numPr>
      </w:pPr>
      <w:r w:rsidRPr="009563CB">
        <w:rPr>
          <w:b/>
          <w:bCs/>
        </w:rPr>
        <w:t>Feedback Visual:</w:t>
      </w:r>
      <w:r w:rsidRPr="009563CB">
        <w:t xml:space="preserve"> Cambio evidente de colores (inversión) al pasar el cursor (hover) por los enlaces del menú y los botones, indicando al usuario que son elementos interactivos.</w:t>
      </w:r>
    </w:p>
    <w:p w14:paraId="23F04C47" w14:textId="77777777" w:rsidR="009563CB" w:rsidRPr="009563CB" w:rsidRDefault="009563CB" w:rsidP="009563CB">
      <w:pPr>
        <w:numPr>
          <w:ilvl w:val="0"/>
          <w:numId w:val="3"/>
        </w:numPr>
      </w:pPr>
      <w:r w:rsidRPr="009563CB">
        <w:rPr>
          <w:b/>
          <w:bCs/>
        </w:rPr>
        <w:t>Diseño Responsivo (Mobile First):</w:t>
      </w:r>
      <w:r w:rsidRPr="009563CB">
        <w:t xml:space="preserve"> La lectura y navegación será cómoda en móviles sin necesidad de hacer zoom, gracias al uso del sistema de rejilla fluida de Bootstrap.</w:t>
      </w:r>
    </w:p>
    <w:p w14:paraId="54AAF2AB" w14:textId="77777777" w:rsidR="009563CB" w:rsidRPr="009563CB" w:rsidRDefault="009563CB" w:rsidP="009563CB">
      <w:pPr>
        <w:numPr>
          <w:ilvl w:val="0"/>
          <w:numId w:val="3"/>
        </w:numPr>
      </w:pPr>
      <w:r w:rsidRPr="009563CB">
        <w:rPr>
          <w:b/>
          <w:bCs/>
        </w:rPr>
        <w:lastRenderedPageBreak/>
        <w:t>Jerarquía Visual:</w:t>
      </w:r>
      <w:r w:rsidRPr="009563CB">
        <w:t xml:space="preserve"> Uso de tamaños de fuente relativos para diferenciar claramente los títulos de sección de los párrafos descriptivos.</w:t>
      </w:r>
    </w:p>
    <w:p w14:paraId="2B69DED0" w14:textId="77777777" w:rsidR="00852F6D" w:rsidRDefault="00852F6D"/>
    <w:sectPr w:rsidR="00852F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275721"/>
    <w:multiLevelType w:val="multilevel"/>
    <w:tmpl w:val="CF58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AF302A"/>
    <w:multiLevelType w:val="multilevel"/>
    <w:tmpl w:val="0204C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D306AE"/>
    <w:multiLevelType w:val="multilevel"/>
    <w:tmpl w:val="EEC6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7882348">
    <w:abstractNumId w:val="2"/>
  </w:num>
  <w:num w:numId="2" w16cid:durableId="1851606496">
    <w:abstractNumId w:val="1"/>
  </w:num>
  <w:num w:numId="3" w16cid:durableId="1571034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F6D"/>
    <w:rsid w:val="00507FD0"/>
    <w:rsid w:val="00852F6D"/>
    <w:rsid w:val="00956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69D6A4-36F5-4A69-9389-29152F569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2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2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2F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2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2F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2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2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2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2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2F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2F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2F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2F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2F6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2F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2F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2F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2F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2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2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2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2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2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2F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2F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2F6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2F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2F6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2F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290</Words>
  <Characters>1597</Characters>
  <Application>Microsoft Office Word</Application>
  <DocSecurity>0</DocSecurity>
  <Lines>13</Lines>
  <Paragraphs>3</Paragraphs>
  <ScaleCrop>false</ScaleCrop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Darío Briongos García</dc:creator>
  <cp:keywords/>
  <dc:description/>
  <cp:lastModifiedBy>Darío Briongos García</cp:lastModifiedBy>
  <cp:revision>2</cp:revision>
  <dcterms:created xsi:type="dcterms:W3CDTF">2026-02-23T16:10:00Z</dcterms:created>
  <dcterms:modified xsi:type="dcterms:W3CDTF">2026-02-23T16:10:00Z</dcterms:modified>
</cp:coreProperties>
</file>