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440"/>
        <w:jc w:val="center"/>
      </w:pPr>
      <w:r>
        <w:rPr>
          <w:rFonts w:ascii="Times New Roman" w:cs="Times New Roman" w:eastAsia="Times New Roman" w:hAnsi="Times New Roman"/>
          <w:b/>
          <w:bCs/>
          <w:sz w:val="40"/>
          <w:szCs w:val="40"/>
        </w:rPr>
        <w:t xml:space="preserve">Thesis Final Analysis: Complete Narrative</w:t>
      </w:r>
    </w:p>
    <w:p>
      <w:pPr>
        <w:spacing w:after="280" w:before="120"/>
        <w:jc w:val="center"/>
      </w:pPr>
      <w:r>
        <w:rPr>
          <w:rFonts w:ascii="Times New Roman" w:cs="Times New Roman" w:eastAsia="Times New Roman" w:hAnsi="Times New Roman"/>
          <w:sz w:val="28"/>
          <w:szCs w:val="28"/>
        </w:rPr>
        <w:t xml:space="preserve">Robust Greenwashing Detection and Actionable ESG Analysis
with Aspect-Based Sentiment Analysis</w:t>
      </w:r>
    </w:p>
    <w:p>
      <w:pPr>
        <w:spacing w:after="120" w:before="120"/>
        <w:jc w:val="center"/>
      </w:pPr>
      <w:r>
        <w:rPr>
          <w:rFonts w:ascii="Times New Roman" w:cs="Times New Roman" w:eastAsia="Times New Roman" w:hAnsi="Times New Roman"/>
          <w:sz w:val="24"/>
          <w:szCs w:val="24"/>
        </w:rPr>
        <w:t xml:space="preserve">Daris Dzakwan Hoesien · Oulu University</w:t>
      </w:r>
    </w:p>
    <w:p>
      <w:pPr>
        <w:spacing w:after="1440" w:before="120"/>
        <w:jc w:val="center"/>
      </w:pPr>
      <w:r>
        <w:rPr>
          <w:rFonts w:ascii="Times New Roman" w:cs="Times New Roman" w:eastAsia="Times New Roman" w:hAnsi="Times New Roman"/>
          <w:i/>
          <w:iCs/>
          <w:sz w:val="24"/>
          <w:szCs w:val="24"/>
        </w:rPr>
        <w:t xml:space="preserve">Integration Diagram Narrative — All Five Pipeline Diagrams</w:t>
      </w:r>
    </w:p>
    <w:p>
      <w:r>
        <w:br w:type="page"/>
      </w:r>
    </w:p>
    <w:p>
      <w:pPr>
        <w:pStyle w:val="Heading1"/>
        <w:spacing w:after="280" w:before="560"/>
      </w:pPr>
      <w:r>
        <w:rPr>
          <w:rFonts w:ascii="Times New Roman" w:cs="Times New Roman" w:eastAsia="Times New Roman" w:hAnsi="Times New Roman"/>
          <w:b/>
          <w:bCs/>
          <w:sz w:val="32"/>
          <w:szCs w:val="32"/>
        </w:rPr>
        <w:t xml:space="preserve">Preface: How to Read This Document</w:t>
      </w:r>
    </w:p>
    <w:p>
      <w:pPr>
        <w:spacing w:after="200" w:before="120" w:line="360"/>
        <w:jc w:val="both"/>
      </w:pPr>
      <w:r>
        <w:rPr>
          <w:rFonts w:ascii="Times New Roman" w:cs="Times New Roman" w:eastAsia="Times New Roman" w:hAnsi="Times New Roman"/>
          <w:sz w:val="24"/>
          <w:szCs w:val="24"/>
        </w:rPr>
        <w:t xml:space="preserve">This document is the complete narrative companion to the five integration Mermaid diagrams generated for the thesis </w:t>
      </w:r>
      <w:r>
        <w:rPr>
          <w:rFonts w:ascii="Times New Roman" w:cs="Times New Roman" w:eastAsia="Times New Roman" w:hAnsi="Times New Roman"/>
          <w:i/>
          <w:iCs/>
          <w:sz w:val="24"/>
          <w:szCs w:val="24"/>
        </w:rPr>
        <w:t xml:space="preserve">Robust Greenwashing Detection and Actionable ESG Analysis with Aspect-Based Sentiment Analysis</w:t>
      </w:r>
      <w:r>
        <w:rPr>
          <w:rFonts w:ascii="Times New Roman" w:cs="Times New Roman" w:eastAsia="Times New Roman" w:hAnsi="Times New Roman"/>
          <w:sz w:val="24"/>
          <w:szCs w:val="24"/>
        </w:rPr>
        <w:t xml:space="preserve">. It traces every connection captured in the thesis final analysis file — 164 directed edges spanning the draft PDF foundation, the empirical pipeline, the validation and reliability loop, the file lineage, and the thesis outputs — and renders each connection as continuous scholarly prose.</w:t>
      </w:r>
    </w:p>
    <w:p>
      <w:pPr>
        <w:spacing w:after="200" w:before="120" w:line="360"/>
        <w:jc w:val="both"/>
      </w:pPr>
      <w:r>
        <w:rPr>
          <w:rFonts w:ascii="Times New Roman" w:cs="Times New Roman" w:eastAsia="Times New Roman" w:hAnsi="Times New Roman"/>
          <w:sz w:val="24"/>
          <w:szCs w:val="24"/>
        </w:rPr>
        <w:t xml:space="preserve">The narrative is organised into five parts mirroring the five diagrams. Within each part, connections are grouped into natural clusters so the reader encounters not a mechanical list of edges but a coherent account of how one stage of the thesis necessitates and enables the next. Numbers in parentheses — such as (005) — refer to the edge identifiers in the source analysis table, allowing any prose passage to be traced back to its structural origin.</w:t>
      </w:r>
    </w:p>
    <w:p>
      <w:pPr>
        <w:spacing w:after="200" w:before="120" w:line="360"/>
        <w:jc w:val="both"/>
      </w:pPr>
      <w:r>
        <w:rPr>
          <w:rFonts w:ascii="Times New Roman" w:cs="Times New Roman" w:eastAsia="Times New Roman" w:hAnsi="Times New Roman"/>
          <w:sz w:val="24"/>
          <w:szCs w:val="24"/>
        </w:rPr>
        <w:t xml:space="preserve">The thesis operates across two parallel registers simultaneously. In its </w:t>
      </w:r>
      <w:r>
        <w:rPr>
          <w:rFonts w:ascii="Times New Roman" w:cs="Times New Roman" w:eastAsia="Times New Roman" w:hAnsi="Times New Roman"/>
          <w:b/>
          <w:bCs/>
          <w:sz w:val="24"/>
          <w:szCs w:val="24"/>
        </w:rPr>
        <w:t xml:space="preserve">theoretical register</w:t>
      </w:r>
      <w:r>
        <w:rPr>
          <w:rFonts w:ascii="Times New Roman" w:cs="Times New Roman" w:eastAsia="Times New Roman" w:hAnsi="Times New Roman"/>
          <w:sz w:val="24"/>
          <w:szCs w:val="24"/>
        </w:rPr>
        <w:t xml:space="preserve">, it argues from gap to question to method to result to interpretation to contribution, following the standard scholarly spine of problem-driven research. In its </w:t>
      </w:r>
      <w:r>
        <w:rPr>
          <w:rFonts w:ascii="Times New Roman" w:cs="Times New Roman" w:eastAsia="Times New Roman" w:hAnsi="Times New Roman"/>
          <w:b/>
          <w:bCs/>
          <w:sz w:val="24"/>
          <w:szCs w:val="24"/>
        </w:rPr>
        <w:t xml:space="preserve">technical register</w:t>
      </w:r>
      <w:r>
        <w:rPr>
          <w:rFonts w:ascii="Times New Roman" w:cs="Times New Roman" w:eastAsia="Times New Roman" w:hAnsi="Times New Roman"/>
          <w:sz w:val="24"/>
          <w:szCs w:val="24"/>
        </w:rPr>
        <w:t xml:space="preserve">, it moves from raw PDF corpus through OCR, prompt engineering, LLM extraction, structured analysis tables, validation loops, and live Streamlit dashboards to thesis chapters and a defense-ready narrative. The power of the integration diagrams — and of this narrative — is that they hold both registers in view at once, showing exactly where theoretical commitments materialise as technical decisions and where technical outputs feed back into scholarly arguments.</w:t>
      </w:r>
    </w:p>
    <w:p>
      <w:r>
        <w:br w:type="page"/>
      </w:r>
    </w:p>
    <w:p>
      <w:pPr>
        <w:pStyle w:val="Heading1"/>
        <w:spacing w:after="280" w:before="560"/>
      </w:pPr>
      <w:r>
        <w:rPr>
          <w:rFonts w:ascii="Times New Roman" w:cs="Times New Roman" w:eastAsia="Times New Roman" w:hAnsi="Times New Roman"/>
          <w:b/>
          <w:bCs/>
          <w:sz w:val="32"/>
          <w:szCs w:val="32"/>
        </w:rPr>
        <w:t xml:space="preserve">Part I: The Full Thesis Spine — From Draft PDF to Chapters 4 through 6</w:t>
      </w:r>
    </w:p>
    <w:p>
      <w:pPr>
        <w:pStyle w:val="Heading2"/>
        <w:spacing w:after="200" w:before="400"/>
      </w:pPr>
      <w:r>
        <w:rPr>
          <w:rFonts w:ascii="Times New Roman" w:cs="Times New Roman" w:eastAsia="Times New Roman" w:hAnsi="Times New Roman"/>
          <w:b/>
          <w:bCs/>
          <w:sz w:val="28"/>
          <w:szCs w:val="28"/>
        </w:rPr>
        <w:t xml:space="preserve">I.1 The Motivating Arc: Context, Problem, and Questions</w:t>
      </w:r>
    </w:p>
    <w:p>
      <w:pPr>
        <w:spacing w:after="200" w:before="120" w:line="360"/>
        <w:jc w:val="both"/>
      </w:pPr>
      <w:r>
        <w:rPr>
          <w:rFonts w:ascii="Times New Roman" w:cs="Times New Roman" w:eastAsia="Times New Roman" w:hAnsi="Times New Roman"/>
          <w:sz w:val="24"/>
          <w:szCs w:val="24"/>
        </w:rPr>
        <w:t xml:space="preserve">The thesis begins not with data but with a claim about the world: that ESG disclosure analysis in Indonesia is failing to produce the granular, auditable, evidence-level insights that regulators, investors, and stakeholders require (005). This claim — which constitutes Chapter 1.1 — is not merely rhetorical throat-clearing. It is load-bearing. Every subsequent design decision in the methodology traces back to the specific pressures it identifies: the regulatory mandate under OJK and IDX for traceable sustainability disclosures, the growing investor appetite for aspect-level rather than document-level ESG signals, and the bilingual Indonesian/English complexity that defeats monolingual NLP approaches trained on English corporate text.</w:t>
      </w:r>
    </w:p>
    <w:p>
      <w:pPr>
        <w:spacing w:after="200" w:before="120" w:line="360"/>
        <w:jc w:val="both"/>
      </w:pPr>
      <w:r>
        <w:rPr>
          <w:rFonts w:ascii="Times New Roman" w:cs="Times New Roman" w:eastAsia="Times New Roman" w:hAnsi="Times New Roman"/>
          <w:sz w:val="24"/>
          <w:szCs w:val="24"/>
        </w:rPr>
        <w:t xml:space="preserve">Chapter 1.1 feeds directly into Chapter 1.2 (006, 014), which sharpens the broad contextual claim into a concrete problem statement: that unstructured sustainability reports cannot currently be converted into auditable ESG records at the sentence or paragraph level in a way that preserves regulatory provenance, supports bilingual analysis, and remains transparent enough for regulatory scrutiny. This problem statement is more than a gap identification. It is a specification document in disguise: by defining what an auditable ESG record must contain — text, aspect, pillar, sentiment, tone, source document, prompt, model, and timestamp — it anticipates the schema that the pipeline will eventually produce.</w:t>
      </w:r>
    </w:p>
    <w:p>
      <w:pPr>
        <w:spacing w:after="200" w:before="120" w:line="360"/>
        <w:jc w:val="both"/>
      </w:pPr>
      <w:r>
        <w:rPr>
          <w:rFonts w:ascii="Times New Roman" w:cs="Times New Roman" w:eastAsia="Times New Roman" w:hAnsi="Times New Roman"/>
          <w:sz w:val="24"/>
          <w:szCs w:val="24"/>
        </w:rPr>
        <w:t xml:space="preserve">Chapter 1.2 in turn feeds Chapter 1.3 (015), which translates the problem specification into six executable research questions. The translation is deliberate and precise. RQ1 asks whether the OCR-to-record transformation is achievable in principle: can PDF-derived bilingual sustainability reports be converted into structured, sentence-level ESG records with regulatory provenance? RQ2 asks whether the four analytical dimensions — aspect, ESG pillar, sentiment, and tone — can be operationalised in a schema that preserves cross-language comparability. RQ3 asks whether the resulting tone labels are meaningfully different from what a purpose-built climate NLP model such as ClimateBERT would produce independently. RQ4 asks what failure modes arise in the extraction process and how they can be systematically identified and quantified. RQ5 asks how the pipeline can be made reproducible and auditable for external verification. RQ6 asks how stable the pipeline's outputs are across different LLM configurations and prompt strategies (016–021).</w:t>
      </w:r>
    </w:p>
    <w:p>
      <w:pPr>
        <w:spacing w:after="200" w:before="120" w:line="360"/>
        <w:jc w:val="both"/>
      </w:pPr>
      <w:r>
        <w:rPr>
          <w:rFonts w:ascii="Times New Roman" w:cs="Times New Roman" w:eastAsia="Times New Roman" w:hAnsi="Times New Roman"/>
          <w:sz w:val="24"/>
          <w:szCs w:val="24"/>
        </w:rPr>
        <w:t xml:space="preserve">The connection between Chapter 1.3 and the six RQs (016–021) is not merely definitional. Each RQ is formulated to be directly answerable by a combination of pipeline experiments, annotation exercises, and diagnostic analyses — which means that the formulation of the questions already constrains the design of the methodology in Chapter III. A research question that asks about 'stability across models and prompts' cannot be answered by a pipeline that uses only one model and one prompt. A question about 'sentence-level provenance' cannot be answered by a system that discards source page information after extraction. The RQs are therefore both intellectual commitments and technical specifications, and the path from Chapter I to Chapter IV runs through them continuously.</w:t>
      </w:r>
    </w:p>
    <w:p>
      <w:pPr>
        <w:pStyle w:val="Heading2"/>
        <w:spacing w:after="200" w:before="400"/>
      </w:pPr>
      <w:r>
        <w:rPr>
          <w:rFonts w:ascii="Times New Roman" w:cs="Times New Roman" w:eastAsia="Times New Roman" w:hAnsi="Times New Roman"/>
          <w:b/>
          <w:bCs/>
          <w:sz w:val="28"/>
          <w:szCs w:val="28"/>
        </w:rPr>
        <w:t xml:space="preserve">I.2 The Literature Foundation: Two Chapters Worth of Theoretical Grounding</w:t>
      </w:r>
    </w:p>
    <w:p>
      <w:pPr>
        <w:spacing w:after="200" w:before="120" w:line="360"/>
        <w:jc w:val="both"/>
      </w:pPr>
      <w:r>
        <w:rPr>
          <w:rFonts w:ascii="Times New Roman" w:cs="Times New Roman" w:eastAsia="Times New Roman" w:hAnsi="Times New Roman"/>
          <w:sz w:val="24"/>
          <w:szCs w:val="24"/>
        </w:rPr>
        <w:t xml:space="preserve">Chapter II performs two distinct functions simultaneously. Its first function is to establish the scholarly context for the research: to show that ESG ABSA in Indonesian bilingual disclosures sits at the intersection of multiple active research streams — ESG disclosure theory, aspect-based sentiment analysis, ontology-based information extraction, transformer-based NLP, LLM structured extraction, explainable AI, and greenwashing detection — and that the specific combination the thesis proposes has not been attempted before (008, 009, 010). Its second function is to justify in advance each design decision the methodology will make, so that when Chapter III introduces the seven-template prompt strategy or the ClimateBERT comparison framework, the reader already understands why.</w:t>
      </w:r>
    </w:p>
    <w:p>
      <w:pPr>
        <w:spacing w:after="200" w:before="120" w:line="360"/>
        <w:jc w:val="both"/>
      </w:pPr>
      <w:r>
        <w:rPr>
          <w:rFonts w:ascii="Times New Roman" w:cs="Times New Roman" w:eastAsia="Times New Roman" w:hAnsi="Times New Roman"/>
          <w:sz w:val="24"/>
          <w:szCs w:val="24"/>
        </w:rPr>
        <w:t xml:space="preserve">The connection between Chapter 2.1 (ESG disclosure literature) and RQ2 (022) illustrates the first function clearly. The literature on aspect-based sentiment analysis in ESG contexts establishes that polarity alone — positive, negative, or neutral sentiment — is insufficient for understanding sustainability disclosures, because a statement can be semantically positive while being epistemically weak: a commitment rather than a demonstrated outcome. The tone taxonomy that Chapter III operationalises (commitment, action, outcome, none, missing) is a direct response to this documented limitation. It is not an arbitrary design choice; it is the solution to a problem that the literature itself identifies.</w:t>
      </w:r>
    </w:p>
    <w:p>
      <w:pPr>
        <w:spacing w:after="200" w:before="120" w:line="360"/>
        <w:jc w:val="both"/>
      </w:pPr>
      <w:r>
        <w:rPr>
          <w:rFonts w:ascii="Times New Roman" w:cs="Times New Roman" w:eastAsia="Times New Roman" w:hAnsi="Times New Roman"/>
          <w:sz w:val="24"/>
          <w:szCs w:val="24"/>
        </w:rPr>
        <w:t xml:space="preserve">The connection between Chapter 2.2 (ClimateBERT) and RQ3 (023) illustrates the second function. By reviewing ClimateBERT's training data, task coverage, and known limitations — particularly its narrow focus on climate-related content and its inability to classify disclosure tone as commitment, action, or outcome — the literature review establishes the theoretical expectation that ClimateBERT and the tone taxonomy are measuring different constructs. This expectation is what gives the RQ3 result (real κ = 0.079, confirming near-orthogonality) its significance. Without the literature establishing that the two systems are designed for different purposes, the low kappa would look like a failure. With it, the low kappa is a confirmation of theoretical expectations — the strongest kind of empirical result.</w:t>
      </w:r>
    </w:p>
    <w:p>
      <w:pPr>
        <w:spacing w:after="200" w:before="120" w:line="360"/>
        <w:jc w:val="both"/>
      </w:pPr>
      <w:r>
        <w:rPr>
          <w:rFonts w:ascii="Times New Roman" w:cs="Times New Roman" w:eastAsia="Times New Roman" w:hAnsi="Times New Roman"/>
          <w:sz w:val="24"/>
          <w:szCs w:val="24"/>
        </w:rPr>
        <w:t xml:space="preserve">The connection between Chapter 2.3 (research gap — Indonesian ESG ABSA and reproducibility) and RQ4, RQ5, and RQ6 (024, 025, 026) completes the theoretical foundation. Gap 3 in the literature review — the absence of systematic evaluation of LLM prompt instability in ESG ABSA tasks — is what motivates the seven-template experimental design and the stability analysis in RQ6. Gap 5 — the absence of integrated, end-to-end bilingual ESG ABSA pipelines — is what motivates the full OCR-to-dashboard architecture. The gap statements in Chapter 2.3 are therefore not merely descriptive; they are anticipatory specifications of the contributions the thesis will eventually claim.</w:t>
      </w:r>
    </w:p>
    <w:p>
      <w:pPr>
        <w:spacing w:after="200" w:before="120" w:line="360"/>
        <w:jc w:val="both"/>
      </w:pPr>
      <w:r>
        <w:rPr>
          <w:rFonts w:ascii="Times New Roman" w:cs="Times New Roman" w:eastAsia="Times New Roman" w:hAnsi="Times New Roman"/>
          <w:sz w:val="24"/>
          <w:szCs w:val="24"/>
        </w:rPr>
        <w:t xml:space="preserve">The connection between Chapter II at the level of Chapter V's interpretation (039, 040, 041, 042) is equally important. The commitment-dominance finding in Chapter V — that 34.6% of extracted records express commitment-type disclosures compared to only 15.1% expressing outcomes — derives its interpretive weight entirely from the legitimacy theory framework established in Chapter 2.1. Without Suchman's legitimacy theory and Freeman's stakeholder theory, the 2.3:1 commitment-to-outcome ratio is a numerical curiosity. With them, it becomes evidence for the proposition that Indonesian listed companies are using ESG disclosures primarily to signal future intent rather than to demonstrate realised performance — a pattern fully predicted by legitimacy-seeking behaviour and one with direct regulatory implications.</w:t>
      </w:r>
    </w:p>
    <w:p>
      <w:pPr>
        <w:pStyle w:val="Heading2"/>
        <w:spacing w:after="200" w:before="400"/>
      </w:pPr>
      <w:r>
        <w:rPr>
          <w:rFonts w:ascii="Times New Roman" w:cs="Times New Roman" w:eastAsia="Times New Roman" w:hAnsi="Times New Roman"/>
          <w:b/>
          <w:bCs/>
          <w:sz w:val="28"/>
          <w:szCs w:val="28"/>
        </w:rPr>
        <w:t xml:space="preserve">I.3 The Methodology Spine: Design Choices That Determine Results</w:t>
      </w:r>
    </w:p>
    <w:p>
      <w:pPr>
        <w:spacing w:after="200" w:before="120" w:line="360"/>
        <w:jc w:val="both"/>
      </w:pPr>
      <w:r>
        <w:rPr>
          <w:rFonts w:ascii="Times New Roman" w:cs="Times New Roman" w:eastAsia="Times New Roman" w:hAnsi="Times New Roman"/>
          <w:sz w:val="24"/>
          <w:szCs w:val="24"/>
        </w:rPr>
        <w:t xml:space="preserve">Chapter III occupies a peculiar position in the thesis spine. It comes after the theoretical foundation and before the empirical results, but its role is not merely bridging. Chapter III is where intellectual commitments become executable procedures, and the connections from its three subsections to the research questions reveal exactly how tight that translation is.</w:t>
      </w:r>
    </w:p>
    <w:p>
      <w:pPr>
        <w:spacing w:after="200" w:before="120" w:line="360"/>
        <w:jc w:val="both"/>
      </w:pPr>
      <w:r>
        <w:rPr>
          <w:rFonts w:ascii="Times New Roman" w:cs="Times New Roman" w:eastAsia="Times New Roman" w:hAnsi="Times New Roman"/>
          <w:sz w:val="24"/>
          <w:szCs w:val="24"/>
        </w:rPr>
        <w:t xml:space="preserve">Chapter 3.1, which specifies the data and corpus — the twenty-three Indonesian listed-company sustainability reports, the page-aware batching strategy, and the provenance tracking system — connects directly to RQ1 (027). The decision to process documents at the page-batch level rather than the whole-document level is not arbitrary: it is forced by LLM context window constraints combined with the recognition that ESG statements often depend on surrounding section headings, adjacent paragraphs, and table context for their correct interpretation. The corpus design is therefore already an answer in miniature to RQ1: yes, structured ESG records can be extracted from bilingual PDFs, but only if the preprocessing pipeline preserves sufficient local context.</w:t>
      </w:r>
    </w:p>
    <w:p>
      <w:pPr>
        <w:spacing w:after="200" w:before="120" w:line="360"/>
        <w:jc w:val="both"/>
      </w:pPr>
      <w:r>
        <w:rPr>
          <w:rFonts w:ascii="Times New Roman" w:cs="Times New Roman" w:eastAsia="Times New Roman" w:hAnsi="Times New Roman"/>
          <w:sz w:val="24"/>
          <w:szCs w:val="24"/>
        </w:rPr>
        <w:t xml:space="preserve">Chapter 3.2, which specifies the methodology pipeline — OCR, prompts, LLM extraction, ABSA layer, and validation — connects to both RQ1 and RQ5 (028, 029). The pipeline architecture's most important design choice is not any individual component but the decision to make every intermediate output persistent and inspectable: page markdown files are saved to disk, raw LLM run records are appended to esg_records.json, parsed records are saved to tone_records_flat.csv, and all diagnostic outputs are written to named CSV files. This transparency by design is what makes RQ5 (reproducibility) achievable. A pipeline that discarded intermediate outputs and returned only final classifications could not satisfy RQ5 regardless of how sophisticated its models were.</w:t>
      </w:r>
    </w:p>
    <w:p>
      <w:pPr>
        <w:spacing w:after="200" w:before="120" w:line="360"/>
        <w:jc w:val="both"/>
      </w:pPr>
      <w:r>
        <w:rPr>
          <w:rFonts w:ascii="Times New Roman" w:cs="Times New Roman" w:eastAsia="Times New Roman" w:hAnsi="Times New Roman"/>
          <w:sz w:val="24"/>
          <w:szCs w:val="24"/>
        </w:rPr>
        <w:t xml:space="preserve">Chapter 3.3, which specifies the annotation and validation design — the ground truth plan, the benchmark design, and the reliability checking protocol — connects to RQ2, RQ3, and RQ6 (030, 031, 032). The annotation plan, even in its current incomplete state (1,610 human-reviewed tone labels against a 250-record target), establishes the framework within which the tone schema of RQ2 will eventually be formally evaluated. The benchmark design, which specifies the use of ClimateBERT as an external semantic validator rather than a competing classifier, is the methodological choice that makes the RQ3 comparison intellectually coherent. Without this design choice specified in Chapter III, the Chapter IV comparison would be methodologically unanchored.</w:t>
      </w:r>
    </w:p>
    <w:p>
      <w:pPr>
        <w:pStyle w:val="Heading2"/>
        <w:spacing w:after="200" w:before="400"/>
      </w:pPr>
      <w:r>
        <w:rPr>
          <w:rFonts w:ascii="Times New Roman" w:cs="Times New Roman" w:eastAsia="Times New Roman" w:hAnsi="Times New Roman"/>
          <w:b/>
          <w:bCs/>
          <w:sz w:val="28"/>
          <w:szCs w:val="28"/>
        </w:rPr>
        <w:t xml:space="preserve">I.4 From Draft to Generated: How Chapters 4 through 6 Receive the Evidence</w:t>
      </w:r>
    </w:p>
    <w:p>
      <w:pPr>
        <w:spacing w:after="200" w:before="120" w:line="360"/>
        <w:jc w:val="both"/>
      </w:pPr>
      <w:r>
        <w:rPr>
          <w:rFonts w:ascii="Times New Roman" w:cs="Times New Roman" w:eastAsia="Times New Roman" w:hAnsi="Times New Roman"/>
          <w:sz w:val="24"/>
          <w:szCs w:val="24"/>
        </w:rPr>
        <w:t xml:space="preserve">The connection from thesis_draft_1.pdf to thesis_chapters_4_5_6.docx (062) represents the most fundamental architectural choice in the thesis as a research system: the decision to separate the theoretical foundation (written first, capturing the research design) from the empirical results (generated progressively as the pipeline runs). This is not standard academic practice — most theses are written sequentially — but it is entirely appropriate for a research system where the results are produced computationally and where the pipeline continues running, accumulating records, until submission.</w:t>
      </w:r>
    </w:p>
    <w:p>
      <w:pPr>
        <w:spacing w:after="200" w:before="120" w:line="360"/>
        <w:jc w:val="both"/>
      </w:pPr>
      <w:r>
        <w:rPr>
          <w:rFonts w:ascii="Times New Roman" w:cs="Times New Roman" w:eastAsia="Times New Roman" w:hAnsi="Times New Roman"/>
          <w:sz w:val="24"/>
          <w:szCs w:val="24"/>
        </w:rPr>
        <w:t xml:space="preserve">The separation also has an important intellectual consequence. Because Chapters 4, 5, and 6 are generated after Chapter III is finalised, every claim in the results chapters is constrained by the methodology design. There is no temptation to retrospectively adjust the methodology to fit unexpected results, because the methodology document is already fixed. This preserves the methodological integrity that the reproducibility contribution (RQ5) requires.</w:t>
      </w:r>
    </w:p>
    <w:p>
      <w:pPr>
        <w:spacing w:after="200" w:before="120" w:line="360"/>
        <w:jc w:val="both"/>
      </w:pPr>
      <w:r>
        <w:rPr>
          <w:rFonts w:ascii="Times New Roman" w:cs="Times New Roman" w:eastAsia="Times New Roman" w:hAnsi="Times New Roman"/>
          <w:sz w:val="24"/>
          <w:szCs w:val="24"/>
        </w:rPr>
        <w:t xml:space="preserve">The flow from Chapter IV to Chapter V (084) is the classical results-to-discussion transition, but in this thesis it carries additional weight. Chapter IV does not merely report numbers; it provides the specific metrics that Chapter V's arguments require. The commitment-dominance argument in Chapter V-2.1 requires the exact counts from Chapter IV (C=115, O=50). The construct validity argument in Chapter V-2.2 requires the specific kappa values from Chapter IV (proxy κ=0.645, real κ=0.079). The Indonesian vocabulary contribution in Chapter V-2.4 requires the specific cluster counts from Chapter IV (46 novel aspects in 4 semantic groups). Without Chapter IV's precision, Chapter V's arguments would be suggestive rather than evidenced.</w:t>
      </w:r>
    </w:p>
    <w:p>
      <w:pPr>
        <w:spacing w:after="200" w:before="120" w:line="360"/>
        <w:jc w:val="both"/>
      </w:pPr>
      <w:r>
        <w:rPr>
          <w:rFonts w:ascii="Times New Roman" w:cs="Times New Roman" w:eastAsia="Times New Roman" w:hAnsi="Times New Roman"/>
          <w:sz w:val="24"/>
          <w:szCs w:val="24"/>
        </w:rPr>
        <w:t xml:space="preserve">The flow from Chapter V to Chapter VI (085) completes the scholarly arc. Chapter VI's contribution summary requires Chapter V's interpretation to have established what the results mean, not merely what they are. Contribution 3 (the tone taxonomy) is strengthened by Chapter V's argument that tone and polarity are conceptually independent. Contribution 5 (the ClimateBERT comparison) is strengthened by Chapter V's argument that κ=0.079 confirms orthogonality rather than indicating a failed comparison. The six contributions in Chapter VI are therefore not merely a list of outputs; they are claims that Chapter V has made defensible.</w:t>
      </w:r>
    </w:p>
    <w:p>
      <w:pPr>
        <w:spacing w:after="200" w:before="120" w:line="360"/>
        <w:jc w:val="both"/>
      </w:pPr>
      <w:r>
        <w:rPr>
          <w:rFonts w:ascii="Times New Roman" w:cs="Times New Roman" w:eastAsia="Times New Roman" w:hAnsi="Times New Roman"/>
          <w:sz w:val="24"/>
          <w:szCs w:val="24"/>
        </w:rPr>
        <w:t xml:space="preserve">The six thesis contributions that close Chapter VI (the pipeline, the prompt framework, the tone taxonomy, the ontology layer, the ClimateBERT comparison framework, and the explainability outputs) are the culmination of the entire spine traced in this section. Each contribution traces directly back through Chapter V interpretation, Chapter IV results, Chapter III methodology, and Chapters I and II theoretical foundation. The spine has no weak links if — and only if — every intermediate connection holds.</w:t>
      </w:r>
    </w:p>
    <w:p>
      <w:r>
        <w:br w:type="page"/>
      </w:r>
    </w:p>
    <w:p>
      <w:pPr>
        <w:pStyle w:val="Heading1"/>
        <w:spacing w:after="280" w:before="560"/>
      </w:pPr>
      <w:r>
        <w:rPr>
          <w:rFonts w:ascii="Times New Roman" w:cs="Times New Roman" w:eastAsia="Times New Roman" w:hAnsi="Times New Roman"/>
          <w:b/>
          <w:bCs/>
          <w:sz w:val="32"/>
          <w:szCs w:val="32"/>
        </w:rPr>
        <w:t xml:space="preserve">Part II: Research Questions to Evidence, Interpretation, and Conclusion</w:t>
      </w:r>
    </w:p>
    <w:p>
      <w:pPr>
        <w:pStyle w:val="Heading2"/>
        <w:spacing w:after="200" w:before="400"/>
      </w:pPr>
      <w:r>
        <w:rPr>
          <w:rFonts w:ascii="Times New Roman" w:cs="Times New Roman" w:eastAsia="Times New Roman" w:hAnsi="Times New Roman"/>
          <w:b/>
          <w:bCs/>
          <w:sz w:val="28"/>
          <w:szCs w:val="28"/>
        </w:rPr>
        <w:t xml:space="preserve">II.1 The PDF Draft Foundation as Theoretical Warrant</w:t>
      </w:r>
    </w:p>
    <w:p>
      <w:pPr>
        <w:spacing w:after="200" w:before="120" w:line="360"/>
        <w:jc w:val="both"/>
      </w:pPr>
      <w:r>
        <w:rPr>
          <w:rFonts w:ascii="Times New Roman" w:cs="Times New Roman" w:eastAsia="Times New Roman" w:hAnsi="Times New Roman"/>
          <w:sz w:val="24"/>
          <w:szCs w:val="24"/>
        </w:rPr>
        <w:t xml:space="preserve">The three chapters of the draft PDF — Chapter I (RQs and objectives), Chapter II (literature gaps), and Chapter III (methodology design) — perform a function in the research architecture that is often underappreciated: they provide the theoretical warrant for treating the pipeline's outputs as evidence rather than merely as data. The connection from Chapter I to all six RQs (033–038) establishes what counts as a valid answer to each question. The connection from Chapter II to the Chapter V interpretations (039–042) establishes what conceptual framework should be applied when interpreting those answers. The connections from Chapter III to RQ1 and RQ5 (043, 044) establish what operational criteria must be satisfied for the pipeline to be considered a legitimate implementation of the research design.</w:t>
      </w:r>
    </w:p>
    <w:p>
      <w:pPr>
        <w:spacing w:after="200" w:before="120" w:line="360"/>
        <w:jc w:val="both"/>
      </w:pPr>
      <w:r>
        <w:rPr>
          <w:rFonts w:ascii="Times New Roman" w:cs="Times New Roman" w:eastAsia="Times New Roman" w:hAnsi="Times New Roman"/>
          <w:sz w:val="24"/>
          <w:szCs w:val="24"/>
        </w:rPr>
        <w:t xml:space="preserve">This theoretical warrant function is particularly important for the ClimateBERT comparison (RQ3). The literature in Chapter 2.2 establishes that ClimateBERT is a climate-topic classifier, not a disclosure-maturity classifier — and this distinction is precisely what makes the low real kappa (0.079) interpretable as a positive finding. If the literature had instead positioned ClimateBERT as a general ESG sentiment tool, a low kappa would be difficult to defend. The theoretical framing in Chapter II is therefore doing active work in Chapter V: it converts what could be read as a methodological weakness into the thesis's most defensible empirical claim.</w:t>
      </w:r>
    </w:p>
    <w:p>
      <w:pPr>
        <w:pStyle w:val="Heading2"/>
        <w:spacing w:after="200" w:before="400"/>
      </w:pPr>
      <w:r>
        <w:rPr>
          <w:rFonts w:ascii="Times New Roman" w:cs="Times New Roman" w:eastAsia="Times New Roman" w:hAnsi="Times New Roman"/>
          <w:b/>
          <w:bCs/>
          <w:sz w:val="28"/>
          <w:szCs w:val="28"/>
        </w:rPr>
        <w:t xml:space="preserve">II.2 Chapter IV Evidence — The Six RQ Results</w:t>
      </w:r>
    </w:p>
    <w:p>
      <w:pPr>
        <w:spacing w:after="200" w:before="120" w:line="360"/>
        <w:jc w:val="both"/>
      </w:pPr>
      <w:r>
        <w:rPr>
          <w:rFonts w:ascii="Times New Roman" w:cs="Times New Roman" w:eastAsia="Times New Roman" w:hAnsi="Times New Roman"/>
          <w:sz w:val="24"/>
          <w:szCs w:val="24"/>
        </w:rPr>
        <w:t xml:space="preserve">RQ1 asks whether sustainability report PDFs can be transformed into structured, provenance-rich ESG records. The evidence that answers it comes from two files: ocr_processing_summary.csv (148), which records that 23 documents were successfully OCR-processed with page-level audit trails, and esg_records.json (149), which records that 110 successful extraction runs produced 332 records with full provenance fields including source document, page batch, prompt template, model, and timestamp. The answer to RQ1 is affirmative — the transformation is achievable — but hedged by the absence of formal OCR quality measurement (character error rate has not been computed), which limits the strength of the claim.</w:t>
      </w:r>
    </w:p>
    <w:p>
      <w:pPr>
        <w:spacing w:after="200" w:before="120" w:line="360"/>
        <w:jc w:val="both"/>
      </w:pPr>
      <w:r>
        <w:rPr>
          <w:rFonts w:ascii="Times New Roman" w:cs="Times New Roman" w:eastAsia="Times New Roman" w:hAnsi="Times New Roman"/>
          <w:sz w:val="24"/>
          <w:szCs w:val="24"/>
        </w:rPr>
        <w:t xml:space="preserve">RQ2 asks whether ESG disclosures can be categorised by aspect, pillar, sentiment, and tone in a schema that preserves cross-language comparability. The evidence comes from tone_records_flat.csv (150) and tone_esg_crosstab.csv (151). The flat table shows that the four-dimensional schema successfully differentiates between semantically positive commitment statements and neutral outcome statements — demonstrating that tone and sentiment are analytically independent, which is the core theoretical claim of the tone taxonomy. The ESG crosstab shows that commitment-type disclosures cluster overwhelmingly in the Environmental pillar (commitment × E = 91 records), while Governance disclosures spread more evenly across tone types, and Social disclosures are nearly absent (S = 4 records). These distributions are not failures of the schema; they are findings about the corpus that the schema makes visible.</w:t>
      </w:r>
    </w:p>
    <w:p>
      <w:pPr>
        <w:spacing w:after="200" w:before="120" w:line="360"/>
        <w:jc w:val="both"/>
      </w:pPr>
      <w:r>
        <w:rPr>
          <w:rFonts w:ascii="Times New Roman" w:cs="Times New Roman" w:eastAsia="Times New Roman" w:hAnsi="Times New Roman"/>
          <w:sz w:val="24"/>
          <w:szCs w:val="24"/>
        </w:rPr>
        <w:t xml:space="preserve">RQ3 asks whether tone-based ABSA outputs differ meaningfully from ClimateBERT-style label classifications. The evidence comes from climatebert_proxy_agreement_summary.csv (152) and tone_climatebert_label_crosstab.csv (153). The summary file contains the critical statistics: proxy kappa 0.645 (moderate), real ClimateBERT kappa 0.079 (poor, n=4,853), percent agreement for both versions approximately 83%. The kappa gap — nearly identical percent agreement but dramatically different inter-rater reliability — is the methodological lesson that RQ3 teaches: percent agreement is insensitive to chance agreement and cannot substitute for kappa when comparing two classification systems that may agree by coincidence. The crosstab file shows that the commitment × climate-commitment cell (n=91) is the dominant aligned cell, while outcome records scatter across 'other' and governance labels — confirming that ClimateBERT identifies climate topic relevance while the tone taxonomy identifies claim maturity, and that these are measuring different properties of the same text.</w:t>
      </w:r>
    </w:p>
    <w:p>
      <w:pPr>
        <w:spacing w:after="200" w:before="120" w:line="360"/>
        <w:jc w:val="both"/>
      </w:pPr>
      <w:r>
        <w:rPr>
          <w:rFonts w:ascii="Times New Roman" w:cs="Times New Roman" w:eastAsia="Times New Roman" w:hAnsi="Times New Roman"/>
          <w:sz w:val="24"/>
          <w:szCs w:val="24"/>
        </w:rPr>
        <w:t xml:space="preserve">RQ4 asks what weaknesses arise in ABSA extraction and how a diagnostics framework can detect them. The evidence comes from failure_mode_counts.csv (154) and ontology_coverage.csv (155). The failure mode file identifies ten mode-tone combinations representing systematic extraction errors, with missing tone fields (approximately 60 records) as the dominant failure mode, followed by schema drift (commitment appearing in the sentiment field, 18 records), hedged or modal language misclassification (Indonesian modal verbs such as akan, berkomitmen, and berupaya being assigned to the wrong tone category), and failures arising from table-embedded KPI values, passive voice constructions, and bilingual code-switching. The ontology file shows that all 52 extracted aspects are now mapped to GRI/SASB-aligned ontology paths, but that 46 of them required the creation of new semantic clusters because they represent Indonesian-specific ESG vocabulary absent from standard international ontologies. These 46 novel clusters are simultaneously a limitation (the ontology is incomplete for international cross-comparison) and a contribution (the corpus has revealed domain-specific terminology that no existing resource documents).</w:t>
      </w:r>
    </w:p>
    <w:p>
      <w:pPr>
        <w:spacing w:after="200" w:before="120" w:line="360"/>
        <w:jc w:val="both"/>
      </w:pPr>
      <w:r>
        <w:rPr>
          <w:rFonts w:ascii="Times New Roman" w:cs="Times New Roman" w:eastAsia="Times New Roman" w:hAnsi="Times New Roman"/>
          <w:sz w:val="24"/>
          <w:szCs w:val="24"/>
        </w:rPr>
        <w:t xml:space="preserve">RQ5 asks how documentation and visualisation practices can maximise reproducibility and auditability. The evidence comes from background job folders (156) and the 6_0 Integration Mermaid dashboard page (157). The job folders — 156 directories, each containing config.json, status.json, control.json, and events.jsonl — constitute the primary reproducibility artefact: an independent researcher can open any job folder and determine exactly what source document was processed, with which prompt template, on which model, at what time, with what progress count and what event log. The Integration Mermaid page provides the thesis-level provenance: it maps every section of every chapter against the pipeline artefacts that support it, making visible any coverage gaps between written claims and available evidence.</w:t>
      </w:r>
    </w:p>
    <w:p>
      <w:pPr>
        <w:spacing w:after="200" w:before="120" w:line="360"/>
        <w:jc w:val="both"/>
      </w:pPr>
      <w:r>
        <w:rPr>
          <w:rFonts w:ascii="Times New Roman" w:cs="Times New Roman" w:eastAsia="Times New Roman" w:hAnsi="Times New Roman"/>
          <w:sz w:val="24"/>
          <w:szCs w:val="24"/>
        </w:rPr>
        <w:t xml:space="preserve">RQ6 asks about the stability of ABSA outputs across models and prompts. The evidence comes from model_stability_summary.csv (158) and prompt_stability_summary.csv (159). The model summary shows a clear trade-off: openai/gpt-oss-20b achieves the highest JSON parse success rate (0.959) but the lowest average records per run (1.13), indicating schema-compliant but conservative extraction; arcee-ai/trinity-large achieves a lower parse rate (0.899) but the highest average records per run (12.52), indicating higher yield with moderate schema drift; minimax/minimax-m2.5 achieves a substantially lower parse rate (0.585) and is therefore not recommended for production use. The prompt summary shows that chain-of-thought templates in both English and Indonesian produce the lowest missing-tone rates, supporting their use in the recommended ensemble configuration. The human-versus-LLM tone kappa of 0.788 (n=1,610) exceeds the thesis target of κ ≥ 0.60, confirming that the LLM tone predictions are substantially consistent with human reviewer judgements.</w:t>
      </w:r>
    </w:p>
    <w:p>
      <w:pPr>
        <w:pStyle w:val="Heading2"/>
        <w:spacing w:after="200" w:before="400"/>
      </w:pPr>
      <w:r>
        <w:rPr>
          <w:rFonts w:ascii="Times New Roman" w:cs="Times New Roman" w:eastAsia="Times New Roman" w:hAnsi="Times New Roman"/>
          <w:b/>
          <w:bCs/>
          <w:sz w:val="28"/>
          <w:szCs w:val="28"/>
        </w:rPr>
        <w:t xml:space="preserve">II.3 Chapter V Interpretation — Four Scholarly Arguments</w:t>
      </w:r>
    </w:p>
    <w:p>
      <w:pPr>
        <w:spacing w:after="200" w:before="120" w:line="360"/>
        <w:jc w:val="both"/>
      </w:pPr>
      <w:r>
        <w:rPr>
          <w:rFonts w:ascii="Times New Roman" w:cs="Times New Roman" w:eastAsia="Times New Roman" w:hAnsi="Times New Roman"/>
          <w:sz w:val="24"/>
          <w:szCs w:val="24"/>
        </w:rPr>
        <w:t xml:space="preserve">The four key findings in Chapter V — commitment dominance, ClimateBERT divergence, schema drift as diagnostic signal, and the Indonesian ESG vocabulary contribution — are not merely summaries of Chapter IV results. They are arguments that transform numerical findings into scholarly claims by situating them within the theoretical frameworks established in Chapter II.</w:t>
      </w:r>
    </w:p>
    <w:p>
      <w:pPr>
        <w:spacing w:after="200" w:before="120" w:line="360"/>
        <w:jc w:val="both"/>
      </w:pPr>
      <w:r>
        <w:rPr>
          <w:rFonts w:ascii="Times New Roman" w:cs="Times New Roman" w:eastAsia="Times New Roman" w:hAnsi="Times New Roman"/>
          <w:sz w:val="24"/>
          <w:szCs w:val="24"/>
        </w:rPr>
        <w:t xml:space="preserve">The commitment-dominance argument (046, 052) begins with the Chapter IV statistic — commitment tone 34.6%, outcome tone 15.1%, ratio 2.3:1 — and passes it through the legitimacy theory lens from Chapter II-A to produce the claim that Indonesian corporate ESG disclosure is systematically oriented toward signalling future intent rather than demonstrating realised performance. This claim has practical implications that the number alone cannot carry: it suggests that regulators requiring outcome evidence — rather than accepting commitment statements as equivalent — would shift the ratio toward greater evidentiary value, and that investors relying on traditional ESG ratings (which often score disclosure volume rather than disclosure maturity) are receiving a systematically optimistic signal.</w:t>
      </w:r>
    </w:p>
    <w:p>
      <w:pPr>
        <w:spacing w:after="200" w:before="120" w:line="360"/>
        <w:jc w:val="both"/>
      </w:pPr>
      <w:r>
        <w:rPr>
          <w:rFonts w:ascii="Times New Roman" w:cs="Times New Roman" w:eastAsia="Times New Roman" w:hAnsi="Times New Roman"/>
          <w:sz w:val="24"/>
          <w:szCs w:val="24"/>
        </w:rPr>
        <w:t xml:space="preserve">The ClimateBERT divergence argument (047, 053) begins with the kappa statistics from Chapter IV — proxy κ=0.645, real κ=0.079 — and argues that the divergence between them is a positive finding rather than a methodological failure. The argument has three steps. First, the proxy kappa is inflated because it compares the LLM to itself (the proxy labels were generated by the same LLM that produced the tone labels). Second, the real kappa of 0.079 indicates that two independent classification systems — the tone taxonomy and ClimateBERT — are measuring nearly orthogonal properties of the same text. Third, this orthogonality is the theoretical prediction: tone measures epistemic modality (is this claim a promise or a result?), while ClimateBERT measures topic relevance (is this sentence about climate?). A sentence about carbon emissions can be a commitment, an action, or an outcome — and ClimateBERT cannot tell the difference, while the tone taxonomy can. The low kappa therefore establishes the tone taxonomy as providing non-redundant analytical value relative to the existing state of the art.</w:t>
      </w:r>
    </w:p>
    <w:p>
      <w:pPr>
        <w:spacing w:after="200" w:before="120" w:line="360"/>
        <w:jc w:val="both"/>
      </w:pPr>
      <w:r>
        <w:rPr>
          <w:rFonts w:ascii="Times New Roman" w:cs="Times New Roman" w:eastAsia="Times New Roman" w:hAnsi="Times New Roman"/>
          <w:sz w:val="24"/>
          <w:szCs w:val="24"/>
        </w:rPr>
        <w:t xml:space="preserve">The schema drift as diagnostic signal argument (048, 054) begins with a failure — 18 records where the word 'commitment' appears in the sentiment field rather than the tone field — and transforms it into a methodological contribution. The failure validates the theoretical concern about LLM prompt instability (Gap 3 in Chapter II-E): without post-generation JSON schema validation, field-level misassignment propagates silently into downstream analysis, corrupting every chart and table that relies on the sentiment and tone fields. The diagnostic framework developed for RQ4 identifies this failure mode explicitly, assigns it a root cause (inadequate field constraints in the prompt JSON schema specification), and recommends a remediation (mandatory-field enforcement in the prompt combined with post-processing field-type validation). Turning a model failure into a design recommendation is the scholarly move that converts RQ4 from a weakness-identification exercise into a contribution.</w:t>
      </w:r>
    </w:p>
    <w:p>
      <w:pPr>
        <w:spacing w:after="200" w:before="120" w:line="360"/>
        <w:jc w:val="both"/>
      </w:pPr>
      <w:r>
        <w:rPr>
          <w:rFonts w:ascii="Times New Roman" w:cs="Times New Roman" w:eastAsia="Times New Roman" w:hAnsi="Times New Roman"/>
          <w:sz w:val="24"/>
          <w:szCs w:val="24"/>
        </w:rPr>
        <w:t xml:space="preserve">The Indonesian ESG vocabulary contribution (049, 055) is the finding that 46 of the 52 extracted aspects required new semantic cluster creation because they represent Indonesian-specific ESG terminology absent from GRI, SASB, and other international ontologies. Terms such as karbon roadmap (carbon roadmap), pelatihan antikorupsi untuk komisaris dan direksi (anti-corruption training for commissioners and directors), pendekatan karbon (carbon approach), and penolakan korupsi (corruption rejection) reflect the specific intersection of OJK/IDX regulatory language with international sustainability reporting frameworks. These terms constitute a vocabulary that Indonesian companies are using in practice but that no existing NLP resource documents systematically. The 46 novel clusters are therefore a contribution to Indonesian ESG NLP infrastructure, not merely a dataset artefact.</w:t>
      </w:r>
    </w:p>
    <w:p>
      <w:pPr>
        <w:spacing w:after="200" w:before="120" w:line="360"/>
        <w:jc w:val="both"/>
      </w:pPr>
      <w:r>
        <w:rPr>
          <w:rFonts w:ascii="Times New Roman" w:cs="Times New Roman" w:eastAsia="Times New Roman" w:hAnsi="Times New Roman"/>
          <w:sz w:val="24"/>
          <w:szCs w:val="24"/>
        </w:rPr>
        <w:t xml:space="preserve">Chapter V also contains a benchmarking comparison (the connection from the Chapter II gap synthesis to Chapter V-1) that is easy to underappreciate but important for the exam. The four comparative benchmarks — versus manual scoring, versus pure LLM classification, versus ClimateBERT-only approaches, versus rule-based taxonomies — are each structured as: (a) what the alternative does, (b) where the alternative falls short relative to the gaps identified in Chapter II, and (c) how the thesis pipeline addresses that shortfall. This structure converts the Chapter II literature review from background reading into active argumentation in Chapter V: the gaps do not merely justify the research ex ante, they benchmark the results ex post.</w:t>
      </w:r>
    </w:p>
    <w:p>
      <w:pPr>
        <w:pStyle w:val="Heading2"/>
        <w:spacing w:after="200" w:before="400"/>
      </w:pPr>
      <w:r>
        <w:rPr>
          <w:rFonts w:ascii="Times New Roman" w:cs="Times New Roman" w:eastAsia="Times New Roman" w:hAnsi="Times New Roman"/>
          <w:b/>
          <w:bCs/>
          <w:sz w:val="28"/>
          <w:szCs w:val="28"/>
        </w:rPr>
        <w:t xml:space="preserve">II.4 Chapter VI Closure — Contributions, Answers, and Future Work</w:t>
      </w:r>
    </w:p>
    <w:p>
      <w:pPr>
        <w:spacing w:after="200" w:before="120" w:line="360"/>
        <w:jc w:val="both"/>
      </w:pPr>
      <w:r>
        <w:rPr>
          <w:rFonts w:ascii="Times New Roman" w:cs="Times New Roman" w:eastAsia="Times New Roman" w:hAnsi="Times New Roman"/>
          <w:sz w:val="24"/>
          <w:szCs w:val="24"/>
        </w:rPr>
        <w:t xml:space="preserve">Chapter VI's contribution summary (052, 055, 050) is the destination of three converging flows: from the commitment-dominance finding (which substantiates Contribution 3, the tone taxonomy), from the Indonesian vocabulary finding (which substantiates Contribution 4, the ontology layer), and from the reproducibility results (which substantiate Contribution 1, the end-to-end pipeline). Each contribution is stated with a key metric that makes it independently verifiable: Contribution 3 cites κ=0.788 (human-vs-LLM tone agreement), Contribution 4 cites 52 aspects mapped with 46 novel clusters, Contribution 5 cites κ=0.079 (real ClimateBERT orthogonality), and Contribution 1 cites 23 documents processed with 875 run records produced.</w:t>
      </w:r>
    </w:p>
    <w:p>
      <w:pPr>
        <w:spacing w:after="200" w:before="120" w:line="360"/>
        <w:jc w:val="both"/>
      </w:pPr>
      <w:r>
        <w:rPr>
          <w:rFonts w:ascii="Times New Roman" w:cs="Times New Roman" w:eastAsia="Times New Roman" w:hAnsi="Times New Roman"/>
          <w:sz w:val="24"/>
          <w:szCs w:val="24"/>
        </w:rPr>
        <w:t xml:space="preserve">The answers to research questions in Chapter VI (045, 053) receive their content from the Chapter IV results and their interpretive weight from the Chapter V arguments. RQ1's answer cites the OCR-to-record workflow and the 332 records produced. RQ3's answer cites the κ=0.079 finding and the construct validity argument. RQ4's answer cites the six-mode failure taxonomy. RQ5's answer cites the 1,049 artefacts and the reproducibility package. RQ6's answer cites the human κ=0.788 and the chain-of-thought template preference. Together, the six answers constitute the examiner-ready summary of the thesis's empirical contribution.</w:t>
      </w:r>
    </w:p>
    <w:p>
      <w:pPr>
        <w:spacing w:after="200" w:before="120" w:line="360"/>
        <w:jc w:val="both"/>
      </w:pPr>
      <w:r>
        <w:rPr>
          <w:rFonts w:ascii="Times New Roman" w:cs="Times New Roman" w:eastAsia="Times New Roman" w:hAnsi="Times New Roman"/>
          <w:sz w:val="24"/>
          <w:szCs w:val="24"/>
        </w:rPr>
        <w:t xml:space="preserve">The flow from limitations to future work (056) is perhaps the most intellectually honest connection in the entire thesis. Rather than treating limitations as the section where the thesis apologises for what it could not do, the future work section treats each limitation as a specific, actionable research priority. The absence of expert ground truth at scale becomes Phase 1 of the future roadmap (expert annotation of 250 records with two independent annotators). The unmeasured OCR quality becomes Phase 1 (pilot OCR quality assessment on 30 pages from 4 documents). The unvalidated greenwashing index becomes Phase 3 (validation against OJK and third-party ESG ratings). The Social pillar underrepresentation becomes a targeted extraction exercise. The two-model stability analysis becomes Phase 2 (addition of a third model family, such as XLM-RoBERTa fine-tuned on the accumulated annotations). Each limitation maps to a research phase, each research phase maps to a timeline, and the timeline maps to the five-phase roadmap described elsewhere. The thesis therefore closes not as a finished system but as a complete research infrastructure ready for the next generation of work.</w:t>
      </w:r>
    </w:p>
    <w:p>
      <w:r>
        <w:br w:type="page"/>
      </w:r>
    </w:p>
    <w:p>
      <w:pPr>
        <w:pStyle w:val="Heading1"/>
        <w:spacing w:after="280" w:before="560"/>
      </w:pPr>
      <w:r>
        <w:rPr>
          <w:rFonts w:ascii="Times New Roman" w:cs="Times New Roman" w:eastAsia="Times New Roman" w:hAnsi="Times New Roman"/>
          <w:b/>
          <w:bCs/>
          <w:sz w:val="32"/>
          <w:szCs w:val="32"/>
        </w:rPr>
        <w:t xml:space="preserve">Part III: The Method-to-Result Pipeline — Six Layers from PDF to Thesis</w:t>
      </w:r>
    </w:p>
    <w:p>
      <w:pPr>
        <w:pStyle w:val="Heading2"/>
        <w:spacing w:after="200" w:before="400"/>
      </w:pPr>
      <w:r>
        <w:rPr>
          <w:rFonts w:ascii="Times New Roman" w:cs="Times New Roman" w:eastAsia="Times New Roman" w:hAnsi="Times New Roman"/>
          <w:b/>
          <w:bCs/>
          <w:sz w:val="28"/>
          <w:szCs w:val="28"/>
        </w:rPr>
        <w:t xml:space="preserve">III.1 Layer A — Thesis Source Documents</w:t>
      </w:r>
    </w:p>
    <w:p>
      <w:pPr>
        <w:spacing w:after="200" w:before="120" w:line="360"/>
        <w:jc w:val="both"/>
      </w:pPr>
      <w:r>
        <w:rPr>
          <w:rFonts w:ascii="Times New Roman" w:cs="Times New Roman" w:eastAsia="Times New Roman" w:hAnsi="Times New Roman"/>
          <w:sz w:val="24"/>
          <w:szCs w:val="24"/>
        </w:rPr>
        <w:t xml:space="preserve">The pipeline begins with three distinct types of source document, and the distinction matters. The thesis_draft_1.pdf (connection 061, 062) contains Chapters I through III: the problem statement, the literature review, the gap synthesis, and the methodology design. It feeds the pipeline in two ways. First, it provides the prompt template design rationale: the decision to use seven templates spanning zero-shot, few-shot, and chain-of-thought strategies in both English and Indonesian is justified by the literature on prompt instability (Chapter II-E) and operationalised by the methodology (Chapter III-D). Second, it constrains the structure of thesis_chapters_4_5_6.docx: the results chapters must address each RQ in the order and with the metrics specified in Chapter III-E.</w:t>
      </w:r>
    </w:p>
    <w:p>
      <w:pPr>
        <w:spacing w:after="200" w:before="120" w:line="360"/>
        <w:jc w:val="both"/>
      </w:pPr>
      <w:r>
        <w:rPr>
          <w:rFonts w:ascii="Times New Roman" w:cs="Times New Roman" w:eastAsia="Times New Roman" w:hAnsi="Times New Roman"/>
          <w:sz w:val="24"/>
          <w:szCs w:val="24"/>
        </w:rPr>
        <w:t xml:space="preserve">The twenty-three sustainability report PDFs from Indonesian listed companies (063) are the empirical corpus. They are not thesis documents — they are external data sources that the pipeline processes — but they are the origin of every empirical claim the thesis makes. Their properties determine the pipeline's challenges: they are bilingual (requiring cross-language handling), they contain KPI tables (requiring table-aware extraction), they span multiple sectors and report years (requiring corpus-wide generalisation), and they are publicly available under OJK/IDX disclosure requirements (ensuring that the research is reproducible with the same source materials).</w:t>
      </w:r>
    </w:p>
    <w:p>
      <w:pPr>
        <w:pStyle w:val="Heading2"/>
        <w:spacing w:after="200" w:before="400"/>
      </w:pPr>
      <w:r>
        <w:rPr>
          <w:rFonts w:ascii="Times New Roman" w:cs="Times New Roman" w:eastAsia="Times New Roman" w:hAnsi="Times New Roman"/>
          <w:b/>
          <w:bCs/>
          <w:sz w:val="28"/>
          <w:szCs w:val="28"/>
        </w:rPr>
        <w:t xml:space="preserve">III.2 Layer B — OCR and Page Preparation</w:t>
      </w:r>
    </w:p>
    <w:p>
      <w:pPr>
        <w:spacing w:after="200" w:before="120" w:line="360"/>
        <w:jc w:val="both"/>
      </w:pPr>
      <w:r>
        <w:rPr>
          <w:rFonts w:ascii="Times New Roman" w:cs="Times New Roman" w:eastAsia="Times New Roman" w:hAnsi="Times New Roman"/>
          <w:sz w:val="24"/>
          <w:szCs w:val="24"/>
        </w:rPr>
        <w:t xml:space="preserve">The bulk OCR process (063, 064, 065) is the first technical stage and the first point of quality loss. Every character error introduced by OCR, every table that fails to render as structured text, and every page boundary that misaligns with ESG statement boundaries propagates downstream into every record that derives from that page. This is why the OCR processing audit is generated as a separate artefact: it provides the quality log that the thesis currently lacks in terms of formal character error rate measurement. The audit records which documents were successfully converted, how many pages each produced, and what error types were encountered — but it does not yet compute CER or WER, which is the most significant outstanding limitation of the current pipeline.</w:t>
      </w:r>
    </w:p>
    <w:p>
      <w:pPr>
        <w:spacing w:after="200" w:before="120" w:line="360"/>
        <w:jc w:val="both"/>
      </w:pPr>
      <w:r>
        <w:rPr>
          <w:rFonts w:ascii="Times New Roman" w:cs="Times New Roman" w:eastAsia="Times New Roman" w:hAnsi="Times New Roman"/>
          <w:sz w:val="24"/>
          <w:szCs w:val="24"/>
        </w:rPr>
        <w:t xml:space="preserve">The page markdown files (064, 066) are the stable intermediate representation that decouples the OCR stage from the extraction stage. By writing OCR output to named markdown files before passing it to the LLM, the pipeline ensures that extraction can be re-run on the same preprocessed text without repeating OCR. This architectural decision has two benefits: it saves computation (OCR is slow; LLM extraction is expensive), and it preserves exact reproducibility (the same markdown file will always produce the same LLM input, modulo prompt template variation). The page markdown files are therefore not merely intermediate artefacts; they are the anchor of the reproducibility claim.</w:t>
      </w:r>
    </w:p>
    <w:p>
      <w:pPr>
        <w:pStyle w:val="Heading2"/>
        <w:spacing w:after="200" w:before="400"/>
      </w:pPr>
      <w:r>
        <w:rPr>
          <w:rFonts w:ascii="Times New Roman" w:cs="Times New Roman" w:eastAsia="Times New Roman" w:hAnsi="Times New Roman"/>
          <w:b/>
          <w:bCs/>
          <w:sz w:val="28"/>
          <w:szCs w:val="28"/>
        </w:rPr>
        <w:t xml:space="preserve">III.3 Layer C — Prompt and LLM Execution</w:t>
      </w:r>
    </w:p>
    <w:p>
      <w:pPr>
        <w:spacing w:after="200" w:before="120" w:line="360"/>
        <w:jc w:val="both"/>
      </w:pPr>
      <w:r>
        <w:rPr>
          <w:rFonts w:ascii="Times New Roman" w:cs="Times New Roman" w:eastAsia="Times New Roman" w:hAnsi="Times New Roman"/>
          <w:sz w:val="24"/>
          <w:szCs w:val="24"/>
        </w:rPr>
        <w:t xml:space="preserve">The seven prompt templates (066, 067) are the experimental apparatus of the thesis. They are not seven versions of the same prompt with minor wording differences; they are seven distinct prompting strategies each designed to test a different aspect of LLM extraction behaviour. Zero-shot templates test whether direct instructions are sufficient for schema-compliant extraction without examples. Few-shot templates test whether providing labelled examples stabilises schema behaviour and reduces missing-tone rates. Chain-of-thought templates test whether asking the model to expose its reasoning process before producing structured output improves classification accuracy and reduces schema drift. The English and Indonesian variants of each strategy test whether prompt language affects extraction quality for bilingual source documents.</w:t>
      </w:r>
    </w:p>
    <w:p>
      <w:pPr>
        <w:spacing w:after="200" w:before="120" w:line="360"/>
        <w:jc w:val="both"/>
      </w:pPr>
      <w:r>
        <w:rPr>
          <w:rFonts w:ascii="Times New Roman" w:cs="Times New Roman" w:eastAsia="Times New Roman" w:hAnsi="Times New Roman"/>
          <w:sz w:val="24"/>
          <w:szCs w:val="24"/>
        </w:rPr>
        <w:t xml:space="preserve">The provider architecture (067, 068) reflects a practical constraint that has theoretical significance. The pipeline is backend-agnostic: OpenRouter, LM Studio, and Ollama can each serve as the LLM backend, and switching requires only a configuration change. This design choice is not merely convenient — it is part of the reproducibility argument. If the pipeline depended on a single proprietary API endpoint that could change its model weights or pricing at any time, the reproducibility claim would be undermined. The backend-agnostic design means that any researcher with access to any of the three providers — or any future provider that offers compatible APIs — can reproduce the extraction experiments.</w:t>
      </w:r>
    </w:p>
    <w:p>
      <w:pPr>
        <w:spacing w:after="200" w:before="120" w:line="360"/>
        <w:jc w:val="both"/>
      </w:pPr>
      <w:r>
        <w:rPr>
          <w:rFonts w:ascii="Times New Roman" w:cs="Times New Roman" w:eastAsia="Times New Roman" w:hAnsi="Times New Roman"/>
          <w:sz w:val="24"/>
          <w:szCs w:val="24"/>
        </w:rPr>
        <w:t xml:space="preserve">The background job runner (068, 069) converts the theoretical reproducibility design into operational reality. Because processing twenty-three documents across seven prompt templates and multiple model configurations requires hours of computation, the pipeline cannot be run interactively. The job system assigns each document-prompt-model combination an independent job identifier, tracks its status and progress in real time, logs every extraction event to a JSONL file, and supports pause and resume operations. The 156 completed LLM jobs documented in the thesis represent not just a count of extractions but a complete execution provenance: every job folder contains enough information to determine exactly what was run, when, and with what outcome.</w:t>
      </w:r>
    </w:p>
    <w:p>
      <w:pPr>
        <w:spacing w:after="200" w:before="120" w:line="360"/>
        <w:jc w:val="both"/>
      </w:pPr>
      <w:r>
        <w:rPr>
          <w:rFonts w:ascii="Times New Roman" w:cs="Times New Roman" w:eastAsia="Times New Roman" w:hAnsi="Times New Roman"/>
          <w:sz w:val="24"/>
          <w:szCs w:val="24"/>
        </w:rPr>
        <w:t xml:space="preserve">The raw LLM run records in esg_records.json (069, 070, 076, 077) are the central empirical artefact. Everything downstream is derived from this file. Its structure — an array of run records, each embedding an extracted records list — means that the provenance chain from individual ESG claim back to source document is never broken: every record carries its run's source target, prompt template, model, and timestamp as fields. The file grows monotonically as new runs are completed; it is never overwritten. This design ensures that early extraction runs remain inspectable even after later runs have been added.</w:t>
      </w:r>
    </w:p>
    <w:p>
      <w:pPr>
        <w:pStyle w:val="Heading2"/>
        <w:spacing w:after="200" w:before="400"/>
      </w:pPr>
      <w:r>
        <w:rPr>
          <w:rFonts w:ascii="Times New Roman" w:cs="Times New Roman" w:eastAsia="Times New Roman" w:hAnsi="Times New Roman"/>
          <w:b/>
          <w:bCs/>
          <w:sz w:val="28"/>
          <w:szCs w:val="28"/>
        </w:rPr>
        <w:t xml:space="preserve">III.4 Layer D — Structured ESG Evidence</w:t>
      </w:r>
    </w:p>
    <w:p>
      <w:pPr>
        <w:spacing w:after="200" w:before="120" w:line="360"/>
        <w:jc w:val="both"/>
      </w:pPr>
      <w:r>
        <w:rPr>
          <w:rFonts w:ascii="Times New Roman" w:cs="Times New Roman" w:eastAsia="Times New Roman" w:hAnsi="Times New Roman"/>
          <w:sz w:val="24"/>
          <w:szCs w:val="24"/>
        </w:rPr>
        <w:t xml:space="preserve">The flattened evidence table (070, 071, 072, 073) is the transformation that converts the nested JSON structure of esg_records.json into the flat tabular format that statistical analysis and visualisation require. One row per extracted record, with columns for every ABSA field and every provenance field. This transformation is the pivot point of the entire pipeline: upstream of it, everything is nested JSON and execution logs; downstream of it, everything is tabular analysis and thesis figures.</w:t>
      </w:r>
    </w:p>
    <w:p>
      <w:pPr>
        <w:spacing w:after="200" w:before="120" w:line="360"/>
        <w:jc w:val="both"/>
      </w:pPr>
      <w:r>
        <w:rPr>
          <w:rFonts w:ascii="Times New Roman" w:cs="Times New Roman" w:eastAsia="Times New Roman" w:hAnsi="Times New Roman"/>
          <w:sz w:val="24"/>
          <w:szCs w:val="24"/>
        </w:rPr>
        <w:t xml:space="preserve">The four ABSA dimensions — aspect, ESG pillar, sentiment, and tone (071) — deserve individual attention because their independence from each other is the theoretical claim that the schema is designed to demonstrate. Aspect and pillar are classification dimensions: they assign each record to a position in the ESG taxonomy. Sentiment is an evaluative dimension: it assigns positive, negative, or neutral polarity to the record's content. Tone is an epistemic dimension: it classifies whether the record's claim is forward-looking (commitment), action-denoting (action), retrospective and outcome-asserting (outcome), or neither (none, missing). The key theoretical claim is that sentiment and tone are independent — a positive-sentiment sentence can be a commitment or an outcome, and distinguishing between them is exactly what the tone taxonomy is designed to do.</w:t>
      </w:r>
    </w:p>
    <w:p>
      <w:pPr>
        <w:spacing w:after="200" w:before="120" w:line="360"/>
        <w:jc w:val="both"/>
      </w:pPr>
      <w:r>
        <w:rPr>
          <w:rFonts w:ascii="Times New Roman" w:cs="Times New Roman" w:eastAsia="Times New Roman" w:hAnsi="Times New Roman"/>
          <w:sz w:val="24"/>
          <w:szCs w:val="24"/>
        </w:rPr>
        <w:t xml:space="preserve">The provenance fields (072) — source document, prompt template, model, timestamp, and record index — are the audit trail that makes the pipeline's outputs trustworthy for regulatory and scholarly purposes. Any claim in the thesis can be traced back to a specific record, which can be traced to a specific LLM run, which can be traced to a specific job folder, which can be traced to a specific prompt template applied to a specific page markdown file derived from a specific source document. This complete chain of provenance is what distinguishes the pipeline from a black-box classification system.</w:t>
      </w:r>
    </w:p>
    <w:p>
      <w:pPr>
        <w:spacing w:after="200" w:before="120" w:line="360"/>
        <w:jc w:val="both"/>
      </w:pPr>
      <w:r>
        <w:rPr>
          <w:rFonts w:ascii="Times New Roman" w:cs="Times New Roman" w:eastAsia="Times New Roman" w:hAnsi="Times New Roman"/>
          <w:sz w:val="24"/>
          <w:szCs w:val="24"/>
        </w:rPr>
        <w:t xml:space="preserve">The PDF-by-prompt matrix (073, 079) reveals the coverage structure of the extraction experiment: which document-prompt combinations were attempted, which succeeded, and how many records each produced. The matrix is asymmetric — some combinations produced hundreds of records (SR-Bank-Aladin-Syariah-2025 with tone_few_shot_indonesian produced 852 records) while others produced zero (some documents were not processed by all templates). These coverage gaps are not failures to be hidden; they are data about the extraction process that inform the stability analysis and the future work agenda.</w:t>
      </w:r>
    </w:p>
    <w:p>
      <w:pPr>
        <w:pStyle w:val="Heading2"/>
        <w:spacing w:after="200" w:before="400"/>
      </w:pPr>
      <w:r>
        <w:rPr>
          <w:rFonts w:ascii="Times New Roman" w:cs="Times New Roman" w:eastAsia="Times New Roman" w:hAnsi="Times New Roman"/>
          <w:b/>
          <w:bCs/>
          <w:sz w:val="28"/>
          <w:szCs w:val="28"/>
        </w:rPr>
        <w:t xml:space="preserve">III.5 Layer E — Validation and Diagnostics</w:t>
      </w:r>
    </w:p>
    <w:p>
      <w:pPr>
        <w:spacing w:after="200" w:before="120" w:line="360"/>
        <w:jc w:val="both"/>
      </w:pPr>
      <w:r>
        <w:rPr>
          <w:rFonts w:ascii="Times New Roman" w:cs="Times New Roman" w:eastAsia="Times New Roman" w:hAnsi="Times New Roman"/>
          <w:sz w:val="24"/>
          <w:szCs w:val="24"/>
        </w:rPr>
        <w:t xml:space="preserve">The ClimateBERT comparison (074, 080) is the external validation check that gives the pipeline's outputs independent evidential support. By running the real ClimateBERT model — not the pipeline's own LLM, but an entirely separate model trained on different data for a different purpose — on the same records that the pipeline has classified, the thesis produces a comparison that is genuinely independent. The fact that the real kappa (0.079) is dramatically lower than the proxy kappa (0.645) is not a sign that something went wrong; it is the result that the theoretical analysis predicted. ClimateBERT and the tone taxonomy are measuring different things, and the low kappa quantifies exactly how different.</w:t>
      </w:r>
    </w:p>
    <w:p>
      <w:pPr>
        <w:spacing w:after="200" w:before="120" w:line="360"/>
        <w:jc w:val="both"/>
      </w:pPr>
      <w:r>
        <w:rPr>
          <w:rFonts w:ascii="Times New Roman" w:cs="Times New Roman" w:eastAsia="Times New Roman" w:hAnsi="Times New Roman"/>
          <w:sz w:val="24"/>
          <w:szCs w:val="24"/>
        </w:rPr>
        <w:t xml:space="preserve">The ontology mapping (075, 081) performs a different kind of validation: it tests whether the pipeline's extracted aspects are meaningful and mappable within the established GRI/SASB regulatory framework. That all 52 aspects are now mapped — and that 46 required new semantic cluster creation — provides two simultaneous answers. Yes, the extraction is producing meaningful, domain-relevant aspects (they can all be situated within the GRI/SASB framework with appropriate extensions). And yes, the Indonesian context introduces domain-specific vocabulary that the international framework has not yet captured (the 46 novel clusters are genuine additions, not translation variants of existing categories).</w:t>
      </w:r>
    </w:p>
    <w:p>
      <w:pPr>
        <w:spacing w:after="200" w:before="120" w:line="360"/>
        <w:jc w:val="both"/>
      </w:pPr>
      <w:r>
        <w:rPr>
          <w:rFonts w:ascii="Times New Roman" w:cs="Times New Roman" w:eastAsia="Times New Roman" w:hAnsi="Times New Roman"/>
          <w:sz w:val="24"/>
          <w:szCs w:val="24"/>
        </w:rPr>
        <w:t xml:space="preserve">The failure mode audit (076, 082) and the model and prompt stability analysis (077, 083) serve the diagnostic function of making the pipeline's weaknesses visible and measurable. The failure mode audit identifies where the pipeline is breaking down and why — six primary failure modes, each with a root cause and a remediation recommendation. The stability analysis measures how consistently the pipeline produces well-formed outputs across different configurations — parse success rates, missing-tone rates, average records per run. Together, they convert what could be a list of apologies in Chapter V's limitations section into a structured diagnostic framework that both explains the current limitations and specifies what would need to change to address them.</w:t>
      </w:r>
    </w:p>
    <w:p>
      <w:pPr>
        <w:pStyle w:val="Heading2"/>
        <w:spacing w:after="200" w:before="400"/>
      </w:pPr>
      <w:r>
        <w:rPr>
          <w:rFonts w:ascii="Times New Roman" w:cs="Times New Roman" w:eastAsia="Times New Roman" w:hAnsi="Times New Roman"/>
          <w:b/>
          <w:bCs/>
          <w:sz w:val="28"/>
          <w:szCs w:val="28"/>
        </w:rPr>
        <w:t xml:space="preserve">III.6 Layer F — Thesis Outputs, Elaborated</w:t>
      </w:r>
    </w:p>
    <w:p>
      <w:pPr>
        <w:spacing w:after="200" w:before="120" w:line="360"/>
        <w:jc w:val="both"/>
      </w:pPr>
      <w:r>
        <w:rPr>
          <w:rFonts w:ascii="Times New Roman" w:cs="Times New Roman" w:eastAsia="Times New Roman" w:hAnsi="Times New Roman"/>
          <w:sz w:val="24"/>
          <w:szCs w:val="24"/>
        </w:rPr>
        <w:t xml:space="preserve">Chapter 4 (078, 079, 080, 081) receives inputs from four validation sources: the OCR processing audit (document coverage statistics), the PDF-by-prompt matrix (extraction coverage across source documents and templates), the ClimateBERT comparison (RQ3 evidence including the kappa statistics and the crosstab), and the ontology mapping (Contribution 4 evidence including the 46 novel clusters). These four inputs are not independently inserted into Chapter 4; they are integrated into a coherent narrative across five subsections that each answer one or two research questions with specific figures and tables.</w:t>
      </w:r>
    </w:p>
    <w:p>
      <w:pPr>
        <w:spacing w:after="200" w:before="120" w:line="360"/>
        <w:jc w:val="both"/>
      </w:pPr>
      <w:r>
        <w:rPr>
          <w:rFonts w:ascii="Times New Roman" w:cs="Times New Roman" w:eastAsia="Times New Roman" w:hAnsi="Times New Roman"/>
          <w:sz w:val="24"/>
          <w:szCs w:val="24"/>
        </w:rPr>
        <w:t xml:space="preserve">Chapter 5 (082, 083, 084) receives inputs from the failure mode audit and stability analysis, and from Chapter 4 itself. The failure mode audit feeds the limitations section directly: each of the six primary failure modes becomes one of the six scoped limitations in Chapter V-4. The stability analysis feeds both the limitations section (the model imbalance — minimax with 588 runs versus Trinity with 89 runs — is a validity threat for the cross-model comparison) and the benchmarking section (the parse rate differences across models are the empirical basis for the ensemble strategy recommendation). Chapter 4 feeds Chapter 5 by providing the numerical foundation that the interpretive arguments require.</w:t>
      </w:r>
    </w:p>
    <w:p>
      <w:pPr>
        <w:spacing w:after="200" w:before="120" w:line="360"/>
        <w:jc w:val="both"/>
      </w:pPr>
      <w:r>
        <w:rPr>
          <w:rFonts w:ascii="Times New Roman" w:cs="Times New Roman" w:eastAsia="Times New Roman" w:hAnsi="Times New Roman"/>
          <w:sz w:val="24"/>
          <w:szCs w:val="24"/>
        </w:rPr>
        <w:t xml:space="preserve">Chapter 6 (085) receives its content from Chapter 5 and closes the scholarly argument. The six contributions in Chapter VI-A are substantiated by the interpretations in Chapter V. The six RQ answers in Chapter VI-B are distilled from the Chapter IV results with Chapter V interpretation added. The practical implications in Chapter VI-C are made specific by the Chapter IV and V findings rather than remaining at the level of general aspiration. The future work in Chapter VI-D maps each Chapter V limitation to a specific research phase with a timeline and a success criterion.</w:t>
      </w:r>
    </w:p>
    <w:p>
      <w:pPr>
        <w:spacing w:after="200" w:before="120" w:line="360"/>
        <w:jc w:val="both"/>
      </w:pPr>
      <w:r>
        <w:rPr>
          <w:rFonts w:ascii="Times New Roman" w:cs="Times New Roman" w:eastAsia="Times New Roman" w:hAnsi="Times New Roman"/>
          <w:sz w:val="24"/>
          <w:szCs w:val="24"/>
        </w:rPr>
        <w:t xml:space="preserve">The Streamlit dashboard (086, 087, 088) is the fourth thesis output, alongside the three written chapters. Its role is not decorative. It makes every Chapter IV result inspectable at the record level: an examiner can click on any bar in the tone distribution chart and see the individual records that contribute to that bar. It makes every Chapter V claim traceable: each discussion argument is displayed alongside its source artefact path. It makes the pipeline live rather than static: as new extraction runs are completed and new annotation labels are added, the dashboard updates automatically without any manual chart regeneration. The dashboard is therefore both a research tool (used during the writing process to verify claims against evidence) and an examination tool (presented during the defense to demonstrate the pipeline's operation in real time).</w:t>
      </w:r>
    </w:p>
    <w:p>
      <w:r>
        <w:br w:type="page"/>
      </w:r>
    </w:p>
    <w:p>
      <w:pPr>
        <w:pStyle w:val="Heading1"/>
        <w:spacing w:after="280" w:before="560"/>
      </w:pPr>
      <w:r>
        <w:rPr>
          <w:rFonts w:ascii="Times New Roman" w:cs="Times New Roman" w:eastAsia="Times New Roman" w:hAnsi="Times New Roman"/>
          <w:b/>
          <w:bCs/>
          <w:sz w:val="32"/>
          <w:szCs w:val="32"/>
        </w:rPr>
        <w:t xml:space="preserve">Part IV: The Validation and Reliability Loop</w:t>
      </w:r>
    </w:p>
    <w:p>
      <w:pPr>
        <w:pStyle w:val="Heading2"/>
        <w:spacing w:after="200" w:before="400"/>
      </w:pPr>
      <w:r>
        <w:rPr>
          <w:rFonts w:ascii="Times New Roman" w:cs="Times New Roman" w:eastAsia="Times New Roman" w:hAnsi="Times New Roman"/>
          <w:b/>
          <w:bCs/>
          <w:sz w:val="28"/>
          <w:szCs w:val="28"/>
        </w:rPr>
        <w:t xml:space="preserve">IV.1 The Three-Stream Triangulation Strategy</w:t>
      </w:r>
    </w:p>
    <w:p>
      <w:pPr>
        <w:spacing w:after="200" w:before="120" w:line="360"/>
        <w:jc w:val="both"/>
      </w:pPr>
      <w:r>
        <w:rPr>
          <w:rFonts w:ascii="Times New Roman" w:cs="Times New Roman" w:eastAsia="Times New Roman" w:hAnsi="Times New Roman"/>
          <w:sz w:val="24"/>
          <w:szCs w:val="24"/>
        </w:rPr>
        <w:t xml:space="preserve">The validation and reliability loop addresses the fundamental challenge of the current pipeline: how to establish confidence in extracted records when no complete expert ground truth exists. The strategy is triangulation — three independent evidence streams that each measure a different property of the same records and that together provide convergent support for the pipeline's outputs. Stream 1 is human annotation (connections 089–095), which provides direct human-coded labels for a subset of records. Stream 2 is ClimateBERT comparison (connections 090, 096–101), which provides independent model-based validation for the climate-content dimension. Stream 3 is reliability checking (connections 102–110), which provides quantitative measures of how consistently the pipeline performs across different configurations.</w:t>
      </w:r>
    </w:p>
    <w:p>
      <w:pPr>
        <w:spacing w:after="200" w:before="120" w:line="360"/>
        <w:jc w:val="both"/>
      </w:pPr>
      <w:r>
        <w:rPr>
          <w:rFonts w:ascii="Times New Roman" w:cs="Times New Roman" w:eastAsia="Times New Roman" w:hAnsi="Times New Roman"/>
          <w:sz w:val="24"/>
          <w:szCs w:val="24"/>
        </w:rPr>
        <w:t xml:space="preserve">The triangulation strategy is intellectually appropriate for the current stage of the research. In a mature pipeline with a complete expert-labeled dataset, ground truth comparison would be the primary validation method and the other two streams would be supplementary. But because the expert annotation is still in progress, no single stream can carry the full evidential weight. The three-stream design distributes the evidential load: human annotation establishes the direction of travel (the tone labels are substantially consistent with human judgement at κ=0.788), ClimateBERT comparison establishes the construct independence of the tone taxonomy (κ=0.079 confirms orthogonality), and reliability checking establishes the operational stability of the pipeline (GPT-oss-20b parse rate 0.959, chain-of-thought templates with lowest missing-tone rates). None of these alone would be sufficient; together, they constitute a defensible validation package.</w:t>
      </w:r>
    </w:p>
    <w:p>
      <w:pPr>
        <w:pStyle w:val="Heading2"/>
        <w:spacing w:after="200" w:before="400"/>
      </w:pPr>
      <w:r>
        <w:rPr>
          <w:rFonts w:ascii="Times New Roman" w:cs="Times New Roman" w:eastAsia="Times New Roman" w:hAnsi="Times New Roman"/>
          <w:b/>
          <w:bCs/>
          <w:sz w:val="28"/>
          <w:szCs w:val="28"/>
        </w:rPr>
        <w:t xml:space="preserve">IV.2 The Silver Dataset and Human Annotation</w:t>
      </w:r>
    </w:p>
    <w:p>
      <w:pPr>
        <w:spacing w:after="200" w:before="120" w:line="360"/>
        <w:jc w:val="both"/>
      </w:pPr>
      <w:r>
        <w:rPr>
          <w:rFonts w:ascii="Times New Roman" w:cs="Times New Roman" w:eastAsia="Times New Roman" w:hAnsi="Times New Roman"/>
          <w:sz w:val="24"/>
          <w:szCs w:val="24"/>
        </w:rPr>
        <w:t xml:space="preserve">The silver dataset (089) is the pivot between the extraction pipeline and the human annotation process. It starts as the LLM-predicted labels from esg_records.json and tone_records_flat.csv, then grows as human reviewers add ground-truth labels through the dashboard annotation editor. 'Silver' is the appropriate characterisation: it is better than raw model predictions (it incorporates human corrections and review decisions) but not yet gold-standard (it has not yet been fully annotated by multiple independent experts with formal inter-annotator agreement measured).</w:t>
      </w:r>
    </w:p>
    <w:p>
      <w:pPr>
        <w:spacing w:after="200" w:before="120" w:line="360"/>
        <w:jc w:val="both"/>
      </w:pPr>
      <w:r>
        <w:rPr>
          <w:rFonts w:ascii="Times New Roman" w:cs="Times New Roman" w:eastAsia="Times New Roman" w:hAnsi="Times New Roman"/>
          <w:sz w:val="24"/>
          <w:szCs w:val="24"/>
        </w:rPr>
        <w:t xml:space="preserve">The pilot annotation target of 150 to 250 records (091) determines what validation claims the thesis can make. At 250 records with two independent annotators, the thesis can compute a formal human-versus-human inter-annotator agreement kappa — the standard metric for ground-truth reliability. This would replace the current human-versus-LLM kappa of 0.788 with a more defensible measure. The current 1,610 human-reviewed records represent progress toward this target, but they are reviewed by a single annotator against LLM predictions rather than independently by two annotators against each other.</w:t>
      </w:r>
    </w:p>
    <w:p>
      <w:pPr>
        <w:spacing w:after="200" w:before="120" w:line="360"/>
        <w:jc w:val="both"/>
      </w:pPr>
      <w:r>
        <w:rPr>
          <w:rFonts w:ascii="Times New Roman" w:cs="Times New Roman" w:eastAsia="Times New Roman" w:hAnsi="Times New Roman"/>
          <w:sz w:val="24"/>
          <w:szCs w:val="24"/>
        </w:rPr>
        <w:t xml:space="preserve">The four ground-truth fields — tone (092), ESG pillar (093), aspect (094), and review status (095) — are ordered by analytical priority. Ground-truth tone is the most important because tone is the central theoretical contribution of the thesis; its validation directly substantiates Contribution 3. Ground-truth ESG pillar is the second most important because the Social pillar underrepresentation (S=4 records in the LLM-extracted dataset) can only be diagnosed as a corpus property rather than an extraction failure if the human labels also show low Social pillar frequency in the same records. Ground-truth aspect feeds the ontology coverage analysis and is the empirical basis for the Indonesian vocabulary contribution claim. The review status field ensures that low-confidence labels do not contaminate the ground-truth dataset.</w:t>
      </w:r>
    </w:p>
    <w:p>
      <w:pPr>
        <w:pStyle w:val="Heading2"/>
        <w:spacing w:after="200" w:before="400"/>
      </w:pPr>
      <w:r>
        <w:rPr>
          <w:rFonts w:ascii="Times New Roman" w:cs="Times New Roman" w:eastAsia="Times New Roman" w:hAnsi="Times New Roman"/>
          <w:b/>
          <w:bCs/>
          <w:sz w:val="28"/>
          <w:szCs w:val="28"/>
        </w:rPr>
        <w:t xml:space="preserve">IV.3 The ClimateBERT Comparison</w:t>
      </w:r>
    </w:p>
    <w:p>
      <w:pPr>
        <w:spacing w:after="200" w:before="120" w:line="360"/>
        <w:jc w:val="both"/>
      </w:pPr>
      <w:r>
        <w:rPr>
          <w:rFonts w:ascii="Times New Roman" w:cs="Times New Roman" w:eastAsia="Times New Roman" w:hAnsi="Times New Roman"/>
          <w:sz w:val="24"/>
          <w:szCs w:val="24"/>
        </w:rPr>
        <w:t xml:space="preserve">The ClimateBERT local run (090, 099) processes extracted record texts through the ClimateControversyBERT classification model available locally. The background job completed 3,243 of 3,243 records in its most recent run, with 4,853 of 5,146 total records now processed and 293 remaining. These 293 records represent the most important outstanding computational task in the current pipeline: completing them would upgrade the real kappa computation from n=4,853 to n=5,146 — a sample increase that strengthens the statistical claim without changing its conclusion.</w:t>
      </w:r>
    </w:p>
    <w:p>
      <w:pPr>
        <w:spacing w:after="200" w:before="120" w:line="360"/>
        <w:jc w:val="both"/>
      </w:pPr>
      <w:r>
        <w:rPr>
          <w:rFonts w:ascii="Times New Roman" w:cs="Times New Roman" w:eastAsia="Times New Roman" w:hAnsi="Times New Roman"/>
          <w:sz w:val="24"/>
          <w:szCs w:val="24"/>
        </w:rPr>
        <w:t xml:space="preserve">The proxy climate labels (100) are generated by the pipeline's own LLM rather than by the real ClimateBERT model. Their role in the crosstab (100, 096) reveals why the proxy kappa (0.645) is misleadingly high: when the pipeline generates tone labels and then generates ClimateBERT-style proxy labels using the same LLM, high agreement reflects internal LLM consistency rather than convergent validity between two independent measurement systems. The proxy comparison was methodologically necessary as a starting point — it was available before the real ClimateBERT model was run — but it cannot replace the real comparison for scholarly purposes.</w:t>
      </w:r>
    </w:p>
    <w:p>
      <w:pPr>
        <w:spacing w:after="200" w:before="120" w:line="360"/>
        <w:jc w:val="both"/>
      </w:pPr>
      <w:r>
        <w:rPr>
          <w:rFonts w:ascii="Times New Roman" w:cs="Times New Roman" w:eastAsia="Times New Roman" w:hAnsi="Times New Roman"/>
          <w:sz w:val="24"/>
          <w:szCs w:val="24"/>
        </w:rPr>
        <w:t xml:space="preserve">The agreement metrics (101) — percent agreement (83.7% proxy, 82.2% real) and Cohen's kappa (0.645 proxy, 0.079 real) — together constitute the most important single table in the validation layer. The nearly identical percent agreement for both proxy and real comparisons, combined with the dramatically different kappa values, is a methodological lesson that generalises beyond this thesis: percent agreement is nearly meaningless as a reliability metric when one of the two systems being compared generates labels at base rates similar to the other. Cohen's kappa adjusts for chance agreement, and the kappa gap reveals that what looked like moderate agreement (0.645) was largely chance agreement driven by similar base rates between the proxy labels and the tone labels.</w:t>
      </w:r>
    </w:p>
    <w:p>
      <w:pPr>
        <w:pStyle w:val="Heading2"/>
        <w:spacing w:after="200" w:before="400"/>
      </w:pPr>
      <w:r>
        <w:rPr>
          <w:rFonts w:ascii="Times New Roman" w:cs="Times New Roman" w:eastAsia="Times New Roman" w:hAnsi="Times New Roman"/>
          <w:b/>
          <w:bCs/>
          <w:sz w:val="28"/>
          <w:szCs w:val="28"/>
        </w:rPr>
        <w:t xml:space="preserve">IV.4 Reliability Checks</w:t>
      </w:r>
    </w:p>
    <w:p>
      <w:pPr>
        <w:spacing w:after="200" w:before="120" w:line="360"/>
        <w:jc w:val="both"/>
      </w:pPr>
      <w:r>
        <w:rPr>
          <w:rFonts w:ascii="Times New Roman" w:cs="Times New Roman" w:eastAsia="Times New Roman" w:hAnsi="Times New Roman"/>
          <w:sz w:val="24"/>
          <w:szCs w:val="24"/>
        </w:rPr>
        <w:t xml:space="preserve">Prompt stability (102, 106) measures how consistently each of the seven templates produces well-formed, tone-complete records. The missing-tone rate per template — the fraction of records where the tone field is absent or set to 'missing' — is the primary stability metric because missing tone represents the most actionable failure mode: it can be addressed directly by prompt revision, mandatory-field enforcement, and post-processing validation. The data.md template's 100% missing-tone rate is expected (it is a raw extraction template that does not elicit tone labels), and excluding it, the remaining six templates show substantially lower missing-tone rates with chain-of-thought templates performing best.</w:t>
      </w:r>
    </w:p>
    <w:p>
      <w:pPr>
        <w:spacing w:after="200" w:before="120" w:line="360"/>
        <w:jc w:val="both"/>
      </w:pPr>
      <w:r>
        <w:rPr>
          <w:rFonts w:ascii="Times New Roman" w:cs="Times New Roman" w:eastAsia="Times New Roman" w:hAnsi="Times New Roman"/>
          <w:sz w:val="24"/>
          <w:szCs w:val="24"/>
        </w:rPr>
        <w:t xml:space="preserve">Model stability (103, 107) measures the trade-off between schema compliance (parse success rate) and extraction yield (average records per run) across the four model configurations. This trade-off is the practical core of the RQ6 answer: there is no single best model; instead, the ensemble recommendation — GPT-oss-20b for schema validation and Trinity-large for extraction yield — is the operationally optimal configuration. The minimax model's 0.585 parse rate makes it unsuitable as a primary extraction model; it may have value as a lower-bound baseline for comparison purposes but should not contribute to the primary record set.</w:t>
      </w:r>
    </w:p>
    <w:p>
      <w:pPr>
        <w:spacing w:after="200" w:before="120" w:line="360"/>
        <w:jc w:val="both"/>
      </w:pPr>
      <w:r>
        <w:rPr>
          <w:rFonts w:ascii="Times New Roman" w:cs="Times New Roman" w:eastAsia="Times New Roman" w:hAnsi="Times New Roman"/>
          <w:sz w:val="24"/>
          <w:szCs w:val="24"/>
        </w:rPr>
        <w:t xml:space="preserve">The failure-mode audit (104, 108) in the validation layer corresponds to the Chapter V limitations discussion: each identified failure mode becomes one of the six scoped limitations. Missing tone (approximately 60 records) → the schema drift limitation. Schema drift (18 records) → the prompt sensitivity limitation. Social pillar absence (S=4) → the pillar coverage limitation. OCR quality unmeasured → the OCR quality limitation. Greenwashing index unvalidated → the greenwashing validation limitation. Indonesian vocabulary only partially represented → the ontology scope limitation. The failure-mode audit therefore performs both a technical function (identifying where the pipeline is breaking down) and a scholarly function (providing the empirical basis for honest limitation scoping).</w:t>
      </w:r>
    </w:p>
    <w:p>
      <w:pPr>
        <w:spacing w:after="200" w:before="120" w:line="360"/>
        <w:jc w:val="both"/>
      </w:pPr>
      <w:r>
        <w:rPr>
          <w:rFonts w:ascii="Times New Roman" w:cs="Times New Roman" w:eastAsia="Times New Roman" w:hAnsi="Times New Roman"/>
          <w:sz w:val="24"/>
          <w:szCs w:val="24"/>
        </w:rPr>
        <w:t xml:space="preserve">The ontology coverage analysis in the validation layer (097, 098, 105, 110) serves both the limitations and the contributions simultaneously. The 46 aspects requiring new semantic clusters are a limitation (the international ontology is incomplete for Indonesian ESG discourse) and a contribution (the thesis has identified and clustered the missing vocabulary). The ontology coverage therefore occupies the most intellectually productive position in the entire validation loop: it is the point where acknowledging a gap and claiming a contribution are the same act.</w:t>
      </w:r>
    </w:p>
    <w:p>
      <w:pPr>
        <w:pStyle w:val="Heading2"/>
        <w:spacing w:after="200" w:before="400"/>
      </w:pPr>
      <w:r>
        <w:rPr>
          <w:rFonts w:ascii="Times New Roman" w:cs="Times New Roman" w:eastAsia="Times New Roman" w:hAnsi="Times New Roman"/>
          <w:b/>
          <w:bCs/>
          <w:sz w:val="28"/>
          <w:szCs w:val="28"/>
        </w:rPr>
        <w:t xml:space="preserve">IV.5 The Five Thesis Claims</w:t>
      </w:r>
    </w:p>
    <w:p>
      <w:pPr>
        <w:spacing w:after="200" w:before="120" w:line="360"/>
        <w:jc w:val="both"/>
      </w:pPr>
      <w:r>
        <w:rPr>
          <w:rFonts w:ascii="Times New Roman" w:cs="Times New Roman" w:eastAsia="Times New Roman" w:hAnsi="Times New Roman"/>
          <w:sz w:val="24"/>
          <w:szCs w:val="24"/>
        </w:rPr>
        <w:t xml:space="preserve">The five thesis claims that emerge from the validation loop — construct validity (109), reproducibility (106, 107), limitations (105, 108), and contribution (110) — are each supported by a specific validation stream.</w:t>
      </w:r>
    </w:p>
    <w:p>
      <w:pPr>
        <w:spacing w:after="200" w:before="120" w:line="360"/>
        <w:jc w:val="both"/>
      </w:pPr>
      <w:r>
        <w:rPr>
          <w:rFonts w:ascii="Times New Roman" w:cs="Times New Roman" w:eastAsia="Times New Roman" w:hAnsi="Times New Roman"/>
          <w:sz w:val="24"/>
          <w:szCs w:val="24"/>
        </w:rPr>
        <w:t xml:space="preserve">Construct validity (109) is supported by the agreement metrics alone: the real kappa of 0.079 on n=4,853 records is the evidence, and the theoretical argument that makes it interpretable as confirmation of orthogonality rather than as evidence of misalignment is established in Chapter II-D. This is the most independently testable of all five claims — any researcher can run ClimateBERT on the same records and verify the kappa.</w:t>
      </w:r>
    </w:p>
    <w:p>
      <w:pPr>
        <w:spacing w:after="200" w:before="120" w:line="360"/>
        <w:jc w:val="both"/>
      </w:pPr>
      <w:r>
        <w:rPr>
          <w:rFonts w:ascii="Times New Roman" w:cs="Times New Roman" w:eastAsia="Times New Roman" w:hAnsi="Times New Roman"/>
          <w:sz w:val="24"/>
          <w:szCs w:val="24"/>
        </w:rPr>
        <w:t xml:space="preserve">Reproducibility (106, 107) is supported by prompt stability and model stability jointly: the existence of seven versioned prompt templates, four documented model configurations, 156 job folders with complete execution logs, and a deterministic chart generation script means that an independent researcher can reproduce the extraction experiment from any stage. The claim is not that the results will be identical (LLM outputs are stochastic at temperature &gt; 0) but that the experimental setup is fully documented and the evaluation metrics can be recomputed from the same inputs.</w:t>
      </w:r>
    </w:p>
    <w:p>
      <w:pPr>
        <w:spacing w:after="200" w:before="120" w:line="360"/>
        <w:jc w:val="both"/>
      </w:pPr>
      <w:r>
        <w:rPr>
          <w:rFonts w:ascii="Times New Roman" w:cs="Times New Roman" w:eastAsia="Times New Roman" w:hAnsi="Times New Roman"/>
          <w:sz w:val="24"/>
          <w:szCs w:val="24"/>
        </w:rPr>
        <w:t xml:space="preserve">The limitations (105, 108) are supported honestly by what the validation loop found about itself: the ontology is incomplete for Indonesian ESG discourse, the failure-mode audit identified six recurring error types that the current pipeline does not fully address, and the Social pillar is near-absent. These limitations are not disclosed grudgingly; they are scoped precisely because precise limitation statements enable precise future work.</w:t>
      </w:r>
    </w:p>
    <w:p>
      <w:pPr>
        <w:spacing w:after="200" w:before="120" w:line="360"/>
        <w:jc w:val="both"/>
      </w:pPr>
      <w:r>
        <w:rPr>
          <w:rFonts w:ascii="Times New Roman" w:cs="Times New Roman" w:eastAsia="Times New Roman" w:hAnsi="Times New Roman"/>
          <w:sz w:val="24"/>
          <w:szCs w:val="24"/>
        </w:rPr>
        <w:t xml:space="preserve">The contribution — specifically Contribution 4 (the Indonesian ESG vocabulary) and Contribution 1 (the executable thesis pipeline) (110) — is supported by the ontology coverage analysis and the job execution logs jointly. The 46 novel aspect clusters are not a theoretical proposal; they are an empirical discovery from running the pipeline on real Indonesian corporate disclosures. The executable pipeline is not an aspiration; it is a deployed system with 1,049 artefacts, 156 completed jobs, and a live dashboard accessible at the thesis URL.</w:t>
      </w:r>
    </w:p>
    <w:p>
      <w:r>
        <w:br w:type="page"/>
      </w:r>
    </w:p>
    <w:p>
      <w:pPr>
        <w:pStyle w:val="Heading1"/>
        <w:spacing w:after="280" w:before="560"/>
      </w:pPr>
      <w:r>
        <w:rPr>
          <w:rFonts w:ascii="Times New Roman" w:cs="Times New Roman" w:eastAsia="Times New Roman" w:hAnsi="Times New Roman"/>
          <w:b/>
          <w:bCs/>
          <w:sz w:val="32"/>
          <w:szCs w:val="32"/>
        </w:rPr>
        <w:t xml:space="preserve">Part V: File Lineage and the Defense Narrative</w:t>
      </w:r>
    </w:p>
    <w:p>
      <w:pPr>
        <w:pStyle w:val="Heading2"/>
        <w:spacing w:after="200" w:before="400"/>
      </w:pPr>
      <w:r>
        <w:rPr>
          <w:rFonts w:ascii="Times New Roman" w:cs="Times New Roman" w:eastAsia="Times New Roman" w:hAnsi="Times New Roman"/>
          <w:b/>
          <w:bCs/>
          <w:sz w:val="28"/>
          <w:szCs w:val="28"/>
        </w:rPr>
        <w:t xml:space="preserve">V.1 Source Documents to Integration Map</w:t>
      </w:r>
    </w:p>
    <w:p>
      <w:pPr>
        <w:spacing w:after="200" w:before="120" w:line="360"/>
        <w:jc w:val="both"/>
      </w:pPr>
      <w:r>
        <w:rPr>
          <w:rFonts w:ascii="Times New Roman" w:cs="Times New Roman" w:eastAsia="Times New Roman" w:hAnsi="Times New Roman"/>
          <w:sz w:val="24"/>
          <w:szCs w:val="24"/>
        </w:rPr>
        <w:t xml:space="preserve">The two thesis documents — thesis_draft_1.pdf and thesis_chapters_4_5_6.docx (116, 117) — feed the Integration Mermaid dashboard page (6_0) in a specific and important way. The Integration Mermaid does not merely display the two documents; it cross-references their section structure against the pipeline artefacts to verify that every written claim has an evidential basis. For each section of each chapter, the Integration Mermaid page shows which pipeline artefacts support it and which sections currently lack artefact coverage. This cross-referencing function is what makes the Integration Mermaid the most important page in the dashboard for thesis completion management: it transforms the writing process from a linear text-generation task into an evidence-management task.</w:t>
      </w:r>
    </w:p>
    <w:p>
      <w:pPr>
        <w:spacing w:after="200" w:before="120" w:line="360"/>
        <w:jc w:val="both"/>
      </w:pPr>
      <w:r>
        <w:rPr>
          <w:rFonts w:ascii="Times New Roman" w:cs="Times New Roman" w:eastAsia="Times New Roman" w:hAnsi="Times New Roman"/>
          <w:sz w:val="24"/>
          <w:szCs w:val="24"/>
        </w:rPr>
        <w:t xml:space="preserve">The twenty-three sustainability report PDFs (118, 119) feed two parallel tracks simultaneously. The OCR processing audit track produces ocr_processing_summary.csv, which records the document-level quality of the OCR conversion. The extraction track produces esg_records.json, which records the content of the ESG claims extracted from those documents. These two tracks run independently and produce independent artefacts, but they are linked by document identity: every record in esg_records.json traces back to a source document that appears in the OCR audit.</w:t>
      </w:r>
    </w:p>
    <w:p>
      <w:pPr>
        <w:pStyle w:val="Heading2"/>
        <w:spacing w:after="200" w:before="400"/>
      </w:pPr>
      <w:r>
        <w:rPr>
          <w:rFonts w:ascii="Times New Roman" w:cs="Times New Roman" w:eastAsia="Times New Roman" w:hAnsi="Times New Roman"/>
          <w:b/>
          <w:bCs/>
          <w:sz w:val="28"/>
          <w:szCs w:val="28"/>
        </w:rPr>
        <w:t xml:space="preserve">V.2 From Execution Artefacts to Analysis Tables</w:t>
      </w:r>
    </w:p>
    <w:p>
      <w:pPr>
        <w:spacing w:after="200" w:before="120" w:line="360"/>
        <w:jc w:val="both"/>
      </w:pPr>
      <w:r>
        <w:rPr>
          <w:rFonts w:ascii="Times New Roman" w:cs="Times New Roman" w:eastAsia="Times New Roman" w:hAnsi="Times New Roman"/>
          <w:sz w:val="24"/>
          <w:szCs w:val="24"/>
        </w:rPr>
        <w:t xml:space="preserve">The central transformation in the file lineage is the conversion of esg_records.json into tone_records_flat.csv (120, 121). This transformation is the most consequential single operation in the pipeline because it determines what can and cannot be computed in the analysis stage. The flat CSV format enables groupby operations, pivot tables, and crosstabulations that the nested JSON format does not directly support. Every figure in Chapter 4 and every claim in Chapter 5 that cites a specific count or percentage traces to a computation performed on the flat CSV.</w:t>
      </w:r>
    </w:p>
    <w:p>
      <w:pPr>
        <w:spacing w:after="200" w:before="120" w:line="360"/>
        <w:jc w:val="both"/>
      </w:pPr>
      <w:r>
        <w:rPr>
          <w:rFonts w:ascii="Times New Roman" w:cs="Times New Roman" w:eastAsia="Times New Roman" w:hAnsi="Times New Roman"/>
          <w:sz w:val="24"/>
          <w:szCs w:val="24"/>
        </w:rPr>
        <w:t xml:space="preserve">The background job folders contribute to model_stability_summary.csv (122) alongside esg_records.json (123). The job folders provide the execution-level statistics — how many runs completed, how many failed, what was the runtime per run — while esg_records.json provides the content-level statistics — how many records were extracted per run, what was the parse success rate, what was the missing-tone rate. Together, they produce the model stability table that is the primary evidence for the RQ6 answer.</w:t>
      </w:r>
    </w:p>
    <w:p>
      <w:pPr>
        <w:spacing w:after="200" w:before="120" w:line="360"/>
        <w:jc w:val="both"/>
      </w:pPr>
      <w:r>
        <w:rPr>
          <w:rFonts w:ascii="Times New Roman" w:cs="Times New Roman" w:eastAsia="Times New Roman" w:hAnsi="Times New Roman"/>
          <w:sz w:val="24"/>
          <w:szCs w:val="24"/>
        </w:rPr>
        <w:t xml:space="preserve">The ClimateBERT outputs (124, 125) feed two separate analysis tables: climatebert_proxy_agreement_summary.csv (the kappa statistics) and tone_climatebert_label_crosstab.csv (the 5×9 cross-tabulation). These two tables are analytically complementary: the agreement summary provides the headline statistics (percent agreement and kappa) while the crosstab provides the detailed distribution (which tone categories align with which ClimateBERT labels and where the divergences occur). Both are required for the full RQ3 analysis in Chapter 4.</w:t>
      </w:r>
    </w:p>
    <w:p>
      <w:pPr>
        <w:spacing w:after="200" w:before="120" w:line="360"/>
        <w:jc w:val="both"/>
      </w:pPr>
      <w:r>
        <w:rPr>
          <w:rFonts w:ascii="Times New Roman" w:cs="Times New Roman" w:eastAsia="Times New Roman" w:hAnsi="Times New Roman"/>
          <w:sz w:val="24"/>
          <w:szCs w:val="24"/>
        </w:rPr>
        <w:t xml:space="preserve">The tone_records_flat.csv feeds five downstream analysis tables (126–130): tone_esg_crosstab.csv (the tone by pillar distribution), failure_mode_counts.csv (the diagnostic error taxonomy), ontology_coverage.csv (the aspect-to-ontology mapping), prompt_stability_summary.csv (the template-level reliability metrics), and the 3_0 Thesis Action Plan page (which uses the flat table as the annotation dataset for the ongoing ground-truth construction). The one-to-five fan-out from the flat CSV makes it the architectural hub of the analysis layer: a change to the flat CSV's content would propagate through all five downstream artefacts simultaneously.</w:t>
      </w:r>
    </w:p>
    <w:p>
      <w:pPr>
        <w:pStyle w:val="Heading2"/>
        <w:spacing w:after="200" w:before="400"/>
      </w:pPr>
      <w:r>
        <w:rPr>
          <w:rFonts w:ascii="Times New Roman" w:cs="Times New Roman" w:eastAsia="Times New Roman" w:hAnsi="Times New Roman"/>
          <w:b/>
          <w:bCs/>
          <w:sz w:val="28"/>
          <w:szCs w:val="28"/>
        </w:rPr>
        <w:t xml:space="preserve">V.3 From Analysis Tables to Streamlit Pages</w:t>
      </w:r>
    </w:p>
    <w:p>
      <w:pPr>
        <w:spacing w:after="200" w:before="120" w:line="360"/>
        <w:jc w:val="both"/>
      </w:pPr>
      <w:r>
        <w:rPr>
          <w:rFonts w:ascii="Times New Roman" w:cs="Times New Roman" w:eastAsia="Times New Roman" w:hAnsi="Times New Roman"/>
          <w:sz w:val="24"/>
          <w:szCs w:val="24"/>
        </w:rPr>
        <w:t xml:space="preserve">The four Streamlit chapter pages (6_1 through 6_3, and 3_0) receive their content directly from the analysis CSV files, with no intermediate manual step. This direct connection is what makes the dashboard 'live' in a meaningful sense: when the tone_records_flat.csv is updated (by completing new extraction runs and re-flattening esg_records.json), the tone distribution chart in 6_1 Chapter 4 automatically reflects the new counts without any chart regeneration command. The dashboard is a live view of the current state of the analysis tables, not a static snapshot.</w:t>
      </w:r>
    </w:p>
    <w:p>
      <w:pPr>
        <w:spacing w:after="200" w:before="120" w:line="360"/>
        <w:jc w:val="both"/>
      </w:pPr>
      <w:r>
        <w:rPr>
          <w:rFonts w:ascii="Times New Roman" w:cs="Times New Roman" w:eastAsia="Times New Roman" w:hAnsi="Times New Roman"/>
          <w:sz w:val="24"/>
          <w:szCs w:val="24"/>
        </w:rPr>
        <w:t xml:space="preserve">The 6_1 Chapter 4 page (133, 134) receives two primary inputs: tone_esg_crosstab.csv (for the tone-by-pillar heatmap and the pillar distribution chart) and tone_climatebert_label_crosstab.csv (for the tone-by-ClimateBERT crosstab and the agreement metrics panel). These two tables between them feed six of the thirteen figures specified in Chapter 4: Figure 4.3 (tone distribution), Figure 4.4 (pillar distribution), Figure 4.5 (tone by pillar heatmap), Figure 4.6 (tone by ClimateBERT crosstab), Figure 4.7 (agreement metrics), and Figure 4.11 (model stability).</w:t>
      </w:r>
    </w:p>
    <w:p>
      <w:pPr>
        <w:spacing w:after="200" w:before="120" w:line="360"/>
        <w:jc w:val="both"/>
      </w:pPr>
      <w:r>
        <w:rPr>
          <w:rFonts w:ascii="Times New Roman" w:cs="Times New Roman" w:eastAsia="Times New Roman" w:hAnsi="Times New Roman"/>
          <w:sz w:val="24"/>
          <w:szCs w:val="24"/>
        </w:rPr>
        <w:t xml:space="preserve">The 6_2 Chapter 5 page (135, 136, 137) receives three inputs: climatebert_proxy_agreement_summary.csv (for the construct validity argument), failure_mode_counts.csv (for the limitations discussion and the failure mode analysis section), and ontology_coverage.csv (for the Indonesian vocabulary contribution and the ontology scope limitation). These three inputs correspond to the three most analytically rich sections of Chapter 5: the construct validity section (which makes the strongest scholarly claim), the limitations section (which scopes the thesis's boundary conditions), and the Indonesian vocabulary section (which is the most novel empirical contribution).</w:t>
      </w:r>
    </w:p>
    <w:p>
      <w:pPr>
        <w:spacing w:after="200" w:before="120" w:line="360"/>
        <w:jc w:val="both"/>
      </w:pPr>
      <w:r>
        <w:rPr>
          <w:rFonts w:ascii="Times New Roman" w:cs="Times New Roman" w:eastAsia="Times New Roman" w:hAnsi="Times New Roman"/>
          <w:sz w:val="24"/>
          <w:szCs w:val="24"/>
        </w:rPr>
        <w:t xml:space="preserve">The 6_3 Chapter 6 page (138, 139) receives two inputs: model_stability_summary.csv and prompt_stability_summary.csv. These feed the RQ6 answer (which specifies the ensemble strategy recommendation based on parse rates and missing-tone rates) and the contribution summary (which cites the stability metrics as evidence for the reproducibility and stability contributions). The contribution and RQ answer sections of Chapter 6 are therefore directly evidence-linked to the stability analysis, not merely narrative summaries.</w:t>
      </w:r>
    </w:p>
    <w:p>
      <w:pPr>
        <w:spacing w:after="200" w:before="120" w:line="360"/>
        <w:jc w:val="both"/>
      </w:pPr>
      <w:r>
        <w:rPr>
          <w:rFonts w:ascii="Times New Roman" w:cs="Times New Roman" w:eastAsia="Times New Roman" w:hAnsi="Times New Roman"/>
          <w:sz w:val="24"/>
          <w:szCs w:val="24"/>
        </w:rPr>
        <w:t xml:space="preserve">The 3_0 Thesis Action Plan page (130, 131, 132) receives three inputs: tone_records_flat.csv (as the annotation dataset), model_stability_summary.csv (for the Step 4 cross-model addition analysis), and prompt_stability_summary.csv (for the Step 5 failure rate quantification). This three-input design means that the Action Plan page — which guides the completion of the six outstanding thesis steps — is driven by the same data that feeds the thesis chapters. Completing Step 1 (processing the 293 remaining ClimateBERT records) automatically updates both the agreement summary that feeds Chapter 5 and the ClimateBERT progress indicator that the Action Plan displays.</w:t>
      </w:r>
    </w:p>
    <w:p>
      <w:pPr>
        <w:pStyle w:val="Heading2"/>
        <w:spacing w:after="200" w:before="400"/>
      </w:pPr>
      <w:r>
        <w:rPr>
          <w:rFonts w:ascii="Times New Roman" w:cs="Times New Roman" w:eastAsia="Times New Roman" w:hAnsi="Times New Roman"/>
          <w:b/>
          <w:bCs/>
          <w:sz w:val="28"/>
          <w:szCs w:val="28"/>
        </w:rPr>
        <w:t xml:space="preserve">V.4 From Streamlit Pages to Thesis Outputs</w:t>
      </w:r>
    </w:p>
    <w:p>
      <w:pPr>
        <w:spacing w:after="200" w:before="120" w:line="360"/>
        <w:jc w:val="both"/>
      </w:pPr>
      <w:r>
        <w:rPr>
          <w:rFonts w:ascii="Times New Roman" w:cs="Times New Roman" w:eastAsia="Times New Roman" w:hAnsi="Times New Roman"/>
          <w:sz w:val="24"/>
          <w:szCs w:val="24"/>
        </w:rPr>
        <w:t xml:space="preserve">The 6_1 Chapter 4 page feeds figures and tables (140) — the dashboard-ready charts that constitute the thirteen specified figures and four data tables in the written chapter. 'Dashboard-ready' means that the same data and the same chart generation code that powers the live Streamlit page also generates the static PNG files that are embedded in the Word document. There is no separate chart generation step; the dashboard is the chart generator.</w:t>
      </w:r>
    </w:p>
    <w:p>
      <w:pPr>
        <w:spacing w:after="200" w:before="120" w:line="360"/>
        <w:jc w:val="both"/>
      </w:pPr>
      <w:r>
        <w:rPr>
          <w:rFonts w:ascii="Times New Roman" w:cs="Times New Roman" w:eastAsia="Times New Roman" w:hAnsi="Times New Roman"/>
          <w:sz w:val="24"/>
          <w:szCs w:val="24"/>
        </w:rPr>
        <w:t xml:space="preserve">The 6_2 Chapter 5 and 6_3 Chapter 6 pages feed citation-backed paragraphs (141, 142) — the specific passages in the discussion and conclusion chapters where numerical claims are made with artefact citations. Every paragraph that cites a kappa value, a record count, a parse rate, or an ontology coverage statistic is backed by a specific row in a specific CSV file that the relevant Streamlit page renders. The citation backing is not a post-hoc addition; it is built into the page structure, which displays the artefact path alongside each claim.</w:t>
      </w:r>
    </w:p>
    <w:p>
      <w:pPr>
        <w:spacing w:after="200" w:before="120" w:line="360"/>
        <w:jc w:val="both"/>
      </w:pPr>
      <w:r>
        <w:rPr>
          <w:rFonts w:ascii="Times New Roman" w:cs="Times New Roman" w:eastAsia="Times New Roman" w:hAnsi="Times New Roman"/>
          <w:sz w:val="24"/>
          <w:szCs w:val="24"/>
        </w:rPr>
        <w:t xml:space="preserve">The 3_0 Action Plan feeds empty analysis boxes (143) — the placeholders in the chapter pages where the pipeline produces a number but the researcher must provide the scholarly interpretation. These boxes mark the boundary between automated evidence generation (which the pipeline handles) and scholarly argumentation (which the researcher must provide). Tracking them separately ensures that no interpretive step is accidentally skipped before submission: every number in the thesis that requires an argument to make it meaningful has a corresponding empty box that must be filled.</w:t>
      </w:r>
    </w:p>
    <w:p>
      <w:pPr>
        <w:spacing w:after="200" w:before="120" w:line="360"/>
        <w:jc w:val="both"/>
      </w:pPr>
      <w:r>
        <w:rPr>
          <w:rFonts w:ascii="Times New Roman" w:cs="Times New Roman" w:eastAsia="Times New Roman" w:hAnsi="Times New Roman"/>
          <w:sz w:val="24"/>
          <w:szCs w:val="24"/>
        </w:rPr>
        <w:t xml:space="preserve">All four thesis output types — figures and tables, citation-backed paragraphs, empty analysis boxes, and the Integration Mermaid map (144–147) — converge in the defense narrative. The defense narrative is not a fifth output type; it is the synthesis that holds the other four together. It uses the Integration Mermaid to show examiners the complete pipeline coverage of all six RQs. It uses the figures to visualise the key results. It uses the citation-backed paragraphs to state the claims precisely. And it uses the empty analysis boxes — or rather, the completed interpretations that replaced them — to demonstrate that the researcher has engaged with the scholarly meaning of every number the pipeline produced.</w:t>
      </w:r>
    </w:p>
    <w:p>
      <w:r>
        <w:br w:type="page"/>
      </w:r>
    </w:p>
    <w:p>
      <w:pPr>
        <w:pStyle w:val="Heading1"/>
        <w:spacing w:after="280" w:before="560"/>
      </w:pPr>
      <w:r>
        <w:rPr>
          <w:rFonts w:ascii="Times New Roman" w:cs="Times New Roman" w:eastAsia="Times New Roman" w:hAnsi="Times New Roman"/>
          <w:b/>
          <w:bCs/>
          <w:sz w:val="32"/>
          <w:szCs w:val="32"/>
        </w:rPr>
        <w:t xml:space="preserve">Synthesis: The Unity of the Five Diagrams</w:t>
      </w:r>
    </w:p>
    <w:p>
      <w:pPr>
        <w:spacing w:after="200" w:before="120" w:line="360"/>
        <w:jc w:val="both"/>
      </w:pPr>
      <w:r>
        <w:rPr>
          <w:rFonts w:ascii="Times New Roman" w:cs="Times New Roman" w:eastAsia="Times New Roman" w:hAnsi="Times New Roman"/>
          <w:sz w:val="24"/>
          <w:szCs w:val="24"/>
        </w:rPr>
        <w:t xml:space="preserve">Considered individually, the five integration diagrams each capture a distinct perspective on the thesis: the spine diagram shows the scholarly argument, the RQ-to-evidence diagram shows the question-answer architecture, the method-to-result diagram shows the technical pipeline, the validation loop diagram shows the quality assurance machinery, and the file lineage diagram shows the data provenance. Considered together, they constitute a complete map of a research system in which the theoretical and technical registers are inseparable.</w:t>
      </w:r>
    </w:p>
    <w:p>
      <w:pPr>
        <w:spacing w:after="200" w:before="120" w:line="360"/>
        <w:jc w:val="both"/>
      </w:pPr>
      <w:r>
        <w:rPr>
          <w:rFonts w:ascii="Times New Roman" w:cs="Times New Roman" w:eastAsia="Times New Roman" w:hAnsi="Times New Roman"/>
          <w:sz w:val="24"/>
          <w:szCs w:val="24"/>
        </w:rPr>
        <w:t xml:space="preserve">The deepest structural feature of the integrated map is the parallel between scholarly dependency and data dependency. In the scholarly register, every claim depends on the claims that precede it: the contribution depends on the interpretation, the interpretation depends on the result, the result depends on the method, the method depends on the gap, and the gap depends on the context. In the technical register, every artefact depends on the artefacts that precede it: the defense narrative depends on the figures and citations, which depend on the Streamlit pages, which depend on the analysis CSVs, which depend on esg_records.json, which depends on the OCR markdown files, which depend on the source PDFs. These two dependency chains are not parallel by accident; they are parallel because the thesis was designed so that every technical decision corresponds to a scholarly commitment.</w:t>
      </w:r>
    </w:p>
    <w:p>
      <w:pPr>
        <w:spacing w:after="200" w:before="120" w:line="360"/>
        <w:jc w:val="both"/>
      </w:pPr>
      <w:r>
        <w:rPr>
          <w:rFonts w:ascii="Times New Roman" w:cs="Times New Roman" w:eastAsia="Times New Roman" w:hAnsi="Times New Roman"/>
          <w:sz w:val="24"/>
          <w:szCs w:val="24"/>
        </w:rPr>
        <w:t xml:space="preserve">The most important single node in the entire integrated map is esg_records.json. It is the point where the theoretical register and the technical register meet. Everything upstream of it — the source PDFs, the OCR process, the prompt templates, the LLM providers, the job runner — is the technical machinery that operationalises the research design. Everything downstream of it — the flat CSV, the analysis tables, the Streamlit pages, the thesis chapters, the defense narrative — is the scholarly output that the technical machinery produces. The health of esg_records.json determines the health of the thesis: if it is complete, version-controlled, and reproducible, the thesis can defend every empirical claim it makes. If it is partial or corrupted, every claim downstream is weakened.</w:t>
      </w:r>
    </w:p>
    <w:p>
      <w:pPr>
        <w:spacing w:after="200" w:before="120" w:line="360"/>
        <w:jc w:val="both"/>
      </w:pPr>
      <w:r>
        <w:rPr>
          <w:rFonts w:ascii="Times New Roman" w:cs="Times New Roman" w:eastAsia="Times New Roman" w:hAnsi="Times New Roman"/>
          <w:sz w:val="24"/>
          <w:szCs w:val="24"/>
        </w:rPr>
        <w:t xml:space="preserve">The 293 remaining unprocessed ClimateBERT records are the single most important outstanding task before submission, not because they will change the thesis's conclusions — they will not — but because completing them upgrades the real kappa computation from a large sample to the full dataset, eliminating the qualification that the analysis is based on 94.3% of available records. Similarly, the pilot annotation target of 250 records with two independent annotators is the single most important outstanding scholarly task, not because the current κ=0.788 is insufficient — it exceeds the thesis target — but because replacing the human-versus-LLM kappa with a human-versus-human kappa removes the most significant methodological qualifier on the tone taxonomy validation claim.</w:t>
      </w:r>
    </w:p>
    <w:p>
      <w:pPr>
        <w:spacing w:after="200" w:before="120" w:line="360"/>
        <w:jc w:val="both"/>
      </w:pPr>
      <w:r>
        <w:rPr>
          <w:rFonts w:ascii="Times New Roman" w:cs="Times New Roman" w:eastAsia="Times New Roman" w:hAnsi="Times New Roman"/>
          <w:sz w:val="24"/>
          <w:szCs w:val="24"/>
        </w:rPr>
        <w:t xml:space="preserve">The thesis, as a research system, is complete. Every RQ has an answer. Every answer has evidence. Every piece of evidence has a source artefact. Every source artefact is reproducible. The pipeline runs. The dashboard is live. The six contributions are documented, measured, and defensible. What remains is not completion of a broken system but calibration of an operational one: finishing the ClimateBERT batch, reaching the annotation target, computing the OCR quality metric, and validating the greenwashing index. Each of these steps strengthens a claim the thesis already makes. None of them changes what the thesis fundamentally is.</w:t>
      </w:r>
    </w:p>
    <w:p>
      <w:pPr>
        <w:spacing w:after="200" w:before="120" w:line="360"/>
        <w:jc w:val="both"/>
      </w:pPr>
      <w:r>
        <w:rPr>
          <w:rFonts w:ascii="Times New Roman" w:cs="Times New Roman" w:eastAsia="Times New Roman" w:hAnsi="Times New Roman"/>
          <w:sz w:val="24"/>
          <w:szCs w:val="24"/>
        </w:rPr>
        <w:t xml:space="preserve">The integration diagrams, and the narrative that accompanies them, exist precisely to make this visible — to show that the thesis is not a collection of loosely related outputs but a single research system in which every component was chosen to serve a purpose, every output was designed to answer a question, and every limitation was scoped to enable a future contribution. That is what a complete thesis is.</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2026-05-20T06:33:54.028Z</dcterms:created>
  <dcterms:modified xsi:type="dcterms:W3CDTF">2026-05-20T06:33:54.045Z</dcterms:modified>
</cp:coreProperties>
</file>

<file path=docProps/custom.xml><?xml version="1.0" encoding="utf-8"?>
<Properties xmlns="http://schemas.openxmlformats.org/officeDocument/2006/custom-properties" xmlns:vt="http://schemas.openxmlformats.org/officeDocument/2006/docPropsVTypes"/>
</file>