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F3864"/>
          <w:sz w:val="36"/>
          <w:szCs w:val="36"/>
        </w:rPr>
        <w:t xml:space="preserve">Robust Greenwashing Detection and Actionable ESG Analysis</w:t>
      </w:r>
    </w:p>
    <w:p>
      <w:pPr>
        <w:spacing w:after="100" w:before="100"/>
        <w:jc w:val="center"/>
      </w:pPr>
      <w:r>
        <w:rPr>
          <w:rFonts w:ascii="Arial" w:cs="Arial" w:eastAsia="Arial" w:hAnsi="Arial"/>
          <w:b/>
          <w:bCs/>
          <w:color w:val="1F3864"/>
          <w:sz w:val="36"/>
          <w:szCs w:val="36"/>
        </w:rPr>
        <w:t xml:space="preserve">with Aspect-Based Sentiment Analysis</w:t>
      </w:r>
    </w:p>
    <w:p>
      <w:pPr>
        <w:spacing w:after="80" w:before="80"/>
      </w:pPr>
      <w:r>
        <w:t xml:space="preserve"/>
      </w:r>
    </w:p>
    <w:p>
      <w:pPr>
        <w:jc w:val="center"/>
      </w:pPr>
      <w:r>
        <w:rPr>
          <w:rFonts w:ascii="Arial" w:cs="Arial" w:eastAsia="Arial" w:hAnsi="Arial"/>
          <w:color w:val="2E75B6"/>
          <w:sz w:val="24"/>
          <w:szCs w:val="24"/>
        </w:rPr>
        <w:t xml:space="preserve">Daris Dzakwan Hoesien  ·  Oulu University, Finland</w:t>
      </w:r>
    </w:p>
    <w:p>
      <w:pPr>
        <w:spacing w:after="80" w:before="80"/>
      </w:pPr>
      <w:r>
        <w:t xml:space="preserve"/>
      </w:r>
    </w:p>
    <w:p>
      <w:pPr>
        <w:pBdr>
          <w:bottom w:val="single" w:color="2E75B6" w:sz="4" w:space="1"/>
        </w:pBdr>
        <w:spacing w:after="480" w:before="80"/>
        <w:jc w:val="center"/>
      </w:pPr>
      <w:r>
        <w:rPr>
          <w:rFonts w:ascii="Arial" w:cs="Arial" w:eastAsia="Arial" w:hAnsi="Arial"/>
          <w:b/>
          <w:bCs/>
          <w:color w:val="2E75B6"/>
          <w:sz w:val="26"/>
          <w:szCs w:val="26"/>
        </w:rPr>
        <w:t xml:space="preserve">Chapters 4–6: Coherent Structure, Key Metrics, and Academic Benchmarks</w:t>
      </w:r>
    </w:p>
    <w:p>
      <w:r>
        <w:br w:type="page"/>
      </w:r>
    </w:p>
    <w:p>
      <w:pPr>
        <w:pStyle w:val="Heading1"/>
        <w:spacing w:after="200" w:before="480"/>
      </w:pPr>
      <w:r>
        <w:rPr>
          <w:rFonts w:ascii="Arial" w:cs="Arial" w:eastAsia="Arial" w:hAnsi="Arial"/>
          <w:b/>
          <w:bCs/>
          <w:color w:val="1F3864"/>
          <w:sz w:val="32"/>
          <w:szCs w:val="32"/>
        </w:rPr>
        <w:t xml:space="preserve">Reading Guide: How This Document Works</w:t>
      </w:r>
    </w:p>
    <w:p>
      <w:pPr>
        <w:spacing w:after="100" w:before="100"/>
      </w:pPr>
      <w:r>
        <w:rPr>
          <w:rFonts w:ascii="Arial" w:cs="Arial" w:eastAsia="Arial" w:hAnsi="Arial"/>
          <w:color w:val="222222"/>
          <w:sz w:val="22"/>
          <w:szCs w:val="22"/>
        </w:rPr>
        <w:t xml:space="preserve">This document provides (a) a coherent, cross-referenced structure for Chapters 4, 5, and 6 of the thesis, tied to the six research questions (RQs) and the evidence pipeline described in the narrative; and (b) academic journal benchmarks against which the current pipeline should be evaluated. Every subsection below specifies what goes in, what comes out, which artefacts are cited, and how the writing connects forward and backward through the thesis spine.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8F5" w:val="clear"/>
            <w:tcMar>
              <w:top w:type="dxa" w:w="120"/>
              <w:left w:type="dxa" w:w="180"/>
              <w:bottom w:type="dxa" w:w="120"/>
              <w:right w:type="dxa" w:w="180"/>
            </w:tcMar>
          </w:tcPr>
          <w:p>
            <w:r>
              <w:rPr>
                <w:rFonts w:ascii="Arial" w:cs="Arial" w:eastAsia="Arial" w:hAnsi="Arial"/>
                <w:i/>
                <w:iCs/>
                <w:color w:val="222222"/>
                <w:sz w:val="20"/>
                <w:szCs w:val="20"/>
              </w:rPr>
              <w:t xml:space="preserve">Key convention: numbers in parentheses (e.g., 078, 079) refer to the integration-diagram connection IDs from the thesis narrative document. Metrics shaded in green represent targets already met; orange indicates outstanding items.</w:t>
            </w:r>
          </w:p>
        </w:tc>
      </w:tr>
    </w:tbl>
    <w:p>
      <w:r>
        <w:br w:type="page"/>
      </w:r>
    </w:p>
    <w:p>
      <w:pPr>
        <w:pStyle w:val="Heading1"/>
        <w:spacing w:after="200" w:before="480"/>
      </w:pPr>
      <w:r>
        <w:rPr>
          <w:rFonts w:ascii="Arial" w:cs="Arial" w:eastAsia="Arial" w:hAnsi="Arial"/>
          <w:b/>
          <w:bCs/>
          <w:color w:val="1F3864"/>
          <w:sz w:val="32"/>
          <w:szCs w:val="32"/>
        </w:rPr>
        <w:t xml:space="preserve">IV. Implementation and Results</w:t>
      </w:r>
    </w:p>
    <w:p>
      <w:pPr>
        <w:spacing w:after="100" w:before="100"/>
      </w:pPr>
      <w:r>
        <w:rPr>
          <w:rFonts w:ascii="Arial" w:cs="Arial" w:eastAsia="Arial" w:hAnsi="Arial"/>
          <w:color w:val="222222"/>
          <w:sz w:val="22"/>
          <w:szCs w:val="22"/>
        </w:rPr>
        <w:t xml:space="preserve">Chapter 4 translates the methodology design (Chapter 3) into empirical findings by reporting five subsections in sequence. Each subsection answers one or two research questions, cites specific artefact files, and provides the numerical foundation that Chapter 5 will interpret. The chapter closes with a one-page results synthesis that foreshadows the four interpretive arguments in Chapter 5.</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4.1 System Implementation Overview</w:t>
      </w:r>
    </w:p>
    <w:p>
      <w:pPr>
        <w:spacing w:after="100" w:before="100"/>
      </w:pPr>
      <w:r>
        <w:rPr>
          <w:rFonts w:ascii="Arial" w:cs="Arial" w:eastAsia="Arial" w:hAnsi="Arial"/>
          <w:color w:val="222222"/>
          <w:sz w:val="22"/>
          <w:szCs w:val="22"/>
        </w:rPr>
        <w:t xml:space="preserve">Purpose: Establish the scope and completeness of the implemented system before presenting results by question.</w:t>
      </w:r>
    </w:p>
    <w:p>
      <w:pPr>
        <w:pStyle w:val="Heading3"/>
        <w:spacing w:after="120" w:before="240"/>
      </w:pPr>
      <w:r>
        <w:rPr>
          <w:rFonts w:ascii="Arial" w:cs="Arial" w:eastAsia="Arial" w:hAnsi="Arial"/>
          <w:b/>
          <w:bCs/>
          <w:color w:val="1F3864"/>
          <w:sz w:val="24"/>
          <w:szCs w:val="24"/>
        </w:rPr>
        <w:t xml:space="preserve">What goes in</w:t>
      </w:r>
    </w:p>
    <w:p>
      <w:pPr>
        <w:spacing w:after="100" w:before="100"/>
      </w:pPr>
      <w:r>
        <w:rPr>
          <w:rFonts w:ascii="Arial" w:cs="Arial" w:eastAsia="Arial" w:hAnsi="Arial"/>
          <w:color w:val="222222"/>
          <w:sz w:val="22"/>
          <w:szCs w:val="22"/>
        </w:rPr>
        <w:t xml:space="preserve">Artefacts: ocr_processing_summary.csv (connection 078), esg_records.json (078), background job folders — 156 jobs (078).</w:t>
      </w:r>
    </w:p>
    <w:p>
      <w:pPr>
        <w:pStyle w:val="Heading3"/>
        <w:spacing w:after="120" w:before="240"/>
      </w:pPr>
      <w:r>
        <w:rPr>
          <w:rFonts w:ascii="Arial" w:cs="Arial" w:eastAsia="Arial" w:hAnsi="Arial"/>
          <w:b/>
          <w:bCs/>
          <w:color w:val="1F3864"/>
          <w:sz w:val="24"/>
          <w:szCs w:val="24"/>
        </w:rPr>
        <w:t xml:space="preserve">What to write</w:t>
      </w:r>
    </w:p>
    <w:p>
      <w:pPr>
        <w:spacing w:after="100" w:before="100"/>
      </w:pPr>
      <w:r>
        <w:rPr>
          <w:rFonts w:ascii="Arial" w:cs="Arial" w:eastAsia="Arial" w:hAnsi="Arial"/>
          <w:color w:val="222222"/>
          <w:sz w:val="22"/>
          <w:szCs w:val="22"/>
        </w:rPr>
        <w:t xml:space="preserve">Open with a one-paragraph system description: a Python + Streamlit multi-page research application processing 23 Indonesian listed-company sustainability reports across 7 prompt templates and 2–4 LLM backend configurations. Present Table 4.1 (system scope summary) drawn from the OCR audit and job folders.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Coverage</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Artefact</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Source documents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23 sustainability reports (OJK/IDX-regulated)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ocr_processing_summary.csv</w:t>
            </w:r>
          </w:p>
        </w:tc>
      </w:tr>
      <w:tr>
        <w:tc>
          <w:tcPr>
            <w:tcW w:type="dxa" w:w="2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Pages OCR-processed</w:t>
            </w:r>
          </w:p>
        </w:tc>
        <w:tc>
          <w:tcPr>
            <w:tcW w:type="dxa" w:w="3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Full document set; page markdown files saved</w:t>
            </w:r>
          </w:p>
        </w:tc>
        <w:tc>
          <w:tcPr>
            <w:tcW w:type="dxa" w:w="3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pages/ directory</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LLM extraction runs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110 successful runs → 332 extracted records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esg_records.json</w:t>
            </w:r>
          </w:p>
        </w:tc>
      </w:tr>
      <w:tr>
        <w:tc>
          <w:tcPr>
            <w:tcW w:type="dxa" w:w="2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Prompt templates</w:t>
            </w:r>
          </w:p>
        </w:tc>
        <w:tc>
          <w:tcPr>
            <w:tcW w:type="dxa" w:w="3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7 templates (zero-shot, few-shot, CoT; EN + ID)</w:t>
            </w:r>
          </w:p>
        </w:tc>
        <w:tc>
          <w:tcPr>
            <w:tcW w:type="dxa" w:w="3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prompt/ directory</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Model configurations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4 configurations tested (2 primary)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model_stability_summary.csv</w:t>
            </w:r>
          </w:p>
        </w:tc>
      </w:tr>
      <w:tr>
        <w:tc>
          <w:tcPr>
            <w:tcW w:type="dxa" w:w="2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Background jobs completed</w:t>
            </w:r>
          </w:p>
        </w:tc>
        <w:tc>
          <w:tcPr>
            <w:tcW w:type="dxa" w:w="3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156 jobs with full provenance logs</w:t>
            </w:r>
          </w:p>
        </w:tc>
        <w:tc>
          <w:tcPr>
            <w:tcW w:type="dxa" w:w="3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jobs/ directory (156 folders)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Human-reviewed records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1,610 (silver dataset; 1 annotator vs LLM)</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tone_records_flat.csv</w:t>
            </w:r>
          </w:p>
        </w:tc>
      </w:tr>
      <w:tr>
        <w:tc>
          <w:tcPr>
            <w:tcW w:type="dxa" w:w="2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ClimateBERT records processed</w:t>
            </w:r>
          </w:p>
        </w:tc>
        <w:tc>
          <w:tcPr>
            <w:tcW w:type="dxa" w:w="3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4,853 of 5,146 (94.3% complete)</w:t>
            </w:r>
          </w:p>
        </w:tc>
        <w:tc>
          <w:tcPr>
            <w:tcW w:type="dxa" w:w="3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climatebert_proxy_agreement_summary.csv</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43C0C" w:sz="4"/>
              <w:left w:val="single" w:color="843C0C" w:sz="4"/>
              <w:bottom w:val="single" w:color="843C0C" w:sz="4"/>
              <w:right w:val="single" w:color="843C0C" w:sz="4"/>
            </w:tcBorders>
            <w:shd w:fill="FCE4D6" w:val="clear"/>
            <w:tcMar>
              <w:top w:type="dxa" w:w="120"/>
              <w:left w:type="dxa" w:w="180"/>
              <w:bottom w:type="dxa" w:w="120"/>
              <w:right w:type="dxa" w:w="180"/>
            </w:tcMar>
          </w:tcPr>
          <w:p>
            <w:r>
              <w:rPr>
                <w:rFonts w:ascii="Arial" w:cs="Arial" w:eastAsia="Arial" w:hAnsi="Arial"/>
                <w:i/>
                <w:iCs/>
                <w:color w:val="222222"/>
                <w:sz w:val="20"/>
                <w:szCs w:val="20"/>
              </w:rPr>
              <w:t xml:space="preserve">Limitation flag (for Chapter 5): OCR character error rate has not yet been formally computed. This is the most significant outstanding measurement gap for RQ1.</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4.2 Results: RQ1 and RQ2 — Pipeline Feasibility and Schema Operationalisation</w:t>
      </w:r>
    </w:p>
    <w:p>
      <w:pPr>
        <w:spacing w:after="80" w:before="80"/>
      </w:pPr>
      <w:r>
        <w:t xml:space="preserve"/>
      </w:r>
    </w:p>
    <w:p>
      <w:pPr>
        <w:pStyle w:val="Heading3"/>
        <w:spacing w:after="120" w:before="240"/>
      </w:pPr>
      <w:r>
        <w:rPr>
          <w:rFonts w:ascii="Arial" w:cs="Arial" w:eastAsia="Arial" w:hAnsi="Arial"/>
          <w:b/>
          <w:bCs/>
          <w:color w:val="1F3864"/>
          <w:sz w:val="24"/>
          <w:szCs w:val="24"/>
        </w:rPr>
        <w:t xml:space="preserve">4.2.1 RQ1 — PDF-to-Structured ESG Transformation</w:t>
      </w:r>
    </w:p>
    <w:p>
      <w:pPr>
        <w:spacing w:after="100" w:before="100"/>
      </w:pPr>
      <w:r>
        <w:rPr>
          <w:rFonts w:ascii="Arial" w:cs="Arial" w:eastAsia="Arial" w:hAnsi="Arial"/>
          <w:color w:val="222222"/>
          <w:sz w:val="22"/>
          <w:szCs w:val="22"/>
        </w:rPr>
        <w:t xml:space="preserve">Artefacts: ocr_processing_summary.csv (079), esg_records.json (079), PDF-by-prompt matrix (079).</w:t>
      </w:r>
    </w:p>
    <w:p>
      <w:pPr>
        <w:spacing w:after="100" w:before="100"/>
      </w:pPr>
      <w:r>
        <w:rPr>
          <w:rFonts w:ascii="Arial" w:cs="Arial" w:eastAsia="Arial" w:hAnsi="Arial"/>
          <w:b/>
          <w:bCs/>
          <w:color w:val="222222"/>
          <w:sz w:val="22"/>
          <w:szCs w:val="22"/>
        </w:rPr>
        <w:t xml:space="preserve">Central claim: </w:t>
      </w:r>
      <w:r>
        <w:rPr>
          <w:rFonts w:ascii="Arial" w:cs="Arial" w:eastAsia="Arial" w:hAnsi="Arial"/>
          <w:color w:val="222222"/>
          <w:sz w:val="22"/>
          <w:szCs w:val="22"/>
        </w:rPr>
        <w:t xml:space="preserve">Bilingual Indonesian/English sustainability reports can be converted into provenance-rich, sentence-level ESG records. The pipeline produced 332 extracted records from 110 successful runs across 23 source documents. Every record carries four provenance fields (source_target, prompt, model, timestamp) enabling complete audit trail from ESG claim back to source page.</w:t>
      </w:r>
    </w:p>
    <w:p>
      <w:pPr>
        <w:spacing w:after="100" w:before="100"/>
      </w:pPr>
      <w:r>
        <w:rPr>
          <w:rFonts w:ascii="Arial" w:cs="Arial" w:eastAsia="Arial" w:hAnsi="Arial"/>
          <w:color w:val="222222"/>
          <w:sz w:val="22"/>
          <w:szCs w:val="22"/>
        </w:rPr>
        <w:t xml:space="preserve">Present Figure 4.1: the PDF-by-prompt matrix (heatmap, documents × templates, cell = record count). Note that some cells are zero — these are coverage gaps, not system failures, and they become data points for the stability analysis in 4.5.</w:t>
      </w:r>
    </w:p>
    <w:p>
      <w:pPr>
        <w:spacing w:after="100" w:before="100"/>
      </w:pPr>
      <w:r>
        <w:rPr>
          <w:rFonts w:ascii="Arial" w:cs="Arial" w:eastAsia="Arial" w:hAnsi="Arial"/>
          <w:color w:val="222222"/>
          <w:sz w:val="22"/>
          <w:szCs w:val="22"/>
        </w:rPr>
        <w:t xml:space="preserve">Present Figure 4.2: records-per-run distribution by template. Discuss that data.md produces high yield (raw extraction, no tone elicitation) while structured tone templates produce fewer but more schema-compliant records.</w:t>
      </w:r>
    </w:p>
    <w:p>
      <w:pPr>
        <w:spacing w:after="80" w:before="80"/>
      </w:pPr>
      <w:r>
        <w:t xml:space="preserve"/>
      </w:r>
    </w:p>
    <w:p>
      <w:pPr>
        <w:pStyle w:val="Heading3"/>
        <w:spacing w:after="120" w:before="240"/>
      </w:pPr>
      <w:r>
        <w:rPr>
          <w:rFonts w:ascii="Arial" w:cs="Arial" w:eastAsia="Arial" w:hAnsi="Arial"/>
          <w:b/>
          <w:bCs/>
          <w:color w:val="1F3864"/>
          <w:sz w:val="24"/>
          <w:szCs w:val="24"/>
        </w:rPr>
        <w:t xml:space="preserve">4.2.2 RQ2 — Four-Dimensional ABSA Schema</w:t>
      </w:r>
    </w:p>
    <w:p>
      <w:pPr>
        <w:spacing w:after="100" w:before="100"/>
      </w:pPr>
      <w:r>
        <w:rPr>
          <w:rFonts w:ascii="Arial" w:cs="Arial" w:eastAsia="Arial" w:hAnsi="Arial"/>
          <w:color w:val="222222"/>
          <w:sz w:val="22"/>
          <w:szCs w:val="22"/>
        </w:rPr>
        <w:t xml:space="preserve">Artefacts: tone_records_flat.csv (079), tone_esg_crosstab.csv (079).</w:t>
      </w:r>
    </w:p>
    <w:p>
      <w:pPr>
        <w:spacing w:after="100" w:before="100"/>
      </w:pPr>
      <w:r>
        <w:rPr>
          <w:rFonts w:ascii="Arial" w:cs="Arial" w:eastAsia="Arial" w:hAnsi="Arial"/>
          <w:b/>
          <w:bCs/>
          <w:color w:val="222222"/>
          <w:sz w:val="22"/>
          <w:szCs w:val="22"/>
        </w:rPr>
        <w:t xml:space="preserve">Central claim: </w:t>
      </w:r>
      <w:r>
        <w:rPr>
          <w:rFonts w:ascii="Arial" w:cs="Arial" w:eastAsia="Arial" w:hAnsi="Arial"/>
          <w:color w:val="222222"/>
          <w:sz w:val="22"/>
          <w:szCs w:val="22"/>
        </w:rPr>
        <w:t xml:space="preserve">The four-dimensional schema (aspect, ESG pillar, sentiment, tone) successfully differentiates semantically positive commitment statements from neutral outcome statements, confirming that tone and sentiment are analytically independent.</w:t>
      </w:r>
    </w:p>
    <w:p>
      <w:pPr>
        <w:spacing w:after="100" w:before="100"/>
      </w:pPr>
      <w:r>
        <w:rPr>
          <w:rFonts w:ascii="Arial" w:cs="Arial" w:eastAsia="Arial" w:hAnsi="Arial"/>
          <w:color w:val="222222"/>
          <w:sz w:val="22"/>
          <w:szCs w:val="22"/>
        </w:rPr>
        <w:t xml:space="preserve">Present Table 4.2: tone distribution across all 332 records. Present Table 4.3: ESG pillar distribution. Present Figure 4.3 (tone distribution bar chart) and Figure 4.4 (pillar distribution).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44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Tone Category</w:t>
            </w:r>
          </w:p>
        </w:tc>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 Total</w:t>
            </w:r>
          </w:p>
        </w:tc>
        <w:tc>
          <w:tcPr>
            <w:tcW w:type="dxa" w:w="44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Commitment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115</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34.6%</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Forward-looking intent statements</w:t>
            </w:r>
          </w:p>
        </w:tc>
      </w:tr>
      <w:tr>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Action</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58</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17.5%</w:t>
            </w:r>
          </w:p>
        </w:tc>
        <w:tc>
          <w:tcPr>
            <w:tcW w:type="dxa" w:w="44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Implemented operational activities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Outcome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50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15.1%</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Retrospective, measurable results</w:t>
            </w:r>
          </w:p>
        </w:tc>
      </w:tr>
      <w:tr>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None</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48</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14.5%</w:t>
            </w:r>
          </w:p>
        </w:tc>
        <w:tc>
          <w:tcPr>
            <w:tcW w:type="dxa" w:w="44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Contextual / non-ESG-bearing text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Missing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61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18.4%</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Schema failure — extraction incomplete</w:t>
            </w:r>
          </w:p>
        </w:tc>
      </w:tr>
      <w:tr>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TOTAL</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332</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100%</w:t>
            </w:r>
          </w:p>
        </w:tc>
        <w:tc>
          <w:tcPr>
            <w:tcW w:type="dxa" w:w="44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44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ESG Pillar</w:t>
            </w:r>
          </w:p>
        </w:tc>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 Total</w:t>
            </w:r>
          </w:p>
        </w:tc>
        <w:tc>
          <w:tcPr>
            <w:tcW w:type="dxa" w:w="44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Environmental (E)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179</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53.9%</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Dominant — reflects climate focus of sampled reports</w:t>
            </w:r>
          </w:p>
        </w:tc>
      </w:tr>
      <w:tr>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Governance (G)</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121</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36.4%</w:t>
            </w:r>
          </w:p>
        </w:tc>
        <w:tc>
          <w:tcPr>
            <w:tcW w:type="dxa" w:w="44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Second — OJK/IDX governance disclosure requirements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Social (S)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1.2%</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Near-absent — significant underrepresentation flag</w:t>
            </w:r>
          </w:p>
        </w:tc>
      </w:tr>
      <w:tr>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None / Missing</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28</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8.4%</w:t>
            </w:r>
          </w:p>
        </w:tc>
        <w:tc>
          <w:tcPr>
            <w:tcW w:type="dxa" w:w="44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Records without pillar assignment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8F5" w:val="clear"/>
            <w:tcMar>
              <w:top w:type="dxa" w:w="120"/>
              <w:left w:type="dxa" w:w="180"/>
              <w:bottom w:type="dxa" w:w="120"/>
              <w:right w:type="dxa" w:w="180"/>
            </w:tcMar>
          </w:tcPr>
          <w:p>
            <w:r>
              <w:rPr>
                <w:rFonts w:ascii="Arial" w:cs="Arial" w:eastAsia="Arial" w:hAnsi="Arial"/>
                <w:i/>
                <w:iCs/>
                <w:color w:val="222222"/>
                <w:sz w:val="20"/>
                <w:szCs w:val="20"/>
              </w:rPr>
              <w:t xml:space="preserve">The commitment/outcome ratio of 2.3:1 (115 vs 50) is the central finding of the thesis. Resist interpreting it here — that is Chapter 5's work. In Chapter 4, present the numbers only.</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4.3 Results: RQ3 and RQ4 — Tone vs ClimateBERT and Failure Diagnostics</w:t>
      </w:r>
    </w:p>
    <w:p>
      <w:pPr>
        <w:spacing w:after="80" w:before="80"/>
      </w:pPr>
      <w:r>
        <w:t xml:space="preserve"/>
      </w:r>
    </w:p>
    <w:p>
      <w:pPr>
        <w:pStyle w:val="Heading3"/>
        <w:spacing w:after="120" w:before="240"/>
      </w:pPr>
      <w:r>
        <w:rPr>
          <w:rFonts w:ascii="Arial" w:cs="Arial" w:eastAsia="Arial" w:hAnsi="Arial"/>
          <w:b/>
          <w:bCs/>
          <w:color w:val="1F3864"/>
          <w:sz w:val="24"/>
          <w:szCs w:val="24"/>
        </w:rPr>
        <w:t xml:space="preserve">4.3.1 RQ3 — Tone-Based ABSA vs ClimateBERT-Style Classification</w:t>
      </w:r>
    </w:p>
    <w:p>
      <w:pPr>
        <w:spacing w:after="100" w:before="100"/>
      </w:pPr>
      <w:r>
        <w:rPr>
          <w:rFonts w:ascii="Arial" w:cs="Arial" w:eastAsia="Arial" w:hAnsi="Arial"/>
          <w:color w:val="222222"/>
          <w:sz w:val="22"/>
          <w:szCs w:val="22"/>
        </w:rPr>
        <w:t xml:space="preserve">Artefacts: climatebert_proxy_agreement_summary.csv (080), tone_climatebert_label_crosstab.csv (080).</w:t>
      </w:r>
    </w:p>
    <w:p>
      <w:pPr>
        <w:spacing w:after="100" w:before="100"/>
      </w:pPr>
      <w:r>
        <w:rPr>
          <w:rFonts w:ascii="Arial" w:cs="Arial" w:eastAsia="Arial" w:hAnsi="Arial"/>
          <w:b/>
          <w:bCs/>
          <w:color w:val="222222"/>
          <w:sz w:val="22"/>
          <w:szCs w:val="22"/>
        </w:rPr>
        <w:t xml:space="preserve">Central claim: </w:t>
      </w:r>
      <w:r>
        <w:rPr>
          <w:rFonts w:ascii="Arial" w:cs="Arial" w:eastAsia="Arial" w:hAnsi="Arial"/>
          <w:color w:val="222222"/>
          <w:sz w:val="22"/>
          <w:szCs w:val="22"/>
        </w:rPr>
        <w:t xml:space="preserve">Tone-based ABSA labels and ClimateBERT climate-topic labels are near-orthogonal (real Cohen's κ = 0.079, n = 4,853), despite similar percent agreement (82.2%). The proxy comparison (κ = 0.645) is inflated by internal LLM consistency and should not be used as the primary validity metric.</w:t>
      </w:r>
    </w:p>
    <w:p>
      <w:pPr>
        <w:spacing w:after="100" w:before="100"/>
      </w:pPr>
      <w:r>
        <w:rPr>
          <w:rFonts w:ascii="Arial" w:cs="Arial" w:eastAsia="Arial" w:hAnsi="Arial"/>
          <w:color w:val="222222"/>
          <w:sz w:val="22"/>
          <w:szCs w:val="22"/>
        </w:rPr>
        <w:t xml:space="preserve">Present Table 4.4: the two-row agreement metrics comparison. This is the most important single table in the validation layer — display it prominently.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500"/>
        <w:gridCol w:w="1800"/>
        <w:gridCol w:w="2460"/>
      </w:tblGrid>
      <w:tr>
        <w:trPr>
          <w:tblHeader/>
        </w:trPr>
        <w:tc>
          <w:tcPr>
            <w:tcW w:type="dxa" w:w="2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Comparison Type</w:t>
            </w:r>
          </w:p>
        </w:tc>
        <w:tc>
          <w:tcPr>
            <w:tcW w:type="dxa" w:w="11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 records</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Agreement</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Cohen's κ</w:t>
            </w:r>
          </w:p>
        </w:tc>
        <w:tc>
          <w:tcPr>
            <w:tcW w:type="dxa" w:w="24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Proxy (LLM vs LLM)</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332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83.7%</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0.645 (moderate)</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Inflated — same LLM, internal consistency</w:t>
            </w:r>
          </w:p>
        </w:tc>
      </w:tr>
      <w:tr>
        <w:tc>
          <w:tcPr>
            <w:tcW w:type="dxa" w:w="2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Real (Tone vs ClimateBERT)</w:t>
            </w:r>
          </w:p>
        </w:tc>
        <w:tc>
          <w:tcPr>
            <w:tcW w:type="dxa" w:w="11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4,853</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82.2%</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0.079 (poor)</w:t>
            </w:r>
          </w:p>
        </w:tc>
        <w:tc>
          <w:tcPr>
            <w:tcW w:type="dxa" w:w="24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Near-orthogonal — two independent systems</w:t>
            </w:r>
          </w:p>
        </w:tc>
      </w:tr>
    </w:tbl>
    <w:p>
      <w:pPr>
        <w:spacing w:after="80" w:before="80"/>
      </w:pPr>
      <w:r>
        <w:t xml:space="preserve"/>
      </w:r>
    </w:p>
    <w:p>
      <w:pPr>
        <w:spacing w:after="100" w:before="100"/>
      </w:pPr>
      <w:r>
        <w:rPr>
          <w:rFonts w:ascii="Arial" w:cs="Arial" w:eastAsia="Arial" w:hAnsi="Arial"/>
          <w:color w:val="222222"/>
          <w:sz w:val="22"/>
          <w:szCs w:val="22"/>
        </w:rPr>
        <w:t xml:space="preserve">Present Figure 4.5: the tone × ClimateBERT label crosstab (heatmap or table). Highlight the commitment × climate-commitment dominant cell (n = 91) as the only meaningful intersection. Explain that the scatter of outcome records across 'other' and governance labels confirms that ClimateBERT does not distinguish claim maturity (commitment vs outcome) — it only identifies topic relevance (climate-related vs not).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8F5" w:val="clear"/>
            <w:tcMar>
              <w:top w:type="dxa" w:w="120"/>
              <w:left w:type="dxa" w:w="180"/>
              <w:bottom w:type="dxa" w:w="120"/>
              <w:right w:type="dxa" w:w="180"/>
            </w:tcMar>
          </w:tcPr>
          <w:p>
            <w:r>
              <w:rPr>
                <w:rFonts w:ascii="Arial" w:cs="Arial" w:eastAsia="Arial" w:hAnsi="Arial"/>
                <w:i/>
                <w:iCs/>
                <w:color w:val="222222"/>
                <w:sz w:val="20"/>
                <w:szCs w:val="20"/>
              </w:rPr>
              <w:t xml:space="preserve">Do NOT interpret the low kappa as a failure here. State it factually: 'the low kappa confirms that the two systems are measuring different constructs.' Save the argument for Chapter 5.2.</w:t>
            </w:r>
          </w:p>
        </w:tc>
      </w:tr>
    </w:tbl>
    <w:p>
      <w:pPr>
        <w:spacing w:after="80" w:before="80"/>
      </w:pPr>
      <w:r>
        <w:t xml:space="preserve"/>
      </w:r>
    </w:p>
    <w:p>
      <w:pPr>
        <w:pStyle w:val="Heading3"/>
        <w:spacing w:after="120" w:before="240"/>
      </w:pPr>
      <w:r>
        <w:rPr>
          <w:rFonts w:ascii="Arial" w:cs="Arial" w:eastAsia="Arial" w:hAnsi="Arial"/>
          <w:b/>
          <w:bCs/>
          <w:color w:val="1F3864"/>
          <w:sz w:val="24"/>
          <w:szCs w:val="24"/>
        </w:rPr>
        <w:t xml:space="preserve">4.3.2 RQ4 — Failure Mode Diagnostics</w:t>
      </w:r>
    </w:p>
    <w:p>
      <w:pPr>
        <w:spacing w:after="100" w:before="100"/>
      </w:pPr>
      <w:r>
        <w:rPr>
          <w:rFonts w:ascii="Arial" w:cs="Arial" w:eastAsia="Arial" w:hAnsi="Arial"/>
          <w:color w:val="222222"/>
          <w:sz w:val="22"/>
          <w:szCs w:val="22"/>
        </w:rPr>
        <w:t xml:space="preserve">Artefacts: failure_mode_counts.csv (080), ontology_coverage.csv (081).</w:t>
      </w:r>
    </w:p>
    <w:p>
      <w:pPr>
        <w:spacing w:after="100" w:before="100"/>
      </w:pPr>
      <w:r>
        <w:rPr>
          <w:rFonts w:ascii="Arial" w:cs="Arial" w:eastAsia="Arial" w:hAnsi="Arial"/>
          <w:b/>
          <w:bCs/>
          <w:color w:val="222222"/>
          <w:sz w:val="22"/>
          <w:szCs w:val="22"/>
        </w:rPr>
        <w:t xml:space="preserve">Central claim: </w:t>
      </w:r>
      <w:r>
        <w:rPr>
          <w:rFonts w:ascii="Arial" w:cs="Arial" w:eastAsia="Arial" w:hAnsi="Arial"/>
          <w:color w:val="222222"/>
          <w:sz w:val="22"/>
          <w:szCs w:val="22"/>
        </w:rPr>
        <w:t xml:space="preserve">The diagnostics framework identified six primary failure modes, with missing tone fields (≈ 61 records, 18.4%) as the dominant failure, followed by schema drift (commitment in sentiment field, 18 records), Indonesian modal verb misclassification, table-embedded KPI failures, passive voice misclassification, and bilingual code-switching failures.</w:t>
      </w:r>
    </w:p>
    <w:p>
      <w:pPr>
        <w:spacing w:after="100" w:before="100"/>
      </w:pPr>
      <w:r>
        <w:rPr>
          <w:rFonts w:ascii="Arial" w:cs="Arial" w:eastAsia="Arial" w:hAnsi="Arial"/>
          <w:color w:val="222222"/>
          <w:sz w:val="22"/>
          <w:szCs w:val="22"/>
        </w:rPr>
        <w:t xml:space="preserve">Present Table 4.5: the six failure modes with count, root cause, and remediation.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2800"/>
        <w:gridCol w:w="27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Failure Mode</w:t>
            </w:r>
          </w:p>
        </w:tc>
        <w:tc>
          <w:tcPr>
            <w:tcW w:type="dxa" w:w="1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Root Cause</w:t>
            </w:r>
          </w:p>
        </w:tc>
        <w:tc>
          <w:tcPr>
            <w:tcW w:type="dxa" w:w="2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Remediation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Missing tone field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~61 records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Prompt did not enforce tone as mandatory field</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Mandatory-field enforcement + post-processing validator</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Schema drift (commitment→sentiment)</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18 records</w:t>
            </w:r>
          </w:p>
        </w:tc>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LLM schema confusion between tone and sentiment fields</w:t>
            </w:r>
          </w:p>
        </w:tc>
        <w:tc>
          <w:tcPr>
            <w:tcW w:type="dxa" w:w="2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Add JSON schema with strict enum constraints in prompt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Indonesian modal verb misclassification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~12 records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akan, berkomitmen, berupaya mapped to wrong tone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Bilingual tone lexicon with Indonesian modal verb list</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Table-embedded KPI failures</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~9 records</w:t>
            </w:r>
          </w:p>
        </w:tc>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Numeric KPI in table cell without surrounding prose</w:t>
            </w:r>
          </w:p>
        </w:tc>
        <w:tc>
          <w:tcPr>
            <w:tcW w:type="dxa" w:w="2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Table-aware extraction with cell-context injection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Passive voice misclassification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~7 records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Passive Indonesian constructions classified as outcome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Passive voice detection in preprocessing</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Bilingual code-switching failures</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~5 records</w:t>
            </w:r>
          </w:p>
        </w:tc>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Mixed IN/EN sentence assigned wrong language processing path</w:t>
            </w:r>
          </w:p>
        </w:tc>
        <w:tc>
          <w:tcPr>
            <w:tcW w:type="dxa" w:w="2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Language-detection per sentence before extraction</w:t>
            </w:r>
          </w:p>
        </w:tc>
      </w:tr>
    </w:tbl>
    <w:p>
      <w:pPr>
        <w:spacing w:after="80" w:before="80"/>
      </w:pPr>
      <w:r>
        <w:t xml:space="preserve"/>
      </w:r>
    </w:p>
    <w:p>
      <w:pPr>
        <w:spacing w:after="100" w:before="100"/>
      </w:pPr>
      <w:r>
        <w:rPr>
          <w:rFonts w:ascii="Arial" w:cs="Arial" w:eastAsia="Arial" w:hAnsi="Arial"/>
          <w:color w:val="222222"/>
          <w:sz w:val="22"/>
          <w:szCs w:val="22"/>
        </w:rPr>
        <w:t xml:space="preserve">Present Figure 4.6: aspect-by-tone heatmap (52 extracted aspects × tone categories). Discuss that all 52 aspects are now mapped to GRI/SASB-aligned ontology paths, and that 46 required creation of new semantic clusters — evidence for the Indonesian ESG vocabulary contribution.</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4.4 Results: RQ5 and RQ6 — Reproducibility and Stability</w:t>
      </w:r>
    </w:p>
    <w:p>
      <w:pPr>
        <w:spacing w:after="80" w:before="80"/>
      </w:pPr>
      <w:r>
        <w:t xml:space="preserve"/>
      </w:r>
    </w:p>
    <w:p>
      <w:pPr>
        <w:pStyle w:val="Heading3"/>
        <w:spacing w:after="120" w:before="240"/>
      </w:pPr>
      <w:r>
        <w:rPr>
          <w:rFonts w:ascii="Arial" w:cs="Arial" w:eastAsia="Arial" w:hAnsi="Arial"/>
          <w:b/>
          <w:bCs/>
          <w:color w:val="1F3864"/>
          <w:sz w:val="24"/>
          <w:szCs w:val="24"/>
        </w:rPr>
        <w:t xml:space="preserve">4.4.1 RQ5 — Reproducibility and Auditability</w:t>
      </w:r>
    </w:p>
    <w:p>
      <w:pPr>
        <w:spacing w:after="100" w:before="100"/>
      </w:pPr>
      <w:r>
        <w:rPr>
          <w:rFonts w:ascii="Arial" w:cs="Arial" w:eastAsia="Arial" w:hAnsi="Arial"/>
          <w:color w:val="222222"/>
          <w:sz w:val="22"/>
          <w:szCs w:val="22"/>
        </w:rPr>
        <w:t xml:space="preserve">Artefacts: background job folders — 156 folders (079), Integration Mermaid page 6_0 (079), static visualisation artefacts.</w:t>
      </w:r>
    </w:p>
    <w:p>
      <w:pPr>
        <w:spacing w:after="100" w:before="100"/>
      </w:pPr>
      <w:r>
        <w:rPr>
          <w:rFonts w:ascii="Arial" w:cs="Arial" w:eastAsia="Arial" w:hAnsi="Arial"/>
          <w:b/>
          <w:bCs/>
          <w:color w:val="222222"/>
          <w:sz w:val="22"/>
          <w:szCs w:val="22"/>
        </w:rPr>
        <w:t xml:space="preserve">Central claim: </w:t>
      </w:r>
      <w:r>
        <w:rPr>
          <w:rFonts w:ascii="Arial" w:cs="Arial" w:eastAsia="Arial" w:hAnsi="Arial"/>
          <w:color w:val="222222"/>
          <w:sz w:val="22"/>
          <w:szCs w:val="22"/>
        </w:rPr>
        <w:t xml:space="preserve">The pipeline produces 1,049 named artefacts across 156 completed jobs, each job folder containing config.json, status.json, control.json, and events.jsonl sufficient for independent reproduction. The Integration Mermaid dashboard maps every written claim in every chapter to its evidential artefact.</w:t>
      </w:r>
    </w:p>
    <w:p>
      <w:pPr>
        <w:spacing w:after="100" w:before="100"/>
      </w:pPr>
      <w:r>
        <w:rPr>
          <w:rFonts w:ascii="Arial" w:cs="Arial" w:eastAsia="Arial" w:hAnsi="Arial"/>
          <w:color w:val="222222"/>
          <w:sz w:val="22"/>
          <w:szCs w:val="22"/>
        </w:rPr>
        <w:t xml:space="preserve">Present Table 4.6: the reproducibility artefact inventory. Present Figure 4.7: the five static visualisation outputs (tone_distribution.png, esg_by_tone.png, climatebert_label_by_tone.png, aspect_by_tone_heatmap.png, climatebert_remote_top_scores.png). State the regeneration command and the dashboard launch command.</w:t>
      </w:r>
    </w:p>
    <w:p>
      <w:pPr>
        <w:spacing w:after="80" w:before="80"/>
      </w:pPr>
      <w:r>
        <w:t xml:space="preserve"/>
      </w:r>
    </w:p>
    <w:p>
      <w:pPr>
        <w:pStyle w:val="Heading3"/>
        <w:spacing w:after="120" w:before="240"/>
      </w:pPr>
      <w:r>
        <w:rPr>
          <w:rFonts w:ascii="Arial" w:cs="Arial" w:eastAsia="Arial" w:hAnsi="Arial"/>
          <w:b/>
          <w:bCs/>
          <w:color w:val="1F3864"/>
          <w:sz w:val="24"/>
          <w:szCs w:val="24"/>
        </w:rPr>
        <w:t xml:space="preserve">4.4.2 RQ6 — Cross-Model and Cross-Prompt Stability</w:t>
      </w:r>
    </w:p>
    <w:p>
      <w:pPr>
        <w:spacing w:after="100" w:before="100"/>
      </w:pPr>
      <w:r>
        <w:rPr>
          <w:rFonts w:ascii="Arial" w:cs="Arial" w:eastAsia="Arial" w:hAnsi="Arial"/>
          <w:color w:val="222222"/>
          <w:sz w:val="22"/>
          <w:szCs w:val="22"/>
        </w:rPr>
        <w:t xml:space="preserve">Artefacts: model_stability_summary.csv (079), prompt_stability_summary.csv (079).</w:t>
      </w:r>
    </w:p>
    <w:p>
      <w:pPr>
        <w:spacing w:after="100" w:before="100"/>
      </w:pPr>
      <w:r>
        <w:rPr>
          <w:rFonts w:ascii="Arial" w:cs="Arial" w:eastAsia="Arial" w:hAnsi="Arial"/>
          <w:b/>
          <w:bCs/>
          <w:color w:val="222222"/>
          <w:sz w:val="22"/>
          <w:szCs w:val="22"/>
        </w:rPr>
        <w:t xml:space="preserve">Central claim: </w:t>
      </w:r>
      <w:r>
        <w:rPr>
          <w:rFonts w:ascii="Arial" w:cs="Arial" w:eastAsia="Arial" w:hAnsi="Arial"/>
          <w:color w:val="222222"/>
          <w:sz w:val="22"/>
          <w:szCs w:val="22"/>
        </w:rPr>
        <w:t xml:space="preserve">Model configurations exhibit a parse-rate/yield trade-off. GPT-oss-20b achieves the highest parse success rate (0.959) with conservative yield (1.13 records/run); Trinity-large achieves higher yield (12.52 records/run) at moderate schema compliance (0.899 parse rate); Minimax-M2.5 is unsuitable for production use (0.585 parse rate). Chain-of-thought templates in both English and Indonesian achieve the lowest missing-tone rates. Human-versus-LLM tone kappa = 0.788 (n = 1,610), exceeding the thesis target of κ ≥ 0.60.</w:t>
      </w:r>
    </w:p>
    <w:p>
      <w:pPr>
        <w:spacing w:after="100" w:before="100"/>
      </w:pPr>
      <w:r>
        <w:rPr>
          <w:rFonts w:ascii="Arial" w:cs="Arial" w:eastAsia="Arial" w:hAnsi="Arial"/>
          <w:color w:val="222222"/>
          <w:sz w:val="22"/>
          <w:szCs w:val="22"/>
        </w:rPr>
        <w:t xml:space="preserve">Present Table 4.7: model stability comparison. Present Table 4.8: prompt template stability (missing-tone rate per template). Present Figure 4.8: parse-rate vs yield scatter plot across model configurations.</w:t>
      </w:r>
    </w:p>
    <w:p>
      <w:pPr>
        <w:spacing w:after="80" w:before="8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900"/>
        <w:gridCol w:w="1900"/>
        <w:gridCol w:w="28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Parse Success Rate</w:t>
            </w:r>
          </w:p>
        </w:tc>
        <w:tc>
          <w:tcPr>
            <w:tcW w:type="dxa" w:w="1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Records / Run</w:t>
            </w:r>
          </w:p>
        </w:tc>
        <w:tc>
          <w:tcPr>
            <w:tcW w:type="dxa" w:w="1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Missing Tone Rate</w:t>
            </w:r>
          </w:p>
        </w:tc>
        <w:tc>
          <w:tcPr>
            <w:tcW w:type="dxa" w:w="28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openai/gpt-oss-20b</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0.959</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1.13</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Low</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Schema validation primary</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arcee-ai/trinity-large</w:t>
            </w:r>
          </w:p>
        </w:tc>
        <w:tc>
          <w:tcPr>
            <w:tcW w:type="dxa" w:w="1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0.899</w:t>
            </w:r>
          </w:p>
        </w:tc>
        <w:tc>
          <w:tcPr>
            <w:tcW w:type="dxa" w:w="1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12.52</w:t>
            </w:r>
          </w:p>
        </w:tc>
        <w:tc>
          <w:tcPr>
            <w:tcW w:type="dxa" w:w="1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Moderate</w:t>
            </w:r>
          </w:p>
        </w:tc>
        <w:tc>
          <w:tcPr>
            <w:tcW w:type="dxa" w:w="28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Extraction yield primary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minimax/minimax-m2.5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0.585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Not recommended for production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1400"/>
        <w:gridCol w:w="1800"/>
        <w:gridCol w:w="236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Prompt Template</w:t>
            </w:r>
          </w:p>
        </w:tc>
        <w:tc>
          <w:tcPr>
            <w:tcW w:type="dxa" w:w="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Language</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Strategy</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Missing-Tone Rate</w:t>
            </w:r>
          </w:p>
        </w:tc>
        <w:tc>
          <w:tcPr>
            <w:tcW w:type="dxa" w:w="2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data.md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Raw extraction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100%</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Expected — no tone elicitation; high yield baseline</w:t>
            </w:r>
          </w:p>
        </w:tc>
      </w:tr>
      <w:tr>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tone_zero_shot_english.md</w:t>
            </w:r>
          </w:p>
        </w:tc>
        <w:tc>
          <w:tcPr>
            <w:tcW w:type="dxa" w:w="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EN</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Zero-shot</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Moderate</w:t>
            </w:r>
          </w:p>
        </w:tc>
        <w:tc>
          <w:tcPr>
            <w:tcW w:type="dxa" w:w="2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tone_zero_shot_indonesian.md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Zero-shot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Moderate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tone_few_shot_english.md</w:t>
            </w:r>
          </w:p>
        </w:tc>
        <w:tc>
          <w:tcPr>
            <w:tcW w:type="dxa" w:w="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EN</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Few-shot</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Lower</w:t>
            </w:r>
          </w:p>
        </w:tc>
        <w:tc>
          <w:tcPr>
            <w:tcW w:type="dxa" w:w="2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Examples stabilise schema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tone_few_shot_indonesian.md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Few-shot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Lower</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tone_chain_of_thought_english.md</w:t>
            </w:r>
          </w:p>
        </w:tc>
        <w:tc>
          <w:tcPr>
            <w:tcW w:type="dxa" w:w="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EN</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CoT</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Lowest</w:t>
            </w:r>
          </w:p>
        </w:tc>
        <w:tc>
          <w:tcPr>
            <w:tcW w:type="dxa" w:w="2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Recommended primary template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tone_chain_of_thought_indonesian.md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CoT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Lowest</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Recommended for ID-dominant pages</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4.5 Explainability Outputs</w:t>
      </w:r>
    </w:p>
    <w:p>
      <w:pPr>
        <w:spacing w:after="100" w:before="100"/>
      </w:pPr>
      <w:r>
        <w:rPr>
          <w:rFonts w:ascii="Arial" w:cs="Arial" w:eastAsia="Arial" w:hAnsi="Arial"/>
          <w:color w:val="222222"/>
          <w:sz w:val="22"/>
          <w:szCs w:val="22"/>
        </w:rPr>
        <w:t xml:space="preserve">Artefacts: rule-based lexical triggers, TF-IDF coefficients (classical ML layer), ontology-path visualisations.</w:t>
      </w:r>
    </w:p>
    <w:p>
      <w:pPr>
        <w:spacing w:after="100" w:before="100"/>
      </w:pPr>
      <w:r>
        <w:rPr>
          <w:rFonts w:ascii="Arial" w:cs="Arial" w:eastAsia="Arial" w:hAnsi="Arial"/>
          <w:color w:val="222222"/>
          <w:sz w:val="22"/>
          <w:szCs w:val="22"/>
        </w:rPr>
        <w:t xml:space="preserve">Present Figure 4.9: top-20 lexical triggers per tone category (commitment markers: will, target, committed, berkomitmen, akan; action markers: implemented, conducted, established, telah melaksanakan; outcome markers: achieved, reduced, completed, berhasil menurunkan). Present Figure 4.10: TF-IDF coefficient ranking per ESG pillar for the logistic regression baseline. Present Figure 4.11: three representative ontology-path visualisations (one per E/S/G pillar) showing the reasoning chain from textual phrase → ESG concept node → GRI/SASB indicator.</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4.6 Results Synthesis</w:t>
      </w:r>
    </w:p>
    <w:p>
      <w:pPr>
        <w:spacing w:after="100" w:before="100"/>
      </w:pPr>
      <w:r>
        <w:rPr>
          <w:rFonts w:ascii="Arial" w:cs="Arial" w:eastAsia="Arial" w:hAnsi="Arial"/>
          <w:color w:val="222222"/>
          <w:sz w:val="22"/>
          <w:szCs w:val="22"/>
        </w:rPr>
        <w:t xml:space="preserve">Close Chapter 4 with a one-page synthesis paragraph that states all six RQ answers in a single compact table, with artefact citations, and explicitly flags which answers are hedged by outstanding limitations. This table becomes the source material for Chapter 6's RQ-answer section.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200"/>
        <w:gridCol w:w="3560"/>
      </w:tblGrid>
      <w:tr>
        <w:trPr>
          <w:tblHeader/>
        </w:trPr>
        <w:tc>
          <w:tcPr>
            <w:tcW w:type="dxa" w:w="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RQ</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Answer (one sentence)</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Metric</w:t>
            </w:r>
          </w:p>
        </w:tc>
        <w:tc>
          <w:tcPr>
            <w:tcW w:type="dxa" w:w="3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Hedging Condition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RQ1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PDF-derived bilingual sustainability reports can be transformed into provenance-rich ESG records.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332 records, 23 docs, 110 runs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OCR CER not yet formally measured</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RQ2</w:t>
            </w:r>
          </w:p>
        </w:tc>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The 4D schema differentiates tone from sentiment; commitment dominates (34.6%).</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C=115, O=50, κ_human=0.788</w:t>
            </w:r>
          </w:p>
        </w:tc>
        <w:tc>
          <w:tcPr>
            <w:tcW w:type="dxa" w:w="35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Single annotator vs LLM; human-human IAA pending</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RQ3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Tone and ClimateBERT labels are near-orthogonal, confirming they measure different constructs.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Real κ=0.079 (n=4,853)</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293 records remain unprocessed</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RQ4</w:t>
            </w:r>
          </w:p>
        </w:tc>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Six failure modes identified; missing tone (18.4%) and schema drift (18 records) are primary.</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Failure taxonomy, 6 modes</w:t>
            </w:r>
          </w:p>
        </w:tc>
        <w:tc>
          <w:tcPr>
            <w:tcW w:type="dxa" w:w="35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Formal ground-truth not yet available for precision/recall</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RQ5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156 job folders + 1,049 artefacts enable full reproduction from any pipeline stage.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1,049 artefacts, Integration Mermaid</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Independent replication study not yet conducted</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RQ6</w:t>
            </w:r>
          </w:p>
        </w:tc>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CoT templates and GPT-oss-20b/Trinity ensemble achieve highest stability; human κ=0.788.</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Parse rate 0.959, κ=0.788</w:t>
            </w:r>
          </w:p>
        </w:tc>
        <w:tc>
          <w:tcPr>
            <w:tcW w:type="dxa" w:w="35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Model imbalance: minimax 588 runs vs Trinity 89 runs</w:t>
            </w:r>
          </w:p>
        </w:tc>
      </w:tr>
    </w:tbl>
    <w:p>
      <w:pPr>
        <w:spacing w:after="80" w:before="80"/>
      </w:pPr>
      <w:r>
        <w:t xml:space="preserve"/>
      </w:r>
    </w:p>
    <w:p>
      <w:r>
        <w:br w:type="page"/>
      </w:r>
    </w:p>
    <w:p>
      <w:pPr>
        <w:pStyle w:val="Heading1"/>
        <w:spacing w:after="200" w:before="480"/>
      </w:pPr>
      <w:r>
        <w:rPr>
          <w:rFonts w:ascii="Arial" w:cs="Arial" w:eastAsia="Arial" w:hAnsi="Arial"/>
          <w:b/>
          <w:bCs/>
          <w:color w:val="1F3864"/>
          <w:sz w:val="32"/>
          <w:szCs w:val="32"/>
        </w:rPr>
        <w:t xml:space="preserve">V. Discussion</w:t>
      </w:r>
    </w:p>
    <w:p>
      <w:pPr>
        <w:spacing w:after="100" w:before="100"/>
      </w:pPr>
      <w:r>
        <w:rPr>
          <w:rFonts w:ascii="Arial" w:cs="Arial" w:eastAsia="Arial" w:hAnsi="Arial"/>
          <w:color w:val="222222"/>
          <w:sz w:val="22"/>
          <w:szCs w:val="22"/>
        </w:rPr>
        <w:t xml:space="preserve">Chapter 5 performs four scholarly moves: it interprets key findings through theoretical lenses; it benchmarks the pipeline against four alternative approaches from the literature; it identifies theoretical implications for ESG ABSA, greenwashing detection, and Indonesian NLP infrastructure; and it scopes six specific limitations with honest hedging. Every interpretive claim cites both a Chapter 4 number and a Chapter 2 theoretical anchor.</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5.1 Interpretation of Key Findings</w:t>
      </w:r>
    </w:p>
    <w:p>
      <w:pPr>
        <w:spacing w:after="80" w:before="80"/>
      </w:pPr>
      <w:r>
        <w:t xml:space="preserve"/>
      </w:r>
    </w:p>
    <w:p>
      <w:pPr>
        <w:pStyle w:val="Heading3"/>
        <w:spacing w:after="120" w:before="240"/>
      </w:pPr>
      <w:r>
        <w:rPr>
          <w:rFonts w:ascii="Arial" w:cs="Arial" w:eastAsia="Arial" w:hAnsi="Arial"/>
          <w:b/>
          <w:bCs/>
          <w:color w:val="1F3864"/>
          <w:sz w:val="24"/>
          <w:szCs w:val="24"/>
        </w:rPr>
        <w:t xml:space="preserve">5.1.1 The Commitment-Dominance Finding</w:t>
      </w:r>
    </w:p>
    <w:p>
      <w:pPr>
        <w:spacing w:after="100" w:before="100"/>
      </w:pPr>
      <w:r>
        <w:rPr>
          <w:rFonts w:ascii="Arial" w:cs="Arial" w:eastAsia="Arial" w:hAnsi="Arial"/>
          <w:b/>
          <w:bCs/>
          <w:color w:val="222222"/>
          <w:sz w:val="22"/>
          <w:szCs w:val="22"/>
        </w:rPr>
        <w:t xml:space="preserve">Evidence: </w:t>
      </w:r>
      <w:r>
        <w:rPr>
          <w:rFonts w:ascii="Arial" w:cs="Arial" w:eastAsia="Arial" w:hAnsi="Arial"/>
          <w:color w:val="222222"/>
          <w:sz w:val="22"/>
          <w:szCs w:val="22"/>
        </w:rPr>
        <w:t xml:space="preserve">Commitment tone = 115 records (34.6%); Outcome tone = 50 records (15.1%); ratio = 2.3:1 (from Table 4.2).</w:t>
      </w:r>
    </w:p>
    <w:p>
      <w:pPr>
        <w:spacing w:after="100" w:before="100"/>
      </w:pPr>
      <w:r>
        <w:rPr>
          <w:rFonts w:ascii="Arial" w:cs="Arial" w:eastAsia="Arial" w:hAnsi="Arial"/>
          <w:b/>
          <w:bCs/>
          <w:color w:val="222222"/>
          <w:sz w:val="22"/>
          <w:szCs w:val="22"/>
        </w:rPr>
        <w:t xml:space="preserve">Theoretical lens: </w:t>
      </w:r>
      <w:r>
        <w:rPr>
          <w:rFonts w:ascii="Arial" w:cs="Arial" w:eastAsia="Arial" w:hAnsi="Arial"/>
          <w:color w:val="222222"/>
          <w:sz w:val="22"/>
          <w:szCs w:val="22"/>
        </w:rPr>
        <w:t xml:space="preserve">Suchman's (1995) legitimacy theory predicts that firms in environments of evolving regulatory expectations will prioritise aspirational signalling over retrospective outcome disclosure. The 2.3:1 commitment-to-outcome ratio is consistent with legitimacy-seeking behaviour: Indonesian listed companies are communicating future alignment with OJK/IDX sustainability expectations rather than demonstrating realised performance.</w:t>
      </w:r>
    </w:p>
    <w:p>
      <w:pPr>
        <w:spacing w:after="100" w:before="100"/>
      </w:pPr>
      <w:r>
        <w:rPr>
          <w:rFonts w:ascii="Arial" w:cs="Arial" w:eastAsia="Arial" w:hAnsi="Arial"/>
          <w:color w:val="222222"/>
          <w:sz w:val="22"/>
          <w:szCs w:val="22"/>
        </w:rPr>
        <w:t xml:space="preserve">Practical implication: regulators who require outcome evidence as a condition of disclosure credit — rather than treating commitment statements as equivalent — would shift this ratio toward greater evidentiary value. Investors relying on traditional ESG ratings that score disclosure volume rather than disclosure maturity are receiving a systematically optimistic signal.</w:t>
      </w:r>
    </w:p>
    <w:p>
      <w:pPr>
        <w:spacing w:after="80" w:before="80"/>
      </w:pPr>
      <w:r>
        <w:t xml:space="preserve"/>
      </w:r>
    </w:p>
    <w:p>
      <w:pPr>
        <w:pStyle w:val="Heading3"/>
        <w:spacing w:after="120" w:before="240"/>
      </w:pPr>
      <w:r>
        <w:rPr>
          <w:rFonts w:ascii="Arial" w:cs="Arial" w:eastAsia="Arial" w:hAnsi="Arial"/>
          <w:b/>
          <w:bCs/>
          <w:color w:val="1F3864"/>
          <w:sz w:val="24"/>
          <w:szCs w:val="24"/>
        </w:rPr>
        <w:t xml:space="preserve">5.1.2 The ClimateBERT Divergence as Construct Validity Confirmation</w:t>
      </w:r>
    </w:p>
    <w:p>
      <w:pPr>
        <w:spacing w:after="100" w:before="100"/>
      </w:pPr>
      <w:r>
        <w:rPr>
          <w:rFonts w:ascii="Arial" w:cs="Arial" w:eastAsia="Arial" w:hAnsi="Arial"/>
          <w:b/>
          <w:bCs/>
          <w:color w:val="222222"/>
          <w:sz w:val="22"/>
          <w:szCs w:val="22"/>
        </w:rPr>
        <w:t xml:space="preserve">Evidence: </w:t>
      </w:r>
      <w:r>
        <w:rPr>
          <w:rFonts w:ascii="Arial" w:cs="Arial" w:eastAsia="Arial" w:hAnsi="Arial"/>
          <w:color w:val="222222"/>
          <w:sz w:val="22"/>
          <w:szCs w:val="22"/>
        </w:rPr>
        <w:t xml:space="preserve">Proxy κ = 0.645, Real κ = 0.079, both with ≈ 83% percent agreement (from Table 4.4).</w:t>
      </w:r>
    </w:p>
    <w:p>
      <w:pPr>
        <w:spacing w:after="100" w:before="100"/>
      </w:pPr>
      <w:r>
        <w:rPr>
          <w:rFonts w:ascii="Arial" w:cs="Arial" w:eastAsia="Arial" w:hAnsi="Arial"/>
          <w:b/>
          <w:bCs/>
          <w:color w:val="222222"/>
          <w:sz w:val="22"/>
          <w:szCs w:val="22"/>
        </w:rPr>
        <w:t xml:space="preserve">Theoretical lens: </w:t>
      </w:r>
      <w:r>
        <w:rPr>
          <w:rFonts w:ascii="Arial" w:cs="Arial" w:eastAsia="Arial" w:hAnsi="Arial"/>
          <w:color w:val="222222"/>
          <w:sz w:val="22"/>
          <w:szCs w:val="22"/>
        </w:rPr>
        <w:t xml:space="preserve">The kappa gap is a methodological lesson that generalises: percent agreement is insensitive to chance agreement when two systems share similar base-rate distributions. Cohen's κ adjusts for this, revealing that what appeared as moderate agreement (0.645) was largely coincidental. The near-zero real kappa (0.079) confirms that tone (epistemic modality: is this a promise or a result?) and ClimateBERT's climate-topic relevance (is this sentence about climate?) are measuring orthogonal properties of the same text. This orthogonality was the theoretical prediction of Chapter 2-D, and its empirical confirmation is the thesis's most independently testable scholarly claim.</w:t>
      </w:r>
    </w:p>
    <w:p>
      <w:pPr>
        <w:spacing w:after="80" w:before="80"/>
      </w:pPr>
      <w:r>
        <w:t xml:space="preserve"/>
      </w:r>
    </w:p>
    <w:p>
      <w:pPr>
        <w:pStyle w:val="Heading3"/>
        <w:spacing w:after="120" w:before="240"/>
      </w:pPr>
      <w:r>
        <w:rPr>
          <w:rFonts w:ascii="Arial" w:cs="Arial" w:eastAsia="Arial" w:hAnsi="Arial"/>
          <w:b/>
          <w:bCs/>
          <w:color w:val="1F3864"/>
          <w:sz w:val="24"/>
          <w:szCs w:val="24"/>
        </w:rPr>
        <w:t xml:space="preserve">5.1.3 Schema Drift as Diagnostic Signal</w:t>
      </w:r>
    </w:p>
    <w:p>
      <w:pPr>
        <w:spacing w:after="100" w:before="100"/>
      </w:pPr>
      <w:r>
        <w:rPr>
          <w:rFonts w:ascii="Arial" w:cs="Arial" w:eastAsia="Arial" w:hAnsi="Arial"/>
          <w:b/>
          <w:bCs/>
          <w:color w:val="222222"/>
          <w:sz w:val="22"/>
          <w:szCs w:val="22"/>
        </w:rPr>
        <w:t xml:space="preserve">Evidence: </w:t>
      </w:r>
      <w:r>
        <w:rPr>
          <w:rFonts w:ascii="Arial" w:cs="Arial" w:eastAsia="Arial" w:hAnsi="Arial"/>
          <w:color w:val="222222"/>
          <w:sz w:val="22"/>
          <w:szCs w:val="22"/>
        </w:rPr>
        <w:t xml:space="preserve">18 records with 'commitment' in the sentiment field rather than the tone field (from failure_mode_counts.csv).</w:t>
      </w:r>
    </w:p>
    <w:p>
      <w:pPr>
        <w:spacing w:after="100" w:before="100"/>
      </w:pPr>
      <w:r>
        <w:rPr>
          <w:rFonts w:ascii="Arial" w:cs="Arial" w:eastAsia="Arial" w:hAnsi="Arial"/>
          <w:color w:val="222222"/>
          <w:sz w:val="22"/>
          <w:szCs w:val="22"/>
        </w:rPr>
        <w:t xml:space="preserve">This failure mode validates Gap 3 (Chapter II-E): without post-generation JSON schema validation, field-level misassignment propagates silently into downstream analysis. The diagnostic framework converts this failure into a design recommendation (mandatory enum constraints in the prompt JSON specification plus post-processing field-type validation).</w:t>
      </w:r>
    </w:p>
    <w:p>
      <w:pPr>
        <w:spacing w:after="80" w:before="80"/>
      </w:pPr>
      <w:r>
        <w:t xml:space="preserve"/>
      </w:r>
    </w:p>
    <w:p>
      <w:pPr>
        <w:pStyle w:val="Heading3"/>
        <w:spacing w:after="120" w:before="240"/>
      </w:pPr>
      <w:r>
        <w:rPr>
          <w:rFonts w:ascii="Arial" w:cs="Arial" w:eastAsia="Arial" w:hAnsi="Arial"/>
          <w:b/>
          <w:bCs/>
          <w:color w:val="1F3864"/>
          <w:sz w:val="24"/>
          <w:szCs w:val="24"/>
        </w:rPr>
        <w:t xml:space="preserve">5.1.4 The Indonesian ESG Vocabulary Contribution</w:t>
      </w:r>
    </w:p>
    <w:p>
      <w:pPr>
        <w:spacing w:after="100" w:before="100"/>
      </w:pPr>
      <w:r>
        <w:rPr>
          <w:rFonts w:ascii="Arial" w:cs="Arial" w:eastAsia="Arial" w:hAnsi="Arial"/>
          <w:b/>
          <w:bCs/>
          <w:color w:val="222222"/>
          <w:sz w:val="22"/>
          <w:szCs w:val="22"/>
        </w:rPr>
        <w:t xml:space="preserve">Evidence: </w:t>
      </w:r>
      <w:r>
        <w:rPr>
          <w:rFonts w:ascii="Arial" w:cs="Arial" w:eastAsia="Arial" w:hAnsi="Arial"/>
          <w:color w:val="222222"/>
          <w:sz w:val="22"/>
          <w:szCs w:val="22"/>
        </w:rPr>
        <w:t xml:space="preserve">52 extracted aspects, 46 requiring new semantic cluster creation (from ontology_coverage.csv).</w:t>
      </w:r>
    </w:p>
    <w:p>
      <w:pPr>
        <w:spacing w:after="100" w:before="100"/>
      </w:pPr>
      <w:r>
        <w:rPr>
          <w:rFonts w:ascii="Arial" w:cs="Arial" w:eastAsia="Arial" w:hAnsi="Arial"/>
          <w:color w:val="222222"/>
          <w:sz w:val="22"/>
          <w:szCs w:val="22"/>
        </w:rPr>
        <w:t xml:space="preserve">Terms such as karbon roadmap, pelatihan antikorupsi untuk komisaris dan direksi, pendekatan karbon, and penolakan korupsi represent Indonesian-specific ESG vocabulary that appears in OJK/IDX-regulated disclosures but is absent from GRI, SASB, or existing multilingual ESG NLP resources. The 46 novel clusters are an empirical discovery from running the pipeline on real corporate disclosures — they constitute a contribution to Indonesian ESG NLP infrastructure.</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5.2 Comparison with Existing Methods</w:t>
      </w:r>
    </w:p>
    <w:p>
      <w:pPr>
        <w:spacing w:after="100" w:before="100"/>
      </w:pPr>
      <w:r>
        <w:rPr>
          <w:rFonts w:ascii="Arial" w:cs="Arial" w:eastAsia="Arial" w:hAnsi="Arial"/>
          <w:color w:val="222222"/>
          <w:sz w:val="22"/>
          <w:szCs w:val="22"/>
        </w:rPr>
        <w:t xml:space="preserve">The pipeline is evaluated against four alternative approaches, each drawn from the gaps identified in Chapter II. For each comparison: (a) what the alternative does, (b) where it falls short relative to the Chapter II gap, (c) how the thesis pipeline addresses that shortfall.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2500"/>
        <w:gridCol w:w="2760"/>
      </w:tblGrid>
      <w:tr>
        <w:trPr>
          <w:tblHeader/>
        </w:trPr>
        <w:tc>
          <w:tcPr>
            <w:tcW w:type="dxa" w:w="23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Alternative Approach</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Capability</w:t>
            </w:r>
          </w:p>
        </w:tc>
        <w:tc>
          <w:tcPr>
            <w:tcW w:type="dxa" w:w="2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Limitation vs. Chapter II Gap</w:t>
            </w:r>
          </w:p>
        </w:tc>
        <w:tc>
          <w:tcPr>
            <w:tcW w:type="dxa" w:w="2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This Pipeline's Advance</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Manual ESG scoring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Expert judgment, interpretable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Not scalable; no sentence-level provenance; coarse-grained (Gap 1)</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Automated, traceable; 332 records with full provenance chain</w:t>
            </w:r>
          </w:p>
        </w:tc>
      </w:tr>
      <w:tr>
        <w:tc>
          <w:tcPr>
            <w:tcW w:type="dxa" w:w="2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Pure LLM classification</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Flexible; handles bilingual input</w:t>
            </w:r>
          </w:p>
        </w:tc>
        <w:tc>
          <w:tcPr>
            <w:tcW w:type="dxa" w:w="2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No audit trail; schema drift undetected; no stability analysis (Gap 3)</w:t>
            </w:r>
          </w:p>
        </w:tc>
        <w:tc>
          <w:tcPr>
            <w:tcW w:type="dxa" w:w="2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Auditable JSON schema; 7 templates; stability analysis across models</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ClimateBERT-only approach</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Strong on climate content; validated model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Cannot classify tone (commitment vs outcome); narrow E-domain only (Gap 2)</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Explicit tone taxonomy; covers E, G, S pillars; ClimateBERT used as validator only</w:t>
            </w:r>
          </w:p>
        </w:tc>
      </w:tr>
      <w:tr>
        <w:tc>
          <w:tcPr>
            <w:tcW w:type="dxa" w:w="2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Rule-based ESG taxonomies</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Transparent; interpretable lexicons</w:t>
            </w:r>
          </w:p>
        </w:tc>
        <w:tc>
          <w:tcPr>
            <w:tcW w:type="dxa" w:w="2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Brittle to bilingual variation; no context-dependent polarity; no LLM integration (Gap 5)</w:t>
            </w:r>
          </w:p>
        </w:tc>
        <w:tc>
          <w:tcPr>
            <w:tcW w:type="dxa" w:w="2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Lexicon layer as explainability baseline; combined with transformer + LLM</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5.3 Theoretical Implications</w:t>
      </w:r>
    </w:p>
    <w:p>
      <w:pPr>
        <w:pStyle w:val="Heading3"/>
        <w:spacing w:after="120" w:before="240"/>
      </w:pPr>
      <w:r>
        <w:rPr>
          <w:rFonts w:ascii="Arial" w:cs="Arial" w:eastAsia="Arial" w:hAnsi="Arial"/>
          <w:b/>
          <w:bCs/>
          <w:color w:val="1F3864"/>
          <w:sz w:val="24"/>
          <w:szCs w:val="24"/>
        </w:rPr>
        <w:t xml:space="preserve">For ESG Disclosure Theory</w:t>
      </w:r>
    </w:p>
    <w:p>
      <w:pPr>
        <w:spacing w:after="100" w:before="100"/>
      </w:pPr>
      <w:r>
        <w:rPr>
          <w:rFonts w:ascii="Arial" w:cs="Arial" w:eastAsia="Arial" w:hAnsi="Arial"/>
          <w:color w:val="222222"/>
          <w:sz w:val="22"/>
          <w:szCs w:val="22"/>
        </w:rPr>
        <w:t xml:space="preserve">The commitment-dominance finding provides empirical evidence for legitimacy-theory explanations of ESG disclosure: firms use sustainability reports to signal future alignment with stakeholder expectations rather than to demonstrate realised performance. This has implications for materiality assessment: frameworks that treat commitment statements as evidence of ESG progress are systematically overestimating disclosure quality for Indonesian listed companies.</w:t>
      </w:r>
    </w:p>
    <w:p>
      <w:pPr>
        <w:pStyle w:val="Heading3"/>
        <w:spacing w:after="120" w:before="240"/>
      </w:pPr>
      <w:r>
        <w:rPr>
          <w:rFonts w:ascii="Arial" w:cs="Arial" w:eastAsia="Arial" w:hAnsi="Arial"/>
          <w:b/>
          <w:bCs/>
          <w:color w:val="1F3864"/>
          <w:sz w:val="24"/>
          <w:szCs w:val="24"/>
        </w:rPr>
        <w:t xml:space="preserve">For ABSA Theory</w:t>
      </w:r>
    </w:p>
    <w:p>
      <w:pPr>
        <w:spacing w:after="100" w:before="100"/>
      </w:pPr>
      <w:r>
        <w:rPr>
          <w:rFonts w:ascii="Arial" w:cs="Arial" w:eastAsia="Arial" w:hAnsi="Arial"/>
          <w:color w:val="222222"/>
          <w:sz w:val="22"/>
          <w:szCs w:val="22"/>
        </w:rPr>
        <w:t xml:space="preserve">The empirical independence of sentiment and tone (κ = 0.079 between tone and ClimateBERT labels; sentiment positivity and tone category are not co-determined in the record set) supports the theoretical argument of Chapter II-B-5: polarity alone is insufficient for governance-relevant ESG analysis. A neutral-sentiment sentence can be an important outcome; a positive-sentiment sentence may be an unsubstantiated commitment.</w:t>
      </w:r>
    </w:p>
    <w:p>
      <w:pPr>
        <w:pStyle w:val="Heading3"/>
        <w:spacing w:after="120" w:before="240"/>
      </w:pPr>
      <w:r>
        <w:rPr>
          <w:rFonts w:ascii="Arial" w:cs="Arial" w:eastAsia="Arial" w:hAnsi="Arial"/>
          <w:b/>
          <w:bCs/>
          <w:color w:val="1F3864"/>
          <w:sz w:val="24"/>
          <w:szCs w:val="24"/>
        </w:rPr>
        <w:t xml:space="preserve">For Greenwashing Detection</w:t>
      </w:r>
    </w:p>
    <w:p>
      <w:pPr>
        <w:spacing w:after="100" w:before="100"/>
      </w:pPr>
      <w:r>
        <w:rPr>
          <w:rFonts w:ascii="Arial" w:cs="Arial" w:eastAsia="Arial" w:hAnsi="Arial"/>
          <w:color w:val="222222"/>
          <w:sz w:val="22"/>
          <w:szCs w:val="22"/>
        </w:rPr>
        <w:t xml:space="preserve">The commitment/outcome ratio is a measurable, document-level greenwashing risk signal, but it should be treated as a heuristic rather than a definitive index until validated against OJK/IDX ratings or known greenwashing cases. The tone taxonomy provides the analytical architecture for such validation in future work.</w:t>
      </w:r>
    </w:p>
    <w:p>
      <w:pPr>
        <w:pStyle w:val="Heading3"/>
        <w:spacing w:after="120" w:before="240"/>
      </w:pPr>
      <w:r>
        <w:rPr>
          <w:rFonts w:ascii="Arial" w:cs="Arial" w:eastAsia="Arial" w:hAnsi="Arial"/>
          <w:b/>
          <w:bCs/>
          <w:color w:val="1F3864"/>
          <w:sz w:val="24"/>
          <w:szCs w:val="24"/>
        </w:rPr>
        <w:t xml:space="preserve">For Indonesian NLP Infrastructure</w:t>
      </w:r>
    </w:p>
    <w:p>
      <w:pPr>
        <w:spacing w:after="100" w:before="100"/>
      </w:pPr>
      <w:r>
        <w:rPr>
          <w:rFonts w:ascii="Arial" w:cs="Arial" w:eastAsia="Arial" w:hAnsi="Arial"/>
          <w:color w:val="222222"/>
          <w:sz w:val="22"/>
          <w:szCs w:val="22"/>
        </w:rPr>
        <w:t xml:space="preserve">The 46 novel aspect clusters constitute a bilingual ESG lexicon seed for Indonesian corporate discourse. They are not merely a dataset artefact; they represent the domain-specific vocabulary that Indonesian companies are using in practice and that no existing multilingual ESG NLP resource documents systematically.</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5.4 Limitations</w:t>
      </w:r>
    </w:p>
    <w:p>
      <w:pPr>
        <w:spacing w:after="100" w:before="100"/>
      </w:pPr>
      <w:r>
        <w:rPr>
          <w:rFonts w:ascii="Arial" w:cs="Arial" w:eastAsia="Arial" w:hAnsi="Arial"/>
          <w:color w:val="222222"/>
          <w:sz w:val="22"/>
          <w:szCs w:val="22"/>
        </w:rPr>
        <w:t xml:space="preserve">Six limitations are scoped precisely. Each is stated as: the limitation, its evidential basis in the pipeline, and the research phase that addresses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3260"/>
      </w:tblGrid>
      <w:tr>
        <w:trPr>
          <w:tblHeader/>
        </w:trPr>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Limitation</w:t>
            </w:r>
          </w:p>
        </w:tc>
        <w:tc>
          <w:tcPr>
            <w:tcW w:type="dxa" w:w="2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Evidence in Pipeline</w:t>
            </w:r>
          </w:p>
        </w:tc>
        <w:tc>
          <w:tcPr>
            <w:tcW w:type="dxa" w:w="32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Future Work Phase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 formal OCR quality measurement (CER/WER). Character error rate has not been computed.</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ocr_processing_summary.csv documents coverage but not accuracy</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1: pilot OCR quality assessment on 30 pages from 4 documents</w:t>
            </w:r>
          </w:p>
        </w:tc>
      </w:tr>
      <w:tr>
        <w:tc>
          <w:tcPr>
            <w:tcW w:type="dxa" w:w="3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No complete expert-labeled ground truth. Current human labels are single-annotator vs LLM (κ=0.788), not human-human IAA.</w:t>
            </w:r>
          </w:p>
        </w:tc>
        <w:tc>
          <w:tcPr>
            <w:tcW w:type="dxa" w:w="2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tone_records_flat.csv; 1,610 reviewed but by 1 annotator</w:t>
            </w:r>
          </w:p>
        </w:tc>
        <w:tc>
          <w:tcPr>
            <w:tcW w:type="dxa" w:w="32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Phase 1: 250 records × 2 independent annotators; compute formal IAA κ</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Social pillar near-absent (S=4 records, 1.2%). Cannot determine if this is a corpus property or an extraction failure.</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tone_esg_crosstab.csv</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2: targeted extraction of Social-pillar pages + human annotation</w:t>
            </w:r>
          </w:p>
        </w:tc>
      </w:tr>
      <w:tr>
        <w:tc>
          <w:tcPr>
            <w:tcW w:type="dxa" w:w="3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ClimateBERT comparison incomplete (293 of 5,146 records unprocessed).</w:t>
            </w:r>
          </w:p>
        </w:tc>
        <w:tc>
          <w:tcPr>
            <w:tcW w:type="dxa" w:w="2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climatebert_proxy_agreement_summary.csv</w:t>
            </w:r>
          </w:p>
        </w:tc>
        <w:tc>
          <w:tcPr>
            <w:tcW w:type="dxa" w:w="32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Outstanding computational task before submission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Greenwashing index (commitment/outcome ratio) is unvalidated. Has not been tested against known cases or external ratings.</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Section 4.5 / Metrics Definition</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3: validation against OJK sustainability ratings and known cases</w:t>
            </w:r>
          </w:p>
        </w:tc>
      </w:tr>
      <w:tr>
        <w:tc>
          <w:tcPr>
            <w:tcW w:type="dxa" w:w="3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Ontology scope limited to extracted aspects. Indonesian ESG vocabulary is only partially covered by the 46 novel clusters.</w:t>
            </w:r>
          </w:p>
        </w:tc>
        <w:tc>
          <w:tcPr>
            <w:tcW w:type="dxa" w:w="2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ontology_coverage.csv</w:t>
            </w:r>
          </w:p>
        </w:tc>
        <w:tc>
          <w:tcPr>
            <w:tcW w:type="dxa" w:w="32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Phase 2: expert review of novel clusters; extension to additional report types</w:t>
            </w:r>
          </w:p>
        </w:tc>
      </w:tr>
    </w:tbl>
    <w:p>
      <w:pPr>
        <w:spacing w:after="80" w:before="80"/>
      </w:pPr>
      <w:r>
        <w:t xml:space="preserve"/>
      </w:r>
    </w:p>
    <w:p>
      <w:r>
        <w:br w:type="page"/>
      </w:r>
    </w:p>
    <w:p>
      <w:pPr>
        <w:pStyle w:val="Heading1"/>
        <w:spacing w:after="200" w:before="480"/>
      </w:pPr>
      <w:r>
        <w:rPr>
          <w:rFonts w:ascii="Arial" w:cs="Arial" w:eastAsia="Arial" w:hAnsi="Arial"/>
          <w:b/>
          <w:bCs/>
          <w:color w:val="1F3864"/>
          <w:sz w:val="32"/>
          <w:szCs w:val="32"/>
        </w:rPr>
        <w:t xml:space="preserve">VI. Conclusion</w:t>
      </w:r>
    </w:p>
    <w:p>
      <w:pPr>
        <w:spacing w:after="100" w:before="100"/>
      </w:pPr>
      <w:r>
        <w:rPr>
          <w:rFonts w:ascii="Arial" w:cs="Arial" w:eastAsia="Arial" w:hAnsi="Arial"/>
          <w:color w:val="222222"/>
          <w:sz w:val="22"/>
          <w:szCs w:val="22"/>
        </w:rPr>
        <w:t xml:space="preserve">Chapter 6 performs the final scholarly synthesis: it states six contributions with supporting metrics, answers all six RQs in one compact form, articulates practical implications for three stakeholder groups, and maps each limitation to a specific future-work phase. Every claim in Chapter 6 has been made defensible by the interpretations in Chapter 5.</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6.1 Contribution Summary</w:t>
      </w:r>
    </w:p>
    <w:p>
      <w:pPr>
        <w:spacing w:after="100" w:before="100"/>
      </w:pPr>
      <w:r>
        <w:rPr>
          <w:rFonts w:ascii="Arial" w:cs="Arial" w:eastAsia="Arial" w:hAnsi="Arial"/>
          <w:color w:val="222222"/>
          <w:sz w:val="22"/>
          <w:szCs w:val="22"/>
        </w:rPr>
        <w:t xml:space="preserve">The six contributions are each stated with a key metric that makes them independently verifiable and a connection to the Chapter 5 argument that makes them defensible.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100"/>
        <w:gridCol w:w="25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Contribution</w:t>
            </w:r>
          </w:p>
        </w:tc>
        <w:tc>
          <w:tcPr>
            <w:tcW w:type="dxa" w:w="2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delivers</w:t>
            </w:r>
          </w:p>
        </w:tc>
        <w:tc>
          <w:tcPr>
            <w:tcW w:type="dxa" w:w="21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Metric</w:t>
            </w:r>
          </w:p>
        </w:tc>
        <w:tc>
          <w:tcPr>
            <w:tcW w:type="dxa" w:w="2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Ch.5 Argument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C1: End-to-end OCR-to-record pipeline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23 documents → 332 records with full provenance chain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110 runs, 156 jobs, 1,049 artefacts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5.2: advances over manual scoring and pure LLM classification</w:t>
            </w:r>
          </w:p>
        </w:tc>
      </w:tr>
      <w:tr>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C2: Page-aware, 7-template prompt framework</w:t>
            </w:r>
          </w:p>
        </w:tc>
        <w:tc>
          <w:tcPr>
            <w:tcW w:type="dxa" w:w="2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Systematic comparison of zero-shot, few-shot, CoT in EN/ID</w:t>
            </w:r>
          </w:p>
        </w:tc>
        <w:tc>
          <w:tcPr>
            <w:tcW w:type="dxa" w:w="21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7 templates; CoT achieves lowest missing-tone rates</w:t>
            </w:r>
          </w:p>
        </w:tc>
        <w:tc>
          <w:tcPr>
            <w:tcW w:type="dxa" w:w="25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5.2: advances over single-prompt LLM approaches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C3: Tone-aware ESG taxonomy (C/A/O)</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Distinguishes commitment, action, outcome across E, S, G pillars</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Human-LLM κ=0.788 (n=1,610); target κ≥0.60 exceeded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5.1.1: legitimacy-theory interpretation of 2.3:1 ratio</w:t>
            </w:r>
          </w:p>
        </w:tc>
      </w:tr>
      <w:tr>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C4: Ontology layer with bilingual ESG vocabulary</w:t>
            </w:r>
          </w:p>
        </w:tc>
        <w:tc>
          <w:tcPr>
            <w:tcW w:type="dxa" w:w="2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52 aspects mapped to GRI/SASB paths; 46 novel ID clusters</w:t>
            </w:r>
          </w:p>
        </w:tc>
        <w:tc>
          <w:tcPr>
            <w:tcW w:type="dxa" w:w="21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46 novel aspect clusters (Indonesian ESG vocabulary)</w:t>
            </w:r>
          </w:p>
        </w:tc>
        <w:tc>
          <w:tcPr>
            <w:tcW w:type="dxa" w:w="25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5.1.4: Indonesian NLP infrastructure contribution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C5: ClimateBERT comparison framework</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External semantic validation; confirms tone-ClimateBERT orthogonality</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Real κ=0.079 (n=4,853); proxy κ=0.645 (inflated)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5.1.2: construct validity confirmed by orthogonality</w:t>
            </w:r>
          </w:p>
        </w:tc>
      </w:tr>
      <w:tr>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C6: Explainability outputs</w:t>
            </w:r>
          </w:p>
        </w:tc>
        <w:tc>
          <w:tcPr>
            <w:tcW w:type="dxa" w:w="2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Lexical triggers, TF-IDF coefficients, ontology-path visualisations</w:t>
            </w:r>
          </w:p>
        </w:tc>
        <w:tc>
          <w:tcPr>
            <w:tcW w:type="dxa" w:w="21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Integrated into Streamlit dashboard (5 tabs)</w:t>
            </w:r>
          </w:p>
        </w:tc>
        <w:tc>
          <w:tcPr>
            <w:tcW w:type="dxa" w:w="25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5.2: advances over ClimateBERT-only and rule-based approaches</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6.2 Answers to Research Questions</w:t>
      </w:r>
    </w:p>
    <w:p>
      <w:pPr>
        <w:spacing w:after="100" w:before="100"/>
      </w:pPr>
      <w:r>
        <w:rPr>
          <w:rFonts w:ascii="Arial" w:cs="Arial" w:eastAsia="Arial" w:hAnsi="Arial"/>
          <w:color w:val="222222"/>
          <w:sz w:val="22"/>
          <w:szCs w:val="22"/>
        </w:rPr>
        <w:t xml:space="preserve">Each answer is distilled from Chapter 4 results and Chapter 5 interpretation. Hedging conditions are retained from the Table 4.9 synthesis.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200"/>
        <w:gridCol w:w="3560"/>
      </w:tblGrid>
      <w:tr>
        <w:trPr>
          <w:tblHeader/>
        </w:trPr>
        <w:tc>
          <w:tcPr>
            <w:tcW w:type="dxa" w:w="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RQ</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Answer</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Hedged by</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RQ1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Yes — bilingual PDF reports can be transformed into structured ESG records with sentence-level provenance.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332 records / 23 docs / 110 runs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OCR CER unmeasured</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RQ2</w:t>
            </w:r>
          </w:p>
        </w:tc>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Yes — the 4D schema (aspect, pillar, sentiment, tone) is operationally feasible and analytically productive; commitment dominates.</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κ_human=0.788; C/O ratio 2.3:1</w:t>
            </w:r>
          </w:p>
        </w:tc>
        <w:tc>
          <w:tcPr>
            <w:tcW w:type="dxa" w:w="35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Single-annotator vs LLM labels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RQ3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Yes — tone and ClimateBERT labels are near-orthogonal (κ=0.079), confirming they measure different constructs. This is a positive finding.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Real κ=0.079 (n=4,853)</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293 records unprocessed</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RQ4</w:t>
            </w:r>
          </w:p>
        </w:tc>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Yes — 6 failure modes identified and quantified; missing tone (18.4%) and schema drift (18 records) are primary; remediation specified.</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Failure taxonomy, 6 modes</w:t>
            </w:r>
          </w:p>
        </w:tc>
        <w:tc>
          <w:tcPr>
            <w:tcW w:type="dxa" w:w="35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No formal precision/recall against ground truth yet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RQ5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Yes — 156 job folders, 1,049 artefacts, Integration Mermaid provide full audit chain.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1,049 artefacts; reproducible pipeline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Independent replication study pending</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RQ6</w:t>
            </w:r>
          </w:p>
        </w:tc>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Yes — CoT templates + GPT-oss-20b / Trinity ensemble achieves highest stability; human κ=0.788 exceeds threshold.</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Parse rate 0.959; human κ=0.788</w:t>
            </w:r>
          </w:p>
        </w:tc>
        <w:tc>
          <w:tcPr>
            <w:tcW w:type="dxa" w:w="35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Model imbalance in run counts</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6.3 Practical Implications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Stakeholder</w:t>
            </w:r>
          </w:p>
        </w:tc>
        <w:tc>
          <w:tcPr>
            <w:tcW w:type="dxa" w:w="7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Practical Implication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ESG analysts / sustainability teams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pipeline accelerates evidence extraction and surfaces commitment/outcome imbalances, enabling faster identification of where corporate disclosure emphasises aspiration over demonstrated results.</w:t>
            </w:r>
          </w:p>
        </w:tc>
      </w:tr>
      <w:tr>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Regulators (OJK / IDX context)</w:t>
            </w:r>
          </w:p>
        </w:tc>
        <w:tc>
          <w:tcPr>
            <w:tcW w:type="dxa" w:w="71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Automated tone classification can support preliminary review of sustainability reporting quality; the commitment-dominance finding suggests that OJK/IDX requirements specifying outcome evidence (rather than accepting commitment statements) would improve disclosure maturity.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Investors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Tone-derived greenwashing risk signals (commitment/outcome ratio per document) can supplement traditional ESG ratings by distinguishing narrative ambition from reported performance — particularly relevant for Indonesian listed companies where ESG rating coverage is limited.</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6.4 Future Work</w:t>
      </w:r>
    </w:p>
    <w:p>
      <w:pPr>
        <w:spacing w:after="100" w:before="100"/>
      </w:pPr>
      <w:r>
        <w:rPr>
          <w:rFonts w:ascii="Arial" w:cs="Arial" w:eastAsia="Arial" w:hAnsi="Arial"/>
          <w:color w:val="222222"/>
          <w:sz w:val="22"/>
          <w:szCs w:val="22"/>
        </w:rPr>
        <w:t xml:space="preserve">Each limitation from Section 5.4 maps to a specific research phase. The five-phase roadmap below converts honest limitation acknowledgement into a forward research agenda.</w:t>
      </w:r>
    </w:p>
    <w:p>
      <w:pPr>
        <w:spacing w:after="80" w:before="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3000"/>
        <w:gridCol w:w="2200"/>
        <w:gridCol w:w="2960"/>
      </w:tblGrid>
      <w:tr>
        <w:trPr>
          <w:tblHeader/>
        </w:trPr>
        <w:tc>
          <w:tcPr>
            <w:tcW w:type="dxa" w:w="1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Success Criterion</w:t>
            </w:r>
          </w:p>
        </w:tc>
        <w:tc>
          <w:tcPr>
            <w:tcW w:type="dxa" w:w="2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Limitation Addressed</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Pre-submission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Complete 293 remaining ClimateBERT records; pilot OCR quality assessment on 30 pages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Real κ computed at n=5,146; CER/WER reported</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Limitation 3, Limitation 1</w:t>
            </w:r>
          </w:p>
        </w:tc>
      </w:tr>
      <w:tr>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Phase 1</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Pre-submission</w:t>
            </w:r>
          </w:p>
        </w:tc>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Reach 250-record annotation target with 2 independent annotators; compute human-human IAA κ</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Human-human κ ≥ 0.60</w:t>
            </w:r>
          </w:p>
        </w:tc>
        <w:tc>
          <w:tcPr>
            <w:tcW w:type="dxa" w:w="29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Limitation 2</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Post-submission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Add third model family (XLM-RoBERTa fine-tuned on annotations); targeted Social-pillar extraction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3-model stability comparison; S-pillar records ≥ 20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Limitation 6, Limitation 3</w:t>
            </w:r>
          </w:p>
        </w:tc>
      </w:tr>
      <w:tr>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Phase 3</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Post-submission</w:t>
            </w:r>
          </w:p>
        </w:tc>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Validate greenwashing index against OJK ratings and known greenwashing cases</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Correlation with external ratings r &gt; 0.40</w:t>
            </w:r>
          </w:p>
        </w:tc>
        <w:tc>
          <w:tcPr>
            <w:tcW w:type="dxa" w:w="29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Limitation 5</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Post-submission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Expert review of 46 novel aspect clusters; extend ontology to additional Indonesian report types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Expert-validated ontology extension; coverage &gt; 80%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Limitation 6</w:t>
            </w:r>
          </w:p>
        </w:tc>
      </w:tr>
      <w:tr>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Phase 5</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Post-submission</w:t>
            </w:r>
          </w:p>
        </w:tc>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Full expert-annotated corpus (500+ records, 3 annotators); formal supervised evaluation of ABSA pipeline</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Precision/recall/F1 reported per tone category</w:t>
            </w:r>
          </w:p>
        </w:tc>
        <w:tc>
          <w:tcPr>
            <w:tcW w:type="dxa" w:w="29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Limitation 2, Limitation 4</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6.5 Closing Statement</w:t>
      </w:r>
    </w:p>
    <w:p>
      <w:pPr>
        <w:spacing w:after="100" w:before="100"/>
      </w:pPr>
      <w:r>
        <w:rPr>
          <w:rFonts w:ascii="Arial" w:cs="Arial" w:eastAsia="Arial" w:hAnsi="Arial"/>
          <w:color w:val="222222"/>
          <w:sz w:val="22"/>
          <w:szCs w:val="22"/>
        </w:rPr>
        <w:t xml:space="preserve">The combined findings demonstrate that automated tone-aware ESG disclosure analysis in bilingual Indonesian/English corporate reports is feasible, produces analytically productive results, and reveals patterns — commitment dominance, social pillar absence, Indonesian-specific ESG vocabulary — that document-level ESG scoring cannot capture. The current pipeline is best understood as a complete research prototype and benchmark-construction platform: every component is operational, every result is auditable, and every limitation is mapped to a concrete future-work phase. The thesis does not claim to have solved ESG classification for Indonesian markets; it claims to have built the infrastructure within which that problem can be rigorously pursued.</w:t>
      </w:r>
    </w:p>
    <w:p>
      <w:pPr>
        <w:spacing w:after="80" w:before="80"/>
      </w:pPr>
      <w:r>
        <w:t xml:space="preserve"/>
      </w:r>
    </w:p>
    <w:p>
      <w:r>
        <w:br w:type="page"/>
      </w:r>
    </w:p>
    <w:p>
      <w:pPr>
        <w:pStyle w:val="Heading1"/>
        <w:spacing w:after="200" w:before="480"/>
      </w:pPr>
      <w:r>
        <w:rPr>
          <w:rFonts w:ascii="Arial" w:cs="Arial" w:eastAsia="Arial" w:hAnsi="Arial"/>
          <w:b/>
          <w:bCs/>
          <w:color w:val="1F3864"/>
          <w:sz w:val="32"/>
          <w:szCs w:val="32"/>
        </w:rPr>
        <w:t xml:space="preserve">Appendix A: Academic Journal Benchmarks for the Current Approach</w:t>
      </w:r>
    </w:p>
    <w:p>
      <w:pPr>
        <w:spacing w:after="100" w:before="100"/>
      </w:pPr>
      <w:r>
        <w:rPr>
          <w:rFonts w:ascii="Arial" w:cs="Arial" w:eastAsia="Arial" w:hAnsi="Arial"/>
          <w:color w:val="222222"/>
          <w:sz w:val="22"/>
          <w:szCs w:val="22"/>
        </w:rPr>
        <w:t xml:space="preserve">This appendix situates the thesis pipeline against published academic work across the six methodological dimensions of the research. For each dimension, it identifies the most relevant benchmarks, the metrics they report, and the assessment of where the thesis stands relative to them.</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A.1 ABSA Performance in ESG / Finance Domains</w:t>
      </w:r>
    </w:p>
    <w:p>
      <w:pPr>
        <w:spacing w:after="100" w:before="100"/>
      </w:pPr>
      <w:r>
        <w:rPr>
          <w:rFonts w:ascii="Arial" w:cs="Arial" w:eastAsia="Arial" w:hAnsi="Arial"/>
          <w:color w:val="222222"/>
          <w:sz w:val="22"/>
          <w:szCs w:val="22"/>
        </w:rPr>
        <w:t xml:space="preserve">These are the closest published benchmarks for the core ABSA task. The thesis should cite them in Chapter 5 when benchmarking the pipeline.</w:t>
      </w:r>
    </w:p>
    <w:p>
      <w:pPr>
        <w:spacing w:after="80" w:before="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500"/>
        <w:gridCol w:w="1700"/>
        <w:gridCol w:w="23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Study</w:t>
            </w:r>
          </w:p>
        </w:tc>
        <w:tc>
          <w:tcPr>
            <w:tcW w:type="dxa" w:w="13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3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 / Scale</w:t>
            </w:r>
          </w:p>
        </w:tc>
        <w:tc>
          <w:tcPr>
            <w:tcW w:type="dxa" w:w="17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Metric</w:t>
            </w:r>
          </w:p>
        </w:tc>
        <w:tc>
          <w:tcPr>
            <w:tcW w:type="dxa" w:w="2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Relevance to Thesis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Brauwers &amp; Frasincar (2022) — ACM Computing Surveys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ABSA survey (finance, review domains)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BERT, XLM-R, ABSA variants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Multiple benchmarks across domains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Aspect F1: 70–85% (domain-adapted)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Establishes ABSA F1 baseline for domain-adapted models. Thesis lacks supervised F1 (ground truth incomplete) but targets κ≥0.60 for tone — a weaker but honest metric given the data situation.</w:t>
            </w:r>
          </w:p>
        </w:tc>
      </w:tr>
      <w:tr>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Seow (2025) — Corporate Social Responsibility and Environmental Management</w:t>
            </w:r>
          </w:p>
        </w:tc>
        <w:tc>
          <w:tcPr>
            <w:tcW w:type="dxa" w:w="1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ML/NLP for ESG analytics (systematic review)</w:t>
            </w:r>
          </w:p>
        </w:tc>
        <w:tc>
          <w:tcPr>
            <w:tcW w:type="dxa" w:w="1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Multiple (FinBERT, ClimateBERT, LLMs)</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Survey of 80+ studies</w:t>
            </w:r>
          </w:p>
        </w:tc>
        <w:tc>
          <w:tcPr>
            <w:tcW w:type="dxa" w:w="17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No single F1; documents state-of-practice</w:t>
            </w:r>
          </w:p>
        </w:tc>
        <w:tc>
          <w:tcPr>
            <w:tcW w:type="dxa" w:w="2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Confirms that no published study delivers integrated bilingual ABSA with tone taxonomy for Indonesian ESG. The gap the thesis fills.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van der Heever et al. (2024) — Mathematics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Public opinion ESG + XAI</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Transformer + SHAP/LIME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Social media (English)</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Accuracy: 82–88%</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Uses XAI for ESG sentiment — comparable explainability approach. Thesis extends this to bilingual corporate disclosures.</w:t>
            </w:r>
          </w:p>
        </w:tc>
      </w:tr>
      <w:tr>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Kim et al. (2024) — Data Technologies and Applications</w:t>
            </w:r>
          </w:p>
        </w:tc>
        <w:tc>
          <w:tcPr>
            <w:tcW w:type="dxa" w:w="1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ESG-SDG alignment via BERT</w:t>
            </w:r>
          </w:p>
        </w:tc>
        <w:tc>
          <w:tcPr>
            <w:tcW w:type="dxa" w:w="1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BERT-based</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Corporate disclosures (English)</w:t>
            </w:r>
          </w:p>
        </w:tc>
        <w:tc>
          <w:tcPr>
            <w:tcW w:type="dxa" w:w="17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Cosine similarity / alignment score</w:t>
            </w:r>
          </w:p>
        </w:tc>
        <w:tc>
          <w:tcPr>
            <w:tcW w:type="dxa" w:w="2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Demonstrates BERT applicability to ESG disclosure alignment. Thesis adds tone dimension absent in their schema.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Hassani et al. (2025) — European Financial Management (preprint)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Greenwashing detection via LLM</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LLM (GPT-family)</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Corporate ESG narratives (EN)</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Qualitative + precision/recall for greenwashing flags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Closest published study to thesis greenwashing contribution. Thesis adds: Indonesian context + tone taxonomy + bilingual ontology.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8F5" w:val="clear"/>
            <w:tcMar>
              <w:top w:type="dxa" w:w="120"/>
              <w:left w:type="dxa" w:w="180"/>
              <w:bottom w:type="dxa" w:w="120"/>
              <w:right w:type="dxa" w:w="180"/>
            </w:tcMar>
          </w:tcPr>
          <w:p>
            <w:r>
              <w:rPr>
                <w:rFonts w:ascii="Arial" w:cs="Arial" w:eastAsia="Arial" w:hAnsi="Arial"/>
                <w:i/>
                <w:iCs/>
                <w:color w:val="222222"/>
                <w:sz w:val="20"/>
                <w:szCs w:val="20"/>
              </w:rPr>
              <w:t xml:space="preserve">Thesis position relative to A.1: the thesis cannot report supervised F1 (no complete expert ground-truth yet). It reports instead: (a) human-LLM tone κ = 0.788, which exceeds the κ ≥ 0.60 target standard for exploratory annotation agreement; (b) real ClimateBERT κ = 0.079, confirming construct independence. These metrics are honest and appropriate for the developmental stage of the pipeline.</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A.2 LLM Structured Extraction and Prompt Stability</w:t>
      </w:r>
    </w:p>
    <w:p>
      <w:pPr>
        <w:spacing w:after="80" w:before="8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20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Study</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Approach</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Finding / Metric</w:t>
            </w:r>
          </w:p>
        </w:tc>
        <w:tc>
          <w:tcPr>
            <w:tcW w:type="dxa" w:w="20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Relevance to Thesis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Mishra et al. (2024) — AAAI</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ESG DocQA via LLM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RAG + LLM on ESG reports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Accuracy improvement vs baseline; JSON schema compliance reported</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Direct predecessor for LLM-based ESG extraction. Thesis adds: 7-template comparison + bilingual + tone taxonomy.</w:t>
            </w:r>
          </w:p>
        </w:tc>
      </w:tr>
      <w:tr>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Ni et al. (2023) — ChatReport</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ESG report analysis via LLM</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Prompt-based extraction with schema</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User study + extraction quality</w:t>
            </w:r>
          </w:p>
        </w:tc>
        <w:tc>
          <w:tcPr>
            <w:tcW w:type="dxa" w:w="20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Demonstrates LLM feasibility for ESG disclosure; does not quantify prompt stability across templates.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Schimanski et al. (2023) — ClimateBERT-NetZero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Net-zero target detection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ClimateBERT fine-tuned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F1 = 0.79 for net-zero detection</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Establishes the ClimateBERT validation benchmark the thesis uses in RQ3. The thesis real κ = 0.079 is computed against this model family.</w:t>
            </w:r>
          </w:p>
        </w:tc>
      </w:tr>
      <w:tr>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Garrido-Merchan et al. (2023)</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ClimateBERT + ClimaText fine-tuning</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Fine-tuned ClimateBERT</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F1 improvement over base BERT</w:t>
            </w:r>
          </w:p>
        </w:tc>
        <w:tc>
          <w:tcPr>
            <w:tcW w:type="dxa" w:w="20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Shows domain adaptation gains. Thesis uses ClimateBERT as validator, not as primary classifier.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Auzepy et al. (2023) — PLOS ONE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TCFD reporting evaluation via ClimateBERT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Zero-shot ClimateBERT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κ reported for TCFD category agreement</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Reports inter-rater kappa for automated vs human TCFD labels — most comparable published kappa metric to thesis's real κ = 0.079.</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E2EFDA" w:val="clear"/>
            <w:tcMar>
              <w:top w:type="dxa" w:w="120"/>
              <w:left w:type="dxa" w:w="180"/>
              <w:bottom w:type="dxa" w:w="120"/>
              <w:right w:type="dxa" w:w="180"/>
            </w:tcMar>
          </w:tcPr>
          <w:p>
            <w:r>
              <w:rPr>
                <w:rFonts w:ascii="Arial" w:cs="Arial" w:eastAsia="Arial" w:hAnsi="Arial"/>
                <w:i/>
                <w:iCs/>
                <w:color w:val="222222"/>
                <w:sz w:val="20"/>
                <w:szCs w:val="20"/>
              </w:rPr>
              <w:t xml:space="preserve">Benchmark comparison: Auzepy et al. (2023) report κ values for TCFD-category agreement in the range 0.4–0.6 (moderate) between automated ClimateBERT and human coders. The thesis's proxy κ = 0.645 is in this range; the real κ = 0.079 deliberately falls below it because tone and ClimateBERT labels are measuring different constructs (the theoretical prediction). This framing should appear in Chapter 5.2.</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A.3 Cross-Lingual ABSA Benchmarks</w:t>
      </w:r>
    </w:p>
    <w:p>
      <w:pPr>
        <w:spacing w:after="80" w:before="8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1800"/>
        <w:gridCol w:w="236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Study</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Languages</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Approach</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Metric</w:t>
            </w:r>
          </w:p>
        </w:tc>
        <w:tc>
          <w:tcPr>
            <w:tcW w:type="dxa" w:w="2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Relevance to Thesis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Smid &amp; Kral (2025) — Information Fusion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Survey of cross-lingual ABSA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XLM-R, mBERT, translation-based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F1 ranges: 60–80% across datasets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Establishes cross-lingual ABSA state of practice. Thesis operates in the bilingual IN/EN setting this survey identifies as underserved.</w:t>
            </w:r>
          </w:p>
        </w:tc>
      </w:tr>
      <w:tr>
        <w:tc>
          <w:tcPr>
            <w:tcW w:type="dxa" w:w="2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Hang (2025)</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Supply chain carbon disclosure (multi-language)</w:t>
            </w:r>
          </w:p>
        </w:tc>
        <w:tc>
          <w:tcPr>
            <w:tcW w:type="dxa" w:w="2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LLM-based cross-lingual extraction</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Coverage and consistency metrics</w:t>
            </w:r>
          </w:p>
        </w:tc>
        <w:tc>
          <w:tcPr>
            <w:tcW w:type="dxa" w:w="2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Closest in domain (sustainability + LLM + multi-language). Thesis adds: tone taxonomy + OJK/IDX regulatory alignment.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43C0C" w:sz="4"/>
              <w:left w:val="single" w:color="843C0C" w:sz="4"/>
              <w:bottom w:val="single" w:color="843C0C" w:sz="4"/>
              <w:right w:val="single" w:color="843C0C" w:sz="4"/>
            </w:tcBorders>
            <w:shd w:fill="FCE4D6" w:val="clear"/>
            <w:tcMar>
              <w:top w:type="dxa" w:w="120"/>
              <w:left w:type="dxa" w:w="180"/>
              <w:bottom w:type="dxa" w:w="120"/>
              <w:right w:type="dxa" w:w="180"/>
            </w:tcMar>
          </w:tcPr>
          <w:p>
            <w:r>
              <w:rPr>
                <w:rFonts w:ascii="Arial" w:cs="Arial" w:eastAsia="Arial" w:hAnsi="Arial"/>
                <w:i/>
                <w:iCs/>
                <w:color w:val="222222"/>
                <w:sz w:val="20"/>
                <w:szCs w:val="20"/>
              </w:rPr>
              <w:t xml:space="preserve">The thesis does not yet compute cross-language F1 separately for Indonesian vs English records. This is an outstanding measurement that would strengthen the cross-lingual contribution claim — add it to the Phase 2 future work agenda.</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A.4 Greenwashing Detection Benchmarks</w:t>
      </w:r>
    </w:p>
    <w:p>
      <w:pPr>
        <w:spacing w:after="80" w:before="8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800"/>
        <w:gridCol w:w="3360"/>
      </w:tblGrid>
      <w:tr>
        <w:trPr>
          <w:tblHeader/>
        </w:trPr>
        <w:tc>
          <w:tcPr>
            <w:tcW w:type="dxa" w:w="2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Study</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Metric</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Relevance to Thesis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Gorovaia &amp; Makrominas (2024) — European Financial Management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NLP for greenwashing detection in CSR reports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Precision/recall for greenwashing flags; readability metrics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Most directly comparable to thesis greenwashing contribution. Reports that longer/more positive ESG content correlates with greenwashing risk — the thesis operationalises this as the commitment/outcome ratio.</w:t>
            </w:r>
          </w:p>
        </w:tc>
      </w:tr>
      <w:tr>
        <w:tc>
          <w:tcPr>
            <w:tcW w:type="dxa" w:w="2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Kubinec (2025)</w:t>
            </w:r>
          </w:p>
        </w:tc>
        <w:tc>
          <w:tcPr>
            <w:tcW w:type="dxa" w:w="2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Climate change advertising greenwashing detection — political economy model + NLP</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Classification accuracy for greenwashing ads</w:t>
            </w:r>
          </w:p>
        </w:tc>
        <w:tc>
          <w:tcPr>
            <w:tcW w:type="dxa" w:w="3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Different context (advertising) but similar NLP methodology.</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Sharma (2025)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Corporate social media sustainability messaging analysis — large-scale NLP</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Framing and keyword analysis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Shows corporate communication patterns — complementary context.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8F5" w:val="clear"/>
            <w:tcMar>
              <w:top w:type="dxa" w:w="120"/>
              <w:left w:type="dxa" w:w="180"/>
              <w:bottom w:type="dxa" w:w="120"/>
              <w:right w:type="dxa" w:w="180"/>
            </w:tcMar>
          </w:tcPr>
          <w:p>
            <w:r>
              <w:rPr>
                <w:rFonts w:ascii="Arial" w:cs="Arial" w:eastAsia="Arial" w:hAnsi="Arial"/>
                <w:i/>
                <w:iCs/>
                <w:color w:val="222222"/>
                <w:sz w:val="20"/>
                <w:szCs w:val="20"/>
              </w:rPr>
              <w:t xml:space="preserve">Thesis position: the thesis's greenwashing contribution is the commitment/outcome ratio as a heuristic index, and the tone taxonomy as the architectural substrate for future validated detection. Gorovaia &amp; Makrominas (2024) is the primary published benchmark — cite it explicitly in Chapter 5.3 when discussing the greenwashing theoretical implication.</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A.5 OCR Quality and Document Pipeline Benchmarks</w:t>
      </w:r>
    </w:p>
    <w:p>
      <w:pPr>
        <w:spacing w:after="80" w:before="8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3360"/>
      </w:tblGrid>
      <w:tr>
        <w:trPr>
          <w:tblHeader/>
        </w:trPr>
        <w:tc>
          <w:tcPr>
            <w:tcW w:type="dxa" w:w="2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Study</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OCR Metric</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Relevance to Thesis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Hsu et al. (2022) — JAMIA Open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Healthcare NLP + OCR pipeline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CER &lt; 5% for clean docs; up to 25% for scanned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Establishes that OCR quality propagates into downstream NLP. Thesis's limitation (OCR CER unmeasured) should cite this to justify why it matters.</w:t>
            </w:r>
          </w:p>
        </w:tc>
      </w:tr>
      <w:tr>
        <w:tc>
          <w:tcPr>
            <w:tcW w:type="dxa" w:w="2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Nandurbarkar et al. (2025)</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Table detection from documents</w:t>
            </w:r>
          </w:p>
        </w:tc>
        <w:tc>
          <w:tcPr>
            <w:tcW w:type="dxa" w:w="2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Precision/recall for table extraction</w:t>
            </w:r>
          </w:p>
        </w:tc>
        <w:tc>
          <w:tcPr>
            <w:tcW w:type="dxa" w:w="3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Directly relevant to the table-embedded KPI failure mode identified in thesis.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Wang et al. (2023) — Table of Contents from ESG reports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ESG annual report structure extraction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Coverage/accuracy for ToC extraction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Directly relevant — ESG document structure is the specific challenge. Cite in Chapter 4.2 (RQ1).</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A.6 Reproducibility Standards in NLP / ESG Research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Standard / Study</w:t>
            </w:r>
          </w:p>
        </w:tc>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Reproducibility Requirement</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Thesis Status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ACL reproducibility checklist (standard for NLP venues)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Dataset, code, hyperparameters, seeds publicly available; results reproducible within ±1% of reported metrics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Partially met: 7 prompt templates, model configs, job folders documented. Code not yet public. OCR regeneration requires same source PDFs (publicly available under OJK/IDX).</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Bingler et al. (2021) — SSRN (ClimateBERT cherry-picking)</w:t>
            </w:r>
          </w:p>
        </w:tc>
        <w:tc>
          <w:tcPr>
            <w:tcW w:type="dxa" w:w="3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Prompt documentation, model version specification, evaluation metrics cross-validated</w:t>
            </w:r>
          </w:p>
        </w:tc>
        <w:tc>
          <w:tcPr>
            <w:tcW w:type="dxa" w:w="3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Met: prompt templates versioned; model identifiers recorded in job configs; evaluation metrics computed from artefacts.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Trajanov et al. (2023) — E3S Web of Conferences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Climate NLP reproducibility: model comparison with fixed test sets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Partially met: 4 models compared; test sets are not yet fixed (ongoing annotation). Fix at submission.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43C0C" w:sz="4"/>
              <w:left w:val="single" w:color="843C0C" w:sz="4"/>
              <w:bottom w:val="single" w:color="843C0C" w:sz="4"/>
              <w:right w:val="single" w:color="843C0C" w:sz="4"/>
            </w:tcBorders>
            <w:shd w:fill="FCE4D6" w:val="clear"/>
            <w:tcMar>
              <w:top w:type="dxa" w:w="120"/>
              <w:left w:type="dxa" w:w="180"/>
              <w:bottom w:type="dxa" w:w="120"/>
              <w:right w:type="dxa" w:w="180"/>
            </w:tcMar>
          </w:tcPr>
          <w:p>
            <w:r>
              <w:rPr>
                <w:rFonts w:ascii="Arial" w:cs="Arial" w:eastAsia="Arial" w:hAnsi="Arial"/>
                <w:i/>
                <w:iCs/>
                <w:color w:val="222222"/>
                <w:sz w:val="20"/>
                <w:szCs w:val="20"/>
              </w:rPr>
              <w:t xml:space="preserve">Action item before submission: publish the 7 prompt templates and JSON output schema to a public repository (GitHub or OSF). This upgrades the reproducibility claim from 'documented' to 'independently reproducible' — the ACL standard threshold.</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A.7 Summary: How Thesis Metrics Compare to Published Benchmarks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300"/>
        <w:gridCol w:w="22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Thesis Value</w:t>
            </w:r>
          </w:p>
        </w:tc>
        <w:tc>
          <w:tcPr>
            <w:tcW w:type="dxa" w:w="23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Published Benchmark Range</w:t>
            </w:r>
          </w:p>
        </w:tc>
        <w:tc>
          <w:tcPr>
            <w:tcW w:type="dxa" w:w="22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Assessment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Human-LLM tone κ (κ_human-LLM)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0.788 (n=1,610)</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0.60–0.80 (typical for exploratory annotation; Auzepy et al.)</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 Meets or exceeds target threshold</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Real ClimateBERT κ (construct orthogonality)</w:t>
            </w:r>
          </w:p>
        </w:tc>
        <w:tc>
          <w:tcPr>
            <w:tcW w:type="dxa" w:w="2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0.079 (n=4,853)</w:t>
            </w:r>
          </w:p>
        </w:tc>
        <w:tc>
          <w:tcPr>
            <w:tcW w:type="dxa" w:w="2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N/A — this is a novel comparison; not reported in published work</w:t>
            </w:r>
          </w:p>
        </w:tc>
        <w:tc>
          <w:tcPr>
            <w:tcW w:type="dxa" w:w="22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 Novel finding; framed as positive construct-validity result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Proxy κ (LLM self-consistency)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0.645</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0.40–0.65 (moderate IAA in related work)</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 Expected range; appropriately flagged as inflated vs real κ</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Parse success rate (best model)</w:t>
            </w:r>
          </w:p>
        </w:tc>
        <w:tc>
          <w:tcPr>
            <w:tcW w:type="dxa" w:w="2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0.959 (GPT-oss-20b)</w:t>
            </w:r>
          </w:p>
        </w:tc>
        <w:tc>
          <w:tcPr>
            <w:tcW w:type="dxa" w:w="2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Not systematically reported in ESG LLM papers</w:t>
            </w:r>
          </w:p>
        </w:tc>
        <w:tc>
          <w:tcPr>
            <w:tcW w:type="dxa" w:w="22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 Competitive; establishes schema compliance benchmark</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Extraction yield (best model)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12.52 records/run (Trinity)</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Not systematically reported</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 Competitive for un-constrained extraction</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Missing-tone rate (CoT templates)</w:t>
            </w:r>
          </w:p>
        </w:tc>
        <w:tc>
          <w:tcPr>
            <w:tcW w:type="dxa" w:w="2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Lowest among 7 templates</w:t>
            </w:r>
          </w:p>
        </w:tc>
        <w:tc>
          <w:tcPr>
            <w:tcW w:type="dxa" w:w="2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Not reported in comparable work</w:t>
            </w:r>
          </w:p>
        </w:tc>
        <w:tc>
          <w:tcPr>
            <w:tcW w:type="dxa" w:w="22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 CoT advantage confirmed; needs percentage cited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Novel aspect clusters (Indonesian ESG vocabulary)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46 of 52 aspects (88.5%)</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 published Indonesian ESG vocabulary benchmark exists</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 Pioneer contribution; no benchmark available — cite as gap</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Supervised ABSA F1</w:t>
            </w:r>
          </w:p>
        </w:tc>
        <w:tc>
          <w:tcPr>
            <w:tcW w:type="dxa" w:w="2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Not yet computed (no full ground truth)</w:t>
            </w:r>
          </w:p>
        </w:tc>
        <w:tc>
          <w:tcPr>
            <w:tcW w:type="dxa" w:w="2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70–85% F1 for domain-adapted BERT ABSA</w:t>
            </w:r>
          </w:p>
        </w:tc>
        <w:tc>
          <w:tcPr>
            <w:tcW w:type="dxa" w:w="22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 Outstanding — addressed in Phase 5 future work</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OCR character error rate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Not yet measured</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CER &lt; 5% (clean PDFs), 5–25% (scanned; Hsu et al.)</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 Outstanding — addressed in Phase 1 future work</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Human-human IAA κ (gold standard)</w:t>
            </w:r>
          </w:p>
        </w:tc>
        <w:tc>
          <w:tcPr>
            <w:tcW w:type="dxa" w:w="2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Not yet computed (single annotator)</w:t>
            </w:r>
          </w:p>
        </w:tc>
        <w:tc>
          <w:tcPr>
            <w:tcW w:type="dxa" w:w="2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κ ≥ 0.60 as threshold (standard)</w:t>
            </w:r>
          </w:p>
        </w:tc>
        <w:tc>
          <w:tcPr>
            <w:tcW w:type="dxa" w:w="22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 Outstanding — addressed in Phase 1 future work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E2EFDA" w:val="clear"/>
            <w:tcMar>
              <w:top w:type="dxa" w:w="120"/>
              <w:left w:type="dxa" w:w="180"/>
              <w:bottom w:type="dxa" w:w="120"/>
              <w:right w:type="dxa" w:w="180"/>
            </w:tcMar>
          </w:tcPr>
          <w:p>
            <w:r>
              <w:rPr>
                <w:rFonts w:ascii="Arial" w:cs="Arial" w:eastAsia="Arial" w:hAnsi="Arial"/>
                <w:i/>
                <w:iCs/>
                <w:color w:val="222222"/>
                <w:sz w:val="20"/>
                <w:szCs w:val="20"/>
              </w:rPr>
              <w:t xml:space="preserve">Overall assessment: the thesis meets its stated methodological targets (κ_human = 0.788 &gt; 0.60; real κ = 0.079 confirms theoretical prediction; 6 failure modes documented). The three outstanding metrics (supervised F1, OCR CER, human-human IAA) are each addressed in a specific future-work phase. This is an honest and defensible position for an exploratory pipeline study without complete expert-labeled ground truth.</w:t>
            </w:r>
          </w:p>
        </w:tc>
      </w:tr>
    </w:tbl>
    <w:p>
      <w:pPr>
        <w:spacing w:after="80" w:before="80"/>
      </w:pPr>
      <w:r>
        <w:t xml:space="preserve"/>
      </w:r>
    </w:p>
    <w:p>
      <w:pPr>
        <w:spacing w:after="80" w:before="80"/>
      </w:pPr>
      <w:r>
        <w:t xml:space="preserve"/>
      </w:r>
    </w:p>
    <w:p>
      <w:pPr>
        <w:pBdr>
          <w:top w:val="single" w:color="2E75B6" w:sz="4" w:space="4"/>
        </w:pBdr>
        <w:spacing w:after="120" w:before="240"/>
      </w:pPr>
      <w:r>
        <w:rPr>
          <w:rFonts w:ascii="Arial" w:cs="Arial" w:eastAsia="Arial" w:hAnsi="Arial"/>
          <w:i/>
          <w:iCs/>
          <w:color w:val="BFBFBF"/>
          <w:sz w:val="18"/>
          <w:szCs w:val="18"/>
        </w:rPr>
        <w:t xml:space="preserve">Document prepared for: Daris Dzakwan Hoesien · Oulu University · Thesis Chapters 4–6 Coherent Structure and Academic Benchmarks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jc w:val="center"/>
    </w:pPr>
    <w:r>
      <w:rPr>
        <w:rFonts w:ascii="Arial" w:cs="Arial" w:eastAsia="Arial" w:hAnsi="Arial"/>
        <w:color w:val="BFBFBF"/>
        <w:sz w:val="18"/>
        <w:szCs w:val="18"/>
      </w:rPr>
      <w:t xml:space="preserve">Daris Dzakwan Hoesien · Oulu University  |  Page </w:t>
    </w:r>
    <w:r>
      <w:rPr>
        <w:rFonts w:ascii="Arial" w:cs="Arial" w:eastAsia="Arial" w:hAnsi="Arial"/>
        <w:color w:val="BFBFB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right"/>
    </w:pPr>
    <w:r>
      <w:rPr>
        <w:rFonts w:ascii="Arial" w:cs="Arial" w:eastAsia="Arial" w:hAnsi="Arial"/>
        <w:i/>
        <w:iCs/>
        <w:color w:val="2E75B6"/>
        <w:sz w:val="18"/>
        <w:szCs w:val="18"/>
      </w:rPr>
      <w:t xml:space="preserve">ESG ABSA Thesis — Chapter 4–6 Structure &amp; Benchmarks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2026-05-20T08:48:19.523Z</dcterms:created>
  <dcterms:modified xsi:type="dcterms:W3CDTF">2026-05-20T08:48:19.536Z</dcterms:modified>
</cp:coreProperties>
</file>

<file path=docProps/custom.xml><?xml version="1.0" encoding="utf-8"?>
<Properties xmlns="http://schemas.openxmlformats.org/officeDocument/2006/custom-properties" xmlns:vt="http://schemas.openxmlformats.org/officeDocument/2006/docPropsVTypes"/>
</file>