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3864"/>
          <w:sz w:val="36"/>
          <w:szCs w:val="36"/>
        </w:rPr>
        <w:t xml:space="preserve">Robust Greenwashing Detection and Actionable ESG Analysis</w:t>
      </w:r>
    </w:p>
    <w:p>
      <w:pPr>
        <w:spacing w:after="100" w:before="100"/>
        <w:jc w:val="center"/>
      </w:pPr>
      <w:r>
        <w:rPr>
          <w:rFonts w:ascii="Arial" w:cs="Arial" w:eastAsia="Arial" w:hAnsi="Arial"/>
          <w:b/>
          <w:bCs/>
          <w:color w:val="1F3864"/>
          <w:sz w:val="36"/>
          <w:szCs w:val="36"/>
        </w:rPr>
        <w:t xml:space="preserve">with Aspect-Based Sentiment Analysis</w:t>
      </w:r>
    </w:p>
    <w:p>
      <w:pPr>
        <w:spacing w:after="80" w:before="80"/>
      </w:pPr>
      <w:r>
        <w:t xml:space="preserve"/>
      </w:r>
    </w:p>
    <w:p>
      <w:pPr>
        <w:jc w:val="center"/>
      </w:pPr>
      <w:r>
        <w:rPr>
          <w:rFonts w:ascii="Arial" w:cs="Arial" w:eastAsia="Arial" w:hAnsi="Arial"/>
          <w:color w:val="2E75B6"/>
          <w:sz w:val="24"/>
          <w:szCs w:val="24"/>
        </w:rPr>
        <w:t xml:space="preserve">Daris Dzakwan Hoesien  ·  Oulu University, Finland</w:t>
      </w:r>
    </w:p>
    <w:p>
      <w:pPr>
        <w:spacing w:after="80" w:before="80"/>
      </w:pPr>
      <w:r>
        <w:t xml:space="preserve"/>
      </w:r>
    </w:p>
    <w:p>
      <w:pPr>
        <w:pBdr>
          <w:bottom w:val="single" w:color="2E75B6" w:sz="4" w:space="1"/>
        </w:pBdr>
        <w:spacing w:after="480" w:before="80"/>
        <w:jc w:val="center"/>
      </w:pPr>
      <w:r>
        <w:rPr>
          <w:rFonts w:ascii="Arial" w:cs="Arial" w:eastAsia="Arial" w:hAnsi="Arial"/>
          <w:b/>
          <w:bCs/>
          <w:color w:val="2E75B6"/>
          <w:sz w:val="26"/>
          <w:szCs w:val="26"/>
        </w:rPr>
        <w:t xml:space="preserve">Chapters 4–6: Coherent Structure, Key Metrics, and Academic Benchmarks</w:t>
      </w:r>
    </w:p>
    <w:p>
      <w:r>
        <w:br w:type="page"/>
      </w:r>
    </w:p>
    <w:p>
      <w:pPr>
        <w:pStyle w:val="Heading1"/>
        <w:spacing w:after="200" w:before="480"/>
      </w:pPr>
      <w:r>
        <w:rPr>
          <w:rFonts w:ascii="Arial" w:cs="Arial" w:eastAsia="Arial" w:hAnsi="Arial"/>
          <w:b/>
          <w:bCs/>
          <w:color w:val="1F3864"/>
          <w:sz w:val="32"/>
          <w:szCs w:val="32"/>
        </w:rPr>
        <w:t xml:space="preserve">Reading Guide: How This Document Works</w:t>
      </w:r>
    </w:p>
    <w:p>
      <w:pPr>
        <w:spacing w:after="100" w:before="100"/>
      </w:pPr>
      <w:r>
        <w:rPr>
          <w:rFonts w:ascii="Arial" w:cs="Arial" w:eastAsia="Arial" w:hAnsi="Arial"/>
          <w:color w:val="222222"/>
          <w:sz w:val="22"/>
          <w:szCs w:val="22"/>
        </w:rPr>
        <w:t xml:space="preserve">This document provides (a) a coherent, cross-referenced structure for Chapters 4, 5, and 6 of the thesis, tied to the six research questions (RQs) and the evidence pipeline described in the narrative; and (b) academic journal benchmarks against which the current pipeline should be evaluated. Every subsection below specifies what goes in, what comes out, which artefacts are cited, and how the writing connects forward and backward through the thesis spine.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Key convention: numbers in parentheses (e.g., 078, 079) refer to the integration-diagram connection IDs from the thesis narrative document. Metrics shaded in green represent targets already met; orange indicates outstanding items.</w:t>
            </w:r>
          </w:p>
        </w:tc>
      </w:tr>
    </w:tbl>
    <w:p>
      <w:r>
        <w:br w:type="page"/>
      </w:r>
    </w:p>
    <w:p>
      <w:pPr>
        <w:pStyle w:val="Heading1"/>
        <w:spacing w:after="200" w:before="480"/>
      </w:pPr>
      <w:r>
        <w:rPr>
          <w:rFonts w:ascii="Arial" w:cs="Arial" w:eastAsia="Arial" w:hAnsi="Arial"/>
          <w:b/>
          <w:bCs/>
          <w:color w:val="1F3864"/>
          <w:sz w:val="32"/>
          <w:szCs w:val="32"/>
        </w:rPr>
        <w:t xml:space="preserve">IV. Implementation and Results</w:t>
      </w:r>
    </w:p>
    <w:p>
      <w:pPr>
        <w:spacing w:after="100" w:before="100"/>
      </w:pPr>
      <w:r>
        <w:rPr>
          <w:rFonts w:ascii="Arial" w:cs="Arial" w:eastAsia="Arial" w:hAnsi="Arial"/>
          <w:color w:val="222222"/>
          <w:sz w:val="22"/>
          <w:szCs w:val="22"/>
        </w:rPr>
        <w:t xml:space="preserve">Chapter 4 translates the methodology design (Chapter 3) into empirical findings by reporting five subsections in sequence. Each subsection answers one or two research questions, cites specific artefact files, and provides the numerical foundation that Chapter 5 will interpret. The chapter closes with a one-page results synthesis that foreshadows the four interpretive arguments in Chapter 5.</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4.1 System Implementation Overview</w:t>
      </w:r>
    </w:p>
    <w:p>
      <w:pPr>
        <w:spacing w:after="100" w:before="100"/>
      </w:pPr>
      <w:r>
        <w:rPr>
          <w:rFonts w:ascii="Arial" w:cs="Arial" w:eastAsia="Arial" w:hAnsi="Arial"/>
          <w:color w:val="222222"/>
          <w:sz w:val="22"/>
          <w:szCs w:val="22"/>
        </w:rPr>
        <w:t xml:space="preserve">Purpose: Establish the scope and completeness of the implemented system before presenting results by question.</w:t>
      </w:r>
    </w:p>
    <w:p>
      <w:pPr>
        <w:pStyle w:val="Heading3"/>
        <w:spacing w:after="120" w:before="240"/>
      </w:pPr>
      <w:r>
        <w:rPr>
          <w:rFonts w:ascii="Arial" w:cs="Arial" w:eastAsia="Arial" w:hAnsi="Arial"/>
          <w:b/>
          <w:bCs/>
          <w:color w:val="1F3864"/>
          <w:sz w:val="24"/>
          <w:szCs w:val="24"/>
        </w:rPr>
        <w:t xml:space="preserve">What goes in</w:t>
      </w:r>
    </w:p>
    <w:p>
      <w:pPr>
        <w:spacing w:after="100" w:before="100"/>
      </w:pPr>
      <w:r>
        <w:rPr>
          <w:rFonts w:ascii="Arial" w:cs="Arial" w:eastAsia="Arial" w:hAnsi="Arial"/>
          <w:color w:val="222222"/>
          <w:sz w:val="22"/>
          <w:szCs w:val="22"/>
        </w:rPr>
        <w:t xml:space="preserve">Artefacts: ocr_processing_summary.csv (connection 078), esg_records.json (078), background job folders — 156 jobs (078).</w:t>
      </w:r>
    </w:p>
    <w:p>
      <w:pPr>
        <w:pStyle w:val="Heading3"/>
        <w:spacing w:after="120" w:before="240"/>
      </w:pPr>
      <w:r>
        <w:rPr>
          <w:rFonts w:ascii="Arial" w:cs="Arial" w:eastAsia="Arial" w:hAnsi="Arial"/>
          <w:b/>
          <w:bCs/>
          <w:color w:val="1F3864"/>
          <w:sz w:val="24"/>
          <w:szCs w:val="24"/>
        </w:rPr>
        <w:t xml:space="preserve">What to write</w:t>
      </w:r>
    </w:p>
    <w:p>
      <w:pPr>
        <w:spacing w:after="100" w:before="100"/>
      </w:pPr>
      <w:r>
        <w:rPr>
          <w:rFonts w:ascii="Arial" w:cs="Arial" w:eastAsia="Arial" w:hAnsi="Arial"/>
          <w:color w:val="222222"/>
          <w:sz w:val="22"/>
          <w:szCs w:val="22"/>
        </w:rPr>
        <w:t xml:space="preserve">Open with a one-paragraph system description: a Python + Streamlit multi-page research application processing 23 Indonesian listed-company sustainability reports across 7 prompt templates and 2–4 LLM backend configurations. Present Table 4.1 (system scope summary) drawn from the OCR audit and job folders.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3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Primary Artefact</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Source documents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23 sustainability reports (OJK/IDX-regulated)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ocr_processing_summary.csv</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Pages OCR-processed</w:t>
            </w:r>
          </w:p>
        </w:tc>
        <w:tc>
          <w:tcPr>
            <w:tcW w:type="dxa" w:w="3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Full document set; page markdown files saved</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pages/ directory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extraction runs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110 successful runs → 332 extracted records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esg_records.json</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Prompt templates</w:t>
            </w:r>
          </w:p>
        </w:tc>
        <w:tc>
          <w:tcPr>
            <w:tcW w:type="dxa" w:w="3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7 templates (zero-shot, few-shot, CoT; EN + ID)</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prompt/ directory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configurations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4 configurations tested (2 primary)</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model_stability_summary.csv</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Background jobs completed</w:t>
            </w:r>
          </w:p>
        </w:tc>
        <w:tc>
          <w:tcPr>
            <w:tcW w:type="dxa" w:w="3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156 jobs with full provenance logs</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jobs/ directory (156 folders)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Human-reviewed records</w:t>
            </w:r>
          </w:p>
        </w:tc>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1,610 (silver dataset; 1 annotator vs LLM)</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tone_records_flat.csv</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 records processed</w:t>
            </w:r>
          </w:p>
        </w:tc>
        <w:tc>
          <w:tcPr>
            <w:tcW w:type="dxa" w:w="3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4,853 of 5,146 (94.3% complete)</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climatebert_proxy_agreement_summary.csv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4"/>
              <w:bottom w:val="single" w:color="843C0C" w:sz="4"/>
              <w:right w:val="single" w:color="843C0C" w:sz="4"/>
            </w:tcBorders>
            <w:shd w:fill="FCE4D6" w:val="clear"/>
            <w:tcMar>
              <w:top w:type="dxa" w:w="120"/>
              <w:left w:type="dxa" w:w="180"/>
              <w:bottom w:type="dxa" w:w="120"/>
              <w:right w:type="dxa" w:w="180"/>
            </w:tcMar>
          </w:tcPr>
          <w:p>
            <w:r>
              <w:rPr>
                <w:rFonts w:ascii="Arial" w:cs="Arial" w:eastAsia="Arial" w:hAnsi="Arial"/>
                <w:i/>
                <w:iCs/>
                <w:color w:val="222222"/>
                <w:sz w:val="20"/>
                <w:szCs w:val="20"/>
              </w:rPr>
              <w:t xml:space="preserve">Limitation flag (for Chapter 5): OCR character error rate has not yet been formally computed. This is the most significant outstanding measurement gap for RQ1.</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4.2 Results: RQ1 and RQ2 — Pipeline Feasibility and Schema Operationalisation</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4.2.1 RQ1 — PDF-to-Structured ESG Transformation</w:t>
      </w:r>
    </w:p>
    <w:p>
      <w:pPr>
        <w:spacing w:after="100" w:before="100"/>
      </w:pPr>
      <w:r>
        <w:rPr>
          <w:rFonts w:ascii="Arial" w:cs="Arial" w:eastAsia="Arial" w:hAnsi="Arial"/>
          <w:color w:val="222222"/>
          <w:sz w:val="22"/>
          <w:szCs w:val="22"/>
        </w:rPr>
        <w:t xml:space="preserve">Artefacts: ocr_processing_summary.csv (079), esg_records.json (079), PDF-by-prompt matrix (079).</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Bilingual Indonesian/English sustainability reports can be converted into provenance-rich, sentence-level ESG records. The pipeline produced 332 extracted records from 110 successful runs across 23 source documents. Every record carries four provenance fields (source_target, prompt, model, timestamp) enabling complete audit trail from ESG claim back to source page.</w:t>
      </w:r>
    </w:p>
    <w:p>
      <w:pPr>
        <w:spacing w:after="100" w:before="100"/>
      </w:pPr>
      <w:r>
        <w:rPr>
          <w:rFonts w:ascii="Arial" w:cs="Arial" w:eastAsia="Arial" w:hAnsi="Arial"/>
          <w:color w:val="222222"/>
          <w:sz w:val="22"/>
          <w:szCs w:val="22"/>
        </w:rPr>
        <w:t xml:space="preserve">Present Figure 4.1: the PDF-by-prompt matrix (heatmap, documents × templates, cell = record count). Note that some cells are zero — these are coverage gaps, not system failures, and they become data points for the stability analysis in 4.5.</w:t>
      </w:r>
    </w:p>
    <w:p>
      <w:pPr>
        <w:spacing w:after="100" w:before="100"/>
      </w:pPr>
      <w:r>
        <w:rPr>
          <w:rFonts w:ascii="Arial" w:cs="Arial" w:eastAsia="Arial" w:hAnsi="Arial"/>
          <w:color w:val="222222"/>
          <w:sz w:val="22"/>
          <w:szCs w:val="22"/>
        </w:rPr>
        <w:t xml:space="preserve">Present Figure 4.2: records-per-run distribution by template. Discuss that data.md produces high yield (raw extraction, no tone elicitation) while structured tone templates produce fewer but more schema-compliant records.</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4.2.2 RQ2 — Four-Dimensional ABSA Schema</w:t>
      </w:r>
    </w:p>
    <w:p>
      <w:pPr>
        <w:spacing w:after="100" w:before="100"/>
      </w:pPr>
      <w:r>
        <w:rPr>
          <w:rFonts w:ascii="Arial" w:cs="Arial" w:eastAsia="Arial" w:hAnsi="Arial"/>
          <w:color w:val="222222"/>
          <w:sz w:val="22"/>
          <w:szCs w:val="22"/>
        </w:rPr>
        <w:t xml:space="preserve">Artefacts: tone_records_flat.csv (079), tone_esg_crosstab.csv (079).</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The four-dimensional schema (aspect, ESG pillar, sentiment, tone) successfully differentiates semantically positive commitment statements from neutral outcome statements, confirming that tone and sentiment are analytically independent.</w:t>
      </w:r>
    </w:p>
    <w:p>
      <w:pPr>
        <w:spacing w:after="100" w:before="100"/>
      </w:pPr>
      <w:r>
        <w:rPr>
          <w:rFonts w:ascii="Arial" w:cs="Arial" w:eastAsia="Arial" w:hAnsi="Arial"/>
          <w:color w:val="222222"/>
          <w:sz w:val="22"/>
          <w:szCs w:val="22"/>
        </w:rPr>
        <w:t xml:space="preserve">Present Table 4.2: tone distribution across all 332 records. Present Table 4.3: ESG pillar distribution. Present Figure 4.3 (tone distribution bar chart) and Figure 4.4 (pillar distribution).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Tone Category</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c>
          <w:tcPr>
            <w:tcW w:type="dxa" w:w="4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Commitment</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115</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34.6%</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Forward-looking intent statements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Action</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58</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17.5%</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Implemented operational activities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Outcome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15.1%</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Retrospective, measurable results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None</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48</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14.5%</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Contextual / non-ESG-bearing text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Missing</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61</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18.4%</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Schema failure — extraction incomplete</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TOTAL</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332</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500"/>
        <w:gridCol w:w="44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ESG Pillar</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of Total</w:t>
            </w:r>
          </w:p>
        </w:tc>
        <w:tc>
          <w:tcPr>
            <w:tcW w:type="dxa" w:w="4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Environmental (E)</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179</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53.9%</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Dominant — reflects climate focus of sampled reports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Governance (G)</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121</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36.4%</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Second — OJK/IDX governance disclosure requirements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Social (S)</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4</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1.2%</w:t>
            </w:r>
          </w:p>
        </w:tc>
        <w:tc>
          <w:tcPr>
            <w:tcW w:type="dxa" w:w="4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Near-absent — significant underrepresentation flag</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None / Missing</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28</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8.4%</w:t>
            </w:r>
          </w:p>
        </w:tc>
        <w:tc>
          <w:tcPr>
            <w:tcW w:type="dxa" w:w="4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Records without pillar assignment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The commitment/outcome ratio of 2.3:1 (115 vs 50) is the central finding of the thesis. Resist interpreting it here — that is Chapter 5's work. In Chapter 4, present the numbers only.</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4.3 Results: RQ3 and RQ4 — Tone vs ClimateBERT and Failure Diagnostics</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4.3.1 RQ3 — Tone-Based ABSA vs ClimateBERT-Style Classification</w:t>
      </w:r>
    </w:p>
    <w:p>
      <w:pPr>
        <w:spacing w:after="100" w:before="100"/>
      </w:pPr>
      <w:r>
        <w:rPr>
          <w:rFonts w:ascii="Arial" w:cs="Arial" w:eastAsia="Arial" w:hAnsi="Arial"/>
          <w:color w:val="222222"/>
          <w:sz w:val="22"/>
          <w:szCs w:val="22"/>
        </w:rPr>
        <w:t xml:space="preserve">Artefacts: climatebert_proxy_agreement_summary.csv (080), tone_climatebert_label_crosstab.csv (080).</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Tone-based ABSA labels and ClimateBERT climate-topic labels are near-orthogonal (real Cohen's κ = 0.079, n = 4,853), despite similar percent agreement (82.2%). The proxy comparison (κ = 0.645) is inflated by internal LLM consistency and should not be used as the primary validity metric.</w:t>
      </w:r>
    </w:p>
    <w:p>
      <w:pPr>
        <w:spacing w:after="100" w:before="100"/>
      </w:pPr>
      <w:r>
        <w:rPr>
          <w:rFonts w:ascii="Arial" w:cs="Arial" w:eastAsia="Arial" w:hAnsi="Arial"/>
          <w:color w:val="222222"/>
          <w:sz w:val="22"/>
          <w:szCs w:val="22"/>
        </w:rPr>
        <w:t xml:space="preserve">Present Table 4.4: the two-row agreement metrics comparison. This is the most important single table in the validation layer — display it prominently.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500"/>
        <w:gridCol w:w="1800"/>
        <w:gridCol w:w="24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Comparison Type</w:t>
            </w:r>
          </w:p>
        </w:tc>
        <w:tc>
          <w:tcPr>
            <w:tcW w:type="dxa" w:w="1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 records</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Agreement</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Cohen's κ</w:t>
            </w:r>
          </w:p>
        </w:tc>
        <w:tc>
          <w:tcPr>
            <w:tcW w:type="dxa" w:w="24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Proxy (LLM vs LLM)</w:t>
            </w:r>
          </w:p>
        </w:tc>
        <w:tc>
          <w:tcPr>
            <w:tcW w:type="dxa" w:w="1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332</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83.7%</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0.645 (moderate)</w:t>
            </w:r>
          </w:p>
        </w:tc>
        <w:tc>
          <w:tcPr>
            <w:tcW w:type="dxa" w:w="24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Inflated — same LLM, internal consistency</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Real (Tone vs ClimateBERT)</w:t>
            </w:r>
          </w:p>
        </w:tc>
        <w:tc>
          <w:tcPr>
            <w:tcW w:type="dxa" w:w="1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4,853</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82.2%</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0.079 (poor)</w:t>
            </w:r>
          </w:p>
        </w:tc>
        <w:tc>
          <w:tcPr>
            <w:tcW w:type="dxa" w:w="24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Near-orthogonal — two independent systems</w:t>
            </w:r>
          </w:p>
        </w:tc>
      </w:tr>
    </w:tbl>
    <w:p>
      <w:pPr>
        <w:spacing w:after="80" w:before="80"/>
      </w:pPr>
      <w:r>
        <w:t xml:space="preserve"/>
      </w:r>
    </w:p>
    <w:p>
      <w:pPr>
        <w:spacing w:after="100" w:before="100"/>
      </w:pPr>
      <w:r>
        <w:rPr>
          <w:rFonts w:ascii="Arial" w:cs="Arial" w:eastAsia="Arial" w:hAnsi="Arial"/>
          <w:color w:val="222222"/>
          <w:sz w:val="22"/>
          <w:szCs w:val="22"/>
        </w:rPr>
        <w:t xml:space="preserve">Present Figure 4.5: the tone × ClimateBERT label crosstab (heatmap or table). Highlight the commitment × climate-commitment dominant cell (n = 91) as the only meaningful intersection. Explain that the scatter of outcome records across 'other' and governance labels confirms that ClimateBERT does not distinguish claim maturity (commitment vs outcome) — it only identifies topic relevance (climate-related vs not).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Do NOT interpret the low kappa as a failure here. State it factually: 'the low kappa confirms that the two systems are measuring different constructs.' Save the argument for Chapter 5.2.</w:t>
            </w:r>
          </w:p>
        </w:tc>
      </w:tr>
    </w:tbl>
    <w:p>
      <w:pPr>
        <w:spacing w:after="80" w:before="80"/>
      </w:pPr>
      <w:r>
        <w:t xml:space="preserve"/>
      </w:r>
    </w:p>
    <w:p>
      <w:pPr>
        <w:pStyle w:val="Heading3"/>
        <w:spacing w:after="120" w:before="240"/>
      </w:pPr>
      <w:r>
        <w:rPr>
          <w:rFonts w:ascii="Arial" w:cs="Arial" w:eastAsia="Arial" w:hAnsi="Arial"/>
          <w:b/>
          <w:bCs/>
          <w:color w:val="1F3864"/>
          <w:sz w:val="24"/>
          <w:szCs w:val="24"/>
        </w:rPr>
        <w:t xml:space="preserve">4.3.2 RQ4 — Failure Mode Diagnostics</w:t>
      </w:r>
    </w:p>
    <w:p>
      <w:pPr>
        <w:spacing w:after="100" w:before="100"/>
      </w:pPr>
      <w:r>
        <w:rPr>
          <w:rFonts w:ascii="Arial" w:cs="Arial" w:eastAsia="Arial" w:hAnsi="Arial"/>
          <w:color w:val="222222"/>
          <w:sz w:val="22"/>
          <w:szCs w:val="22"/>
        </w:rPr>
        <w:t xml:space="preserve">Artefacts: failure_mode_counts.csv (080), ontology_coverage.csv (081).</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The diagnostics framework identified six primary failure modes, with missing tone fields (≈ 61 records, 18.4%) as the dominant failure, followed by schema drift (commitment in sentiment field, 18 records), Indonesian modal verb misclassification, table-embedded KPI failures, passive voice misclassification, and bilingual code-switching failures.</w:t>
      </w:r>
    </w:p>
    <w:p>
      <w:pPr>
        <w:spacing w:after="100" w:before="100"/>
      </w:pPr>
      <w:r>
        <w:rPr>
          <w:rFonts w:ascii="Arial" w:cs="Arial" w:eastAsia="Arial" w:hAnsi="Arial"/>
          <w:color w:val="222222"/>
          <w:sz w:val="22"/>
          <w:szCs w:val="22"/>
        </w:rPr>
        <w:t xml:space="preserve">Present Table 4.5: the six failure modes with count, root cause, and remediation.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2800"/>
        <w:gridCol w:w="2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Failure Mode</w:t>
            </w:r>
          </w:p>
        </w:tc>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Root Cause</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Remediation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Missing tone field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~61 records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Prompt did not enforce tone as mandatory field</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Mandatory-field enforcement + post-processing validator</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Schema drift (commitment→sentiment)</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18 records</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LLM schema confusion between tone and sentiment fields</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Add JSON schema with strict enum constraints in prompt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Indonesian modal verb misclassification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~12 records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akan, berkomitmen, berupaya mapped to wrong tone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Bilingual tone lexicon with Indonesian modal verb list</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Table-embedded KPI failures</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~9 records</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Numeric KPI in table cell without surrounding prose</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Table-aware extraction with cell-context injection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Passive voice misclassification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~7 records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Passive Indonesian constructions classified as outcome</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Passive voice detection in preprocessing</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Bilingual code-switching failures</w:t>
            </w:r>
          </w:p>
        </w:tc>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 records</w:t>
            </w:r>
          </w:p>
        </w:tc>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Mixed IN/EN sentence assigned wrong language processing path</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Language-detection per sentence before extraction</w:t>
            </w:r>
          </w:p>
        </w:tc>
      </w:tr>
    </w:tbl>
    <w:p>
      <w:pPr>
        <w:spacing w:after="80" w:before="80"/>
      </w:pPr>
      <w:r>
        <w:t xml:space="preserve"/>
      </w:r>
    </w:p>
    <w:p>
      <w:pPr>
        <w:spacing w:after="100" w:before="100"/>
      </w:pPr>
      <w:r>
        <w:rPr>
          <w:rFonts w:ascii="Arial" w:cs="Arial" w:eastAsia="Arial" w:hAnsi="Arial"/>
          <w:color w:val="222222"/>
          <w:sz w:val="22"/>
          <w:szCs w:val="22"/>
        </w:rPr>
        <w:t xml:space="preserve">Present Figure 4.6: aspect-by-tone heatmap (52 extracted aspects × tone categories). Discuss that all 52 aspects are now mapped to GRI/SASB-aligned ontology paths, and that 46 required creation of new semantic clusters — evidence for the Indonesian ESG vocabulary contribution.</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4.4 Results: RQ5 and RQ6 — Reproducibility and Stability</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4.4.1 RQ5 — Reproducibility and Auditability</w:t>
      </w:r>
    </w:p>
    <w:p>
      <w:pPr>
        <w:spacing w:after="100" w:before="100"/>
      </w:pPr>
      <w:r>
        <w:rPr>
          <w:rFonts w:ascii="Arial" w:cs="Arial" w:eastAsia="Arial" w:hAnsi="Arial"/>
          <w:color w:val="222222"/>
          <w:sz w:val="22"/>
          <w:szCs w:val="22"/>
        </w:rPr>
        <w:t xml:space="preserve">Artefacts: background job folders — 156 folders (079), Integration Mermaid page 6_0 (079), static visualisation artefacts.</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The pipeline produces 1,049 named artefacts across 156 completed jobs, each job folder containing config.json, status.json, control.json, and events.jsonl sufficient for independent reproduction. The Integration Mermaid dashboard maps every written claim in every chapter to its evidential artefact.</w:t>
      </w:r>
    </w:p>
    <w:p>
      <w:pPr>
        <w:spacing w:after="100" w:before="100"/>
      </w:pPr>
      <w:r>
        <w:rPr>
          <w:rFonts w:ascii="Arial" w:cs="Arial" w:eastAsia="Arial" w:hAnsi="Arial"/>
          <w:color w:val="222222"/>
          <w:sz w:val="22"/>
          <w:szCs w:val="22"/>
        </w:rPr>
        <w:t xml:space="preserve">Present Table 4.6: the reproducibility artefact inventory. Present Figure 4.7: the five static visualisation outputs (tone_distribution.png, esg_by_tone.png, climatebert_label_by_tone.png, aspect_by_tone_heatmap.png, climatebert_remote_top_scores.png). State the regeneration command and the dashboard launch command.</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4.4.2 RQ6 — Cross-Model and Cross-Prompt Stability</w:t>
      </w:r>
    </w:p>
    <w:p>
      <w:pPr>
        <w:spacing w:after="100" w:before="100"/>
      </w:pPr>
      <w:r>
        <w:rPr>
          <w:rFonts w:ascii="Arial" w:cs="Arial" w:eastAsia="Arial" w:hAnsi="Arial"/>
          <w:color w:val="222222"/>
          <w:sz w:val="22"/>
          <w:szCs w:val="22"/>
        </w:rPr>
        <w:t xml:space="preserve">Artefacts: model_stability_summary.csv (079), prompt_stability_summary.csv (079).</w:t>
      </w:r>
    </w:p>
    <w:p>
      <w:pPr>
        <w:spacing w:after="100" w:before="100"/>
      </w:pPr>
      <w:r>
        <w:rPr>
          <w:rFonts w:ascii="Arial" w:cs="Arial" w:eastAsia="Arial" w:hAnsi="Arial"/>
          <w:b/>
          <w:bCs/>
          <w:color w:val="222222"/>
          <w:sz w:val="22"/>
          <w:szCs w:val="22"/>
        </w:rPr>
        <w:t xml:space="preserve">Central claim: </w:t>
      </w:r>
      <w:r>
        <w:rPr>
          <w:rFonts w:ascii="Arial" w:cs="Arial" w:eastAsia="Arial" w:hAnsi="Arial"/>
          <w:color w:val="222222"/>
          <w:sz w:val="22"/>
          <w:szCs w:val="22"/>
        </w:rPr>
        <w:t xml:space="preserve">Model configurations exhibit a parse-rate/yield trade-off. GPT-oss-20b achieves the highest parse success rate (0.959) with conservative yield (1.13 records/run); Trinity-large achieves higher yield (12.52 records/run) at moderate schema compliance (0.899 parse rate); Minimax-M2.5 is unsuitable for production use (0.585 parse rate). Chain-of-thought templates in both English and Indonesian achieve the lowest missing-tone rates. Human-versus-LLM tone kappa = 0.788 (n = 1,610), exceeding the thesis target of κ ≥ 0.60.</w:t>
      </w:r>
    </w:p>
    <w:p>
      <w:pPr>
        <w:spacing w:after="100" w:before="100"/>
      </w:pPr>
      <w:r>
        <w:rPr>
          <w:rFonts w:ascii="Arial" w:cs="Arial" w:eastAsia="Arial" w:hAnsi="Arial"/>
          <w:color w:val="222222"/>
          <w:sz w:val="22"/>
          <w:szCs w:val="22"/>
        </w:rPr>
        <w:t xml:space="preserve">Present Table 4.7: model stability comparison. Present Table 4.8: prompt template stability (missing-tone rate per template). Present Figure 4.8: parse-rate vs yield scatter plot across model configurations.</w:t>
      </w:r>
    </w:p>
    <w:p>
      <w:pPr>
        <w:spacing w:after="8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800"/>
        <w:gridCol w:w="1900"/>
        <w:gridCol w:w="1900"/>
        <w:gridCol w:w="1900"/>
        <w:gridCol w:w="28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Parse Success Rate</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Records / Run</w:t>
            </w:r>
          </w:p>
        </w:tc>
        <w:tc>
          <w:tcPr>
            <w:tcW w:type="dxa" w:w="1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 Tone Rate</w:t>
            </w:r>
          </w:p>
        </w:tc>
        <w:tc>
          <w:tcPr>
            <w:tcW w:type="dxa" w:w="28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Recommendation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openai/gpt-oss-20b</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0.959</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1.13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Schema validation primary</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arcee-ai/trinity-large</w:t>
            </w:r>
          </w:p>
        </w:tc>
        <w:tc>
          <w:tcPr>
            <w:tcW w:type="dxa" w:w="1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0.899</w:t>
            </w:r>
          </w:p>
        </w:tc>
        <w:tc>
          <w:tcPr>
            <w:tcW w:type="dxa" w:w="1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12.52</w:t>
            </w:r>
          </w:p>
        </w:tc>
        <w:tc>
          <w:tcPr>
            <w:tcW w:type="dxa" w:w="1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Moderate</w:t>
            </w:r>
          </w:p>
        </w:tc>
        <w:tc>
          <w:tcPr>
            <w:tcW w:type="dxa" w:w="28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Extraction yield primary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minimax/minimax-m2.5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0.585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recommended for production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800"/>
        <w:gridCol w:w="1400"/>
        <w:gridCol w:w="1800"/>
        <w:gridCol w:w="2360"/>
      </w:tblGrid>
      <w:tr>
        <w:trPr>
          <w:tblHeader/>
        </w:trPr>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Prompt Template</w:t>
            </w:r>
          </w:p>
        </w:tc>
        <w:tc>
          <w:tcPr>
            <w:tcW w:type="dxa" w:w="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Language</w:t>
            </w:r>
          </w:p>
        </w:tc>
        <w:tc>
          <w:tcPr>
            <w:tcW w:type="dxa" w:w="1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Strategy</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Missing-Tone Rate</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Notes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data.md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Raw extraction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100%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Expected — no tone elicitation; high yield baseline</w:t>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tone_zero_shot_english.md</w:t>
            </w:r>
          </w:p>
        </w:tc>
        <w:tc>
          <w:tcPr>
            <w:tcW w:type="dxa" w:w="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Zero-shot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Moderate</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tone_zero_shot_indonesian.md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Zero-shot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Moderate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tone_few_shot_english.md</w:t>
            </w:r>
          </w:p>
        </w:tc>
        <w:tc>
          <w:tcPr>
            <w:tcW w:type="dxa" w:w="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Few-shot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Lower</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Examples stabilise schema</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tone_few_shot_indonesian.md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Few-shot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Lower</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w:r>
          </w:p>
        </w:tc>
      </w:tr>
      <w:tr>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tone_chain_of_thought_english.md</w:t>
            </w:r>
          </w:p>
        </w:tc>
        <w:tc>
          <w:tcPr>
            <w:tcW w:type="dxa" w:w="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EN</w:t>
            </w:r>
          </w:p>
        </w:tc>
        <w:tc>
          <w:tcPr>
            <w:tcW w:type="dxa" w:w="14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Lowest</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Recommended primary template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tone_chain_of_thought_indonesian.md</w:t>
            </w:r>
          </w:p>
        </w:tc>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Lowest</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Recommended for ID-dominant pages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4.5 Explainability Outputs</w:t>
      </w:r>
    </w:p>
    <w:p>
      <w:pPr>
        <w:spacing w:after="100" w:before="100"/>
      </w:pPr>
      <w:r>
        <w:rPr>
          <w:rFonts w:ascii="Arial" w:cs="Arial" w:eastAsia="Arial" w:hAnsi="Arial"/>
          <w:color w:val="222222"/>
          <w:sz w:val="22"/>
          <w:szCs w:val="22"/>
        </w:rPr>
        <w:t xml:space="preserve">Artefacts: rule-based lexical triggers, TF-IDF coefficients (classical ML layer), ontology-path visualisations.</w:t>
      </w:r>
    </w:p>
    <w:p>
      <w:pPr>
        <w:spacing w:after="100" w:before="100"/>
      </w:pPr>
      <w:r>
        <w:rPr>
          <w:rFonts w:ascii="Arial" w:cs="Arial" w:eastAsia="Arial" w:hAnsi="Arial"/>
          <w:color w:val="222222"/>
          <w:sz w:val="22"/>
          <w:szCs w:val="22"/>
        </w:rPr>
        <w:t xml:space="preserve">Present Figure 4.9: top-20 lexical triggers per tone category (commitment markers: will, target, committed, berkomitmen, akan; action markers: implemented, conducted, established, telah melaksanakan; outcome markers: achieved, reduced, completed, berhasil menurunkan). Present Figure 4.10: TF-IDF coefficient ranking per ESG pillar for the logistic regression baseline. Present Figure 4.11: three representative ontology-path visualisations (one per E/S/G pillar) showing the reasoning chain from textual phrase → ESG concept node → GRI/SASB indicator.</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4.6 Results Synthesis</w:t>
      </w:r>
    </w:p>
    <w:p>
      <w:pPr>
        <w:spacing w:after="100" w:before="100"/>
      </w:pPr>
      <w:r>
        <w:rPr>
          <w:rFonts w:ascii="Arial" w:cs="Arial" w:eastAsia="Arial" w:hAnsi="Arial"/>
          <w:color w:val="222222"/>
          <w:sz w:val="22"/>
          <w:szCs w:val="22"/>
        </w:rPr>
        <w:t xml:space="preserve">Close Chapter 4 with a one-page synthesis paragraph that states all six RQ answers in a single compact table, with artefact citations, and explicitly flags which answers are hedged by outstanding limitations. This table becomes the source material for Chapter 6's RQ-answer section.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35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RQ</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Answer (one sentence)</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Hedging Condition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PDF-derived bilingual sustainability reports can be transformed into provenance-rich ESG records.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332 records, 23 docs, 110 runs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 CER not yet formally measured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RQ2</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The 4D schema differentiates tone from sentiment; commitment dominates (34.6%).</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C=115, O=50, κ_human=0.788</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Single annotator vs LLM; human-human IAA pending</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 and ClimateBERT labels are near-orthogonal, confirming they measure different constructs.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κ=0.079 (n=4,853)</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293 records remain unprocessed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RQ4</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Six failure modes identified; missing tone (18.4%) and schema drift (18 records) are primary.</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Failure taxonomy, 6 modes</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Formal ground-truth not yet available for precision/recall</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156 job folders + 1,049 artefacts enable full reproduction from any pipeline stage.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1,049 artefacts, Integration Mermaid</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Independent replication study not yet conducted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RQ6</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CoT templates and GPT-oss-20b/Trinity ensemble achieve highest stability; human κ=0.788.</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Parse rate 0.959, κ=0.788</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Model imbalance: minimax 588 runs vs Trinity 89 runs</w:t>
            </w:r>
          </w:p>
        </w:tc>
      </w:tr>
    </w:tbl>
    <w:p>
      <w:pPr>
        <w:spacing w:after="80" w:before="80"/>
      </w:pPr>
      <w:r>
        <w:t xml:space="preserve"/>
      </w:r>
    </w:p>
    <w:p>
      <w:r>
        <w:br w:type="page"/>
      </w:r>
    </w:p>
    <w:p>
      <w:pPr>
        <w:pStyle w:val="Heading1"/>
        <w:spacing w:after="200" w:before="480"/>
      </w:pPr>
      <w:r>
        <w:rPr>
          <w:rFonts w:ascii="Arial" w:cs="Arial" w:eastAsia="Arial" w:hAnsi="Arial"/>
          <w:b/>
          <w:bCs/>
          <w:color w:val="1F3864"/>
          <w:sz w:val="32"/>
          <w:szCs w:val="32"/>
        </w:rPr>
        <w:t xml:space="preserve">V. Discussion</w:t>
      </w:r>
    </w:p>
    <w:p>
      <w:pPr>
        <w:spacing w:after="100" w:before="100"/>
      </w:pPr>
      <w:r>
        <w:rPr>
          <w:rFonts w:ascii="Arial" w:cs="Arial" w:eastAsia="Arial" w:hAnsi="Arial"/>
          <w:color w:val="222222"/>
          <w:sz w:val="22"/>
          <w:szCs w:val="22"/>
        </w:rPr>
        <w:t xml:space="preserve">Chapter 5 performs four scholarly moves: it interprets key findings through theoretical lenses; it benchmarks the pipeline against four alternative approaches from the literature; it identifies theoretical implications for ESG ABSA, greenwashing detection, and Indonesian NLP infrastructure; and it scopes six specific limitations with honest hedging. Every interpretive claim cites both a Chapter 4 number and a Chapter 2 theoretical anchor.</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5.1 Interpretation of Key Findings</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5.1.1 The Commitment-Dominance Finding</w:t>
      </w:r>
    </w:p>
    <w:p>
      <w:pPr>
        <w:spacing w:after="100" w:before="100"/>
      </w:pPr>
      <w:r>
        <w:rPr>
          <w:rFonts w:ascii="Arial" w:cs="Arial" w:eastAsia="Arial" w:hAnsi="Arial"/>
          <w:b/>
          <w:bCs/>
          <w:color w:val="222222"/>
          <w:sz w:val="22"/>
          <w:szCs w:val="22"/>
        </w:rPr>
        <w:t xml:space="preserve">Evidence: </w:t>
      </w:r>
      <w:r>
        <w:rPr>
          <w:rFonts w:ascii="Arial" w:cs="Arial" w:eastAsia="Arial" w:hAnsi="Arial"/>
          <w:color w:val="222222"/>
          <w:sz w:val="22"/>
          <w:szCs w:val="22"/>
        </w:rPr>
        <w:t xml:space="preserve">Commitment tone = 115 records (34.6%); Outcome tone = 50 records (15.1%); ratio = 2.3:1 (from Table 4.2).</w:t>
      </w:r>
    </w:p>
    <w:p>
      <w:pPr>
        <w:spacing w:after="100" w:before="100"/>
      </w:pPr>
      <w:r>
        <w:rPr>
          <w:rFonts w:ascii="Arial" w:cs="Arial" w:eastAsia="Arial" w:hAnsi="Arial"/>
          <w:b/>
          <w:bCs/>
          <w:color w:val="222222"/>
          <w:sz w:val="22"/>
          <w:szCs w:val="22"/>
        </w:rPr>
        <w:t xml:space="preserve">Theoretical lens: </w:t>
      </w:r>
      <w:r>
        <w:rPr>
          <w:rFonts w:ascii="Arial" w:cs="Arial" w:eastAsia="Arial" w:hAnsi="Arial"/>
          <w:color w:val="222222"/>
          <w:sz w:val="22"/>
          <w:szCs w:val="22"/>
        </w:rPr>
        <w:t xml:space="preserve">Suchman's (1995) legitimacy theory predicts that firms in environments of evolving regulatory expectations will prioritise aspirational signalling over retrospective outcome disclosure. The 2.3:1 commitment-to-outcome ratio is consistent with legitimacy-seeking behaviour: Indonesian listed companies are communicating future alignment with OJK/IDX sustainability expectations rather than demonstrating realised performance.</w:t>
      </w:r>
    </w:p>
    <w:p>
      <w:pPr>
        <w:spacing w:after="100" w:before="100"/>
      </w:pPr>
      <w:r>
        <w:rPr>
          <w:rFonts w:ascii="Arial" w:cs="Arial" w:eastAsia="Arial" w:hAnsi="Arial"/>
          <w:color w:val="222222"/>
          <w:sz w:val="22"/>
          <w:szCs w:val="22"/>
        </w:rPr>
        <w:t xml:space="preserve">Practical implication: regulators who require outcome evidence as a condition of disclosure credit — rather than treating commitment statements as equivalent — would shift this ratio toward greater evidentiary value. Investors relying on traditional ESG ratings that score disclosure volume rather than disclosure maturity are receiving a systematically optimistic signal.</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5.1.2 The ClimateBERT Divergence as Construct Validity Confirmation</w:t>
      </w:r>
    </w:p>
    <w:p>
      <w:pPr>
        <w:spacing w:after="100" w:before="100"/>
      </w:pPr>
      <w:r>
        <w:rPr>
          <w:rFonts w:ascii="Arial" w:cs="Arial" w:eastAsia="Arial" w:hAnsi="Arial"/>
          <w:b/>
          <w:bCs/>
          <w:color w:val="222222"/>
          <w:sz w:val="22"/>
          <w:szCs w:val="22"/>
        </w:rPr>
        <w:t xml:space="preserve">Evidence: </w:t>
      </w:r>
      <w:r>
        <w:rPr>
          <w:rFonts w:ascii="Arial" w:cs="Arial" w:eastAsia="Arial" w:hAnsi="Arial"/>
          <w:color w:val="222222"/>
          <w:sz w:val="22"/>
          <w:szCs w:val="22"/>
        </w:rPr>
        <w:t xml:space="preserve">Proxy κ = 0.645, Real κ = 0.079, both with ≈ 83% percent agreement (from Table 4.4).</w:t>
      </w:r>
    </w:p>
    <w:p>
      <w:pPr>
        <w:spacing w:after="100" w:before="100"/>
      </w:pPr>
      <w:r>
        <w:rPr>
          <w:rFonts w:ascii="Arial" w:cs="Arial" w:eastAsia="Arial" w:hAnsi="Arial"/>
          <w:b/>
          <w:bCs/>
          <w:color w:val="222222"/>
          <w:sz w:val="22"/>
          <w:szCs w:val="22"/>
        </w:rPr>
        <w:t xml:space="preserve">Theoretical lens: </w:t>
      </w:r>
      <w:r>
        <w:rPr>
          <w:rFonts w:ascii="Arial" w:cs="Arial" w:eastAsia="Arial" w:hAnsi="Arial"/>
          <w:color w:val="222222"/>
          <w:sz w:val="22"/>
          <w:szCs w:val="22"/>
        </w:rPr>
        <w:t xml:space="preserve">The kappa gap is a methodological lesson that generalises: percent agreement is insensitive to chance agreement when two systems share similar base-rate distributions. Cohen's κ adjusts for this, revealing that what appeared as moderate agreement (0.645) was largely coincidental. The near-zero real kappa (0.079) confirms that tone (epistemic modality: is this a promise or a result?) and ClimateBERT's climate-topic relevance (is this sentence about climate?) are measuring orthogonal properties of the same text. This orthogonality was the theoretical prediction of Chapter 2-D, and its empirical confirmation is the thesis's most independently testable scholarly claim.</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5.1.3 Schema Drift as Diagnostic Signal</w:t>
      </w:r>
    </w:p>
    <w:p>
      <w:pPr>
        <w:spacing w:after="100" w:before="100"/>
      </w:pPr>
      <w:r>
        <w:rPr>
          <w:rFonts w:ascii="Arial" w:cs="Arial" w:eastAsia="Arial" w:hAnsi="Arial"/>
          <w:b/>
          <w:bCs/>
          <w:color w:val="222222"/>
          <w:sz w:val="22"/>
          <w:szCs w:val="22"/>
        </w:rPr>
        <w:t xml:space="preserve">Evidence: </w:t>
      </w:r>
      <w:r>
        <w:rPr>
          <w:rFonts w:ascii="Arial" w:cs="Arial" w:eastAsia="Arial" w:hAnsi="Arial"/>
          <w:color w:val="222222"/>
          <w:sz w:val="22"/>
          <w:szCs w:val="22"/>
        </w:rPr>
        <w:t xml:space="preserve">18 records with 'commitment' in the sentiment field rather than the tone field (from failure_mode_counts.csv).</w:t>
      </w:r>
    </w:p>
    <w:p>
      <w:pPr>
        <w:spacing w:after="100" w:before="100"/>
      </w:pPr>
      <w:r>
        <w:rPr>
          <w:rFonts w:ascii="Arial" w:cs="Arial" w:eastAsia="Arial" w:hAnsi="Arial"/>
          <w:color w:val="222222"/>
          <w:sz w:val="22"/>
          <w:szCs w:val="22"/>
        </w:rPr>
        <w:t xml:space="preserve">This failure mode validates Gap 3 (Chapter II-E): without post-generation JSON schema validation, field-level misassignment propagates silently into downstream analysis. The diagnostic framework converts this failure into a design recommendation (mandatory enum constraints in the prompt JSON specification plus post-processing field-type validation).</w:t>
      </w:r>
    </w:p>
    <w:p>
      <w:pPr>
        <w:spacing w:after="80" w:before="80"/>
      </w:pPr>
      <w:r>
        <w:t xml:space="preserve"/>
      </w:r>
    </w:p>
    <w:p>
      <w:pPr>
        <w:pStyle w:val="Heading3"/>
        <w:spacing w:after="120" w:before="240"/>
      </w:pPr>
      <w:r>
        <w:rPr>
          <w:rFonts w:ascii="Arial" w:cs="Arial" w:eastAsia="Arial" w:hAnsi="Arial"/>
          <w:b/>
          <w:bCs/>
          <w:color w:val="1F3864"/>
          <w:sz w:val="24"/>
          <w:szCs w:val="24"/>
        </w:rPr>
        <w:t xml:space="preserve">5.1.4 The Indonesian ESG Vocabulary Contribution</w:t>
      </w:r>
    </w:p>
    <w:p>
      <w:pPr>
        <w:spacing w:after="100" w:before="100"/>
      </w:pPr>
      <w:r>
        <w:rPr>
          <w:rFonts w:ascii="Arial" w:cs="Arial" w:eastAsia="Arial" w:hAnsi="Arial"/>
          <w:b/>
          <w:bCs/>
          <w:color w:val="222222"/>
          <w:sz w:val="22"/>
          <w:szCs w:val="22"/>
        </w:rPr>
        <w:t xml:space="preserve">Evidence: </w:t>
      </w:r>
      <w:r>
        <w:rPr>
          <w:rFonts w:ascii="Arial" w:cs="Arial" w:eastAsia="Arial" w:hAnsi="Arial"/>
          <w:color w:val="222222"/>
          <w:sz w:val="22"/>
          <w:szCs w:val="22"/>
        </w:rPr>
        <w:t xml:space="preserve">52 extracted aspects, 46 requiring new semantic cluster creation (from ontology_coverage.csv).</w:t>
      </w:r>
    </w:p>
    <w:p>
      <w:pPr>
        <w:spacing w:after="100" w:before="100"/>
      </w:pPr>
      <w:r>
        <w:rPr>
          <w:rFonts w:ascii="Arial" w:cs="Arial" w:eastAsia="Arial" w:hAnsi="Arial"/>
          <w:color w:val="222222"/>
          <w:sz w:val="22"/>
          <w:szCs w:val="22"/>
        </w:rPr>
        <w:t xml:space="preserve">Terms such as karbon roadmap, pelatihan antikorupsi untuk komisaris dan direksi, pendekatan karbon, and penolakan korupsi represent Indonesian-specific ESG vocabulary that appears in OJK/IDX-regulated disclosures but is absent from GRI, SASB, or existing multilingual ESG NLP resources. The 46 novel clusters are an empirical discovery from running the pipeline on real corporate disclosures — they constitute a contribution to Indonesian ESG NLP infrastructure.</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5.2 Comparison with Existing Methods</w:t>
      </w:r>
    </w:p>
    <w:p>
      <w:pPr>
        <w:spacing w:after="100" w:before="100"/>
      </w:pPr>
      <w:r>
        <w:rPr>
          <w:rFonts w:ascii="Arial" w:cs="Arial" w:eastAsia="Arial" w:hAnsi="Arial"/>
          <w:color w:val="222222"/>
          <w:sz w:val="22"/>
          <w:szCs w:val="22"/>
        </w:rPr>
        <w:t xml:space="preserve">The pipeline is evaluated against four alternative approaches, each drawn from the gaps identified in Chapter II. For each comparison: (a) what the alternative does, (b) where it falls short relative to the Chapter II gap, (c) how the thesis pipeline addresses that shortfall.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500"/>
        <w:gridCol w:w="2760"/>
      </w:tblGrid>
      <w:tr>
        <w:trPr>
          <w:tblHeader/>
        </w:trPr>
        <w:tc>
          <w:tcPr>
            <w:tcW w:type="dxa" w:w="2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Alternative Approach</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Capability</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 vs. Chapter II Gap</w:t>
            </w:r>
          </w:p>
        </w:tc>
        <w:tc>
          <w:tcPr>
            <w:tcW w:type="dxa" w:w="2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Pipeline's Advance</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Manual ESG scoring</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Expert judgment, interpretable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scalable; no sentence-level provenance; coarse-grained (Gap 1)</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Automated, traceable; 332 records with full provenance chain</w:t>
            </w:r>
          </w:p>
        </w:tc>
      </w:tr>
      <w:tr>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Pure LLM classification</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Flexible; handles bilingual input</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 audit trail; schema drift undetected; no stability analysis (Gap 3)</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Auditable JSON schema; 7 templates; stability analysis across models</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ClimateBERT-only approach</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Strong on climate content; validated model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Cannot classify tone (commitment vs outcome); narrow E-domain only (Gap 2)</w:t>
            </w:r>
          </w:p>
        </w:tc>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Explicit tone taxonomy; covers E, G, S pillars; ClimateBERT used as validator only</w:t>
            </w:r>
          </w:p>
        </w:tc>
      </w:tr>
      <w:tr>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Rule-based ESG taxonomies</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Transparent; interpretable lexicons</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Brittle to bilingual variation; no context-dependent polarity; no LLM integration (Gap 5)</w:t>
            </w:r>
          </w:p>
        </w:tc>
        <w:tc>
          <w:tcPr>
            <w:tcW w:type="dxa" w:w="27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Lexicon layer as explainability baseline; combined with transformer + LLM</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5.3 Theoretical Implications</w:t>
      </w:r>
    </w:p>
    <w:p>
      <w:pPr>
        <w:pStyle w:val="Heading3"/>
        <w:spacing w:after="120" w:before="240"/>
      </w:pPr>
      <w:r>
        <w:rPr>
          <w:rFonts w:ascii="Arial" w:cs="Arial" w:eastAsia="Arial" w:hAnsi="Arial"/>
          <w:b/>
          <w:bCs/>
          <w:color w:val="1F3864"/>
          <w:sz w:val="24"/>
          <w:szCs w:val="24"/>
        </w:rPr>
        <w:t xml:space="preserve">For ESG Disclosure Theory</w:t>
      </w:r>
    </w:p>
    <w:p>
      <w:pPr>
        <w:spacing w:after="100" w:before="100"/>
      </w:pPr>
      <w:r>
        <w:rPr>
          <w:rFonts w:ascii="Arial" w:cs="Arial" w:eastAsia="Arial" w:hAnsi="Arial"/>
          <w:color w:val="222222"/>
          <w:sz w:val="22"/>
          <w:szCs w:val="22"/>
        </w:rPr>
        <w:t xml:space="preserve">The commitment-dominance finding provides empirical evidence for legitimacy-theory explanations of ESG disclosure: firms use sustainability reports to signal future alignment with stakeholder expectations rather than to demonstrate realised performance. This has implications for materiality assessment: frameworks that treat commitment statements as evidence of ESG progress are systematically overestimating disclosure quality for Indonesian listed companies.</w:t>
      </w:r>
    </w:p>
    <w:p>
      <w:pPr>
        <w:pStyle w:val="Heading3"/>
        <w:spacing w:after="120" w:before="240"/>
      </w:pPr>
      <w:r>
        <w:rPr>
          <w:rFonts w:ascii="Arial" w:cs="Arial" w:eastAsia="Arial" w:hAnsi="Arial"/>
          <w:b/>
          <w:bCs/>
          <w:color w:val="1F3864"/>
          <w:sz w:val="24"/>
          <w:szCs w:val="24"/>
        </w:rPr>
        <w:t xml:space="preserve">For ABSA Theory</w:t>
      </w:r>
    </w:p>
    <w:p>
      <w:pPr>
        <w:spacing w:after="100" w:before="100"/>
      </w:pPr>
      <w:r>
        <w:rPr>
          <w:rFonts w:ascii="Arial" w:cs="Arial" w:eastAsia="Arial" w:hAnsi="Arial"/>
          <w:color w:val="222222"/>
          <w:sz w:val="22"/>
          <w:szCs w:val="22"/>
        </w:rPr>
        <w:t xml:space="preserve">The empirical independence of sentiment and tone (κ = 0.079 between tone and ClimateBERT labels; sentiment positivity and tone category are not co-determined in the record set) supports the theoretical argument of Chapter II-B-5: polarity alone is insufficient for governance-relevant ESG analysis. A neutral-sentiment sentence can be an important outcome; a positive-sentiment sentence may be an unsubstantiated commitment.</w:t>
      </w:r>
    </w:p>
    <w:p>
      <w:pPr>
        <w:pStyle w:val="Heading3"/>
        <w:spacing w:after="120" w:before="240"/>
      </w:pPr>
      <w:r>
        <w:rPr>
          <w:rFonts w:ascii="Arial" w:cs="Arial" w:eastAsia="Arial" w:hAnsi="Arial"/>
          <w:b/>
          <w:bCs/>
          <w:color w:val="1F3864"/>
          <w:sz w:val="24"/>
          <w:szCs w:val="24"/>
        </w:rPr>
        <w:t xml:space="preserve">For Greenwashing Detection</w:t>
      </w:r>
    </w:p>
    <w:p>
      <w:pPr>
        <w:spacing w:after="100" w:before="100"/>
      </w:pPr>
      <w:r>
        <w:rPr>
          <w:rFonts w:ascii="Arial" w:cs="Arial" w:eastAsia="Arial" w:hAnsi="Arial"/>
          <w:color w:val="222222"/>
          <w:sz w:val="22"/>
          <w:szCs w:val="22"/>
        </w:rPr>
        <w:t xml:space="preserve">The commitment/outcome ratio is a measurable, document-level greenwashing risk signal, but it should be treated as a heuristic rather than a definitive index until validated against OJK/IDX ratings or known greenwashing cases. The tone taxonomy provides the analytical architecture for such validation in future work.</w:t>
      </w:r>
    </w:p>
    <w:p>
      <w:pPr>
        <w:pStyle w:val="Heading3"/>
        <w:spacing w:after="120" w:before="240"/>
      </w:pPr>
      <w:r>
        <w:rPr>
          <w:rFonts w:ascii="Arial" w:cs="Arial" w:eastAsia="Arial" w:hAnsi="Arial"/>
          <w:b/>
          <w:bCs/>
          <w:color w:val="1F3864"/>
          <w:sz w:val="24"/>
          <w:szCs w:val="24"/>
        </w:rPr>
        <w:t xml:space="preserve">For Indonesian NLP Infrastructure</w:t>
      </w:r>
    </w:p>
    <w:p>
      <w:pPr>
        <w:spacing w:after="100" w:before="100"/>
      </w:pPr>
      <w:r>
        <w:rPr>
          <w:rFonts w:ascii="Arial" w:cs="Arial" w:eastAsia="Arial" w:hAnsi="Arial"/>
          <w:color w:val="222222"/>
          <w:sz w:val="22"/>
          <w:szCs w:val="22"/>
        </w:rPr>
        <w:t xml:space="preserve">The 46 novel aspect clusters constitute a bilingual ESG lexicon seed for Indonesian corporate discourse. They are not merely a dataset artefact; they represent the domain-specific vocabulary that Indonesian companies are using in practice and that no existing multilingual ESG NLP resource documents systematically.</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5.4 Limitations</w:t>
      </w:r>
    </w:p>
    <w:p>
      <w:pPr>
        <w:spacing w:after="100" w:before="100"/>
      </w:pPr>
      <w:r>
        <w:rPr>
          <w:rFonts w:ascii="Arial" w:cs="Arial" w:eastAsia="Arial" w:hAnsi="Arial"/>
          <w:color w:val="222222"/>
          <w:sz w:val="22"/>
          <w:szCs w:val="22"/>
        </w:rPr>
        <w:t xml:space="preserve">Six limitations are scoped precisely. Each is stated as: the limitation, its evidential basis in the pipeline, and the research phase that addresses 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2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w:t>
            </w:r>
          </w:p>
        </w:tc>
        <w:tc>
          <w:tcPr>
            <w:tcW w:type="dxa" w:w="29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 in Pipeline</w:t>
            </w:r>
          </w:p>
        </w:tc>
        <w:tc>
          <w:tcPr>
            <w:tcW w:type="dxa" w:w="3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Future Work Phase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 formal OCR quality measurement (CER/WER). Character error rate has not been computed.</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ocr_processing_summary.csv documents coverage but not accuracy</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1: pilot OCR quality assessment on 30 pages from 4 documents</w:t>
            </w:r>
          </w:p>
        </w:tc>
      </w:tr>
      <w:tr>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 complete expert-labeled ground truth. Current human labels are single-annotator vs LLM (κ=0.788), not human-human IAA.</w:t>
            </w:r>
          </w:p>
        </w:tc>
        <w:tc>
          <w:tcPr>
            <w:tcW w:type="dxa" w:w="2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tone_records_flat.csv; 1,610 reviewed but by 1 annotator</w:t>
            </w:r>
          </w:p>
        </w:tc>
        <w:tc>
          <w:tcPr>
            <w:tcW w:type="dxa" w:w="3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1: 250 records × 2 independent annotators; compute formal IAA κ</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Social pillar near-absent (S=4 records, 1.2%). Cannot determine if this is a corpus property or an extraction failure.</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tone_esg_crosstab.csv</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 targeted extraction of Social-pillar pages + human annotation</w:t>
            </w:r>
          </w:p>
        </w:tc>
      </w:tr>
      <w:tr>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 comparison incomplete (293 of 5,146 records unprocessed).</w:t>
            </w:r>
          </w:p>
        </w:tc>
        <w:tc>
          <w:tcPr>
            <w:tcW w:type="dxa" w:w="2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climatebert_proxy_agreement_summary.csv</w:t>
            </w:r>
          </w:p>
        </w:tc>
        <w:tc>
          <w:tcPr>
            <w:tcW w:type="dxa" w:w="3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Outstanding computational task before submission</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Greenwashing index (commitment/outcome ratio) is unvalidated. Has not been tested against known cases or external ratings.</w:t>
            </w:r>
          </w:p>
        </w:tc>
        <w:tc>
          <w:tcPr>
            <w:tcW w:type="dxa" w:w="2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Section 4.5 / Metrics Definition</w:t>
            </w:r>
          </w:p>
        </w:tc>
        <w:tc>
          <w:tcPr>
            <w:tcW w:type="dxa" w:w="3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3: validation against OJK sustainability ratings and known cases</w:t>
            </w:r>
          </w:p>
        </w:tc>
      </w:tr>
      <w:tr>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Ontology scope limited to extracted aspects. Indonesian ESG vocabulary is only partially covered by the 46 novel clusters.</w:t>
            </w:r>
          </w:p>
        </w:tc>
        <w:tc>
          <w:tcPr>
            <w:tcW w:type="dxa" w:w="29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ontology_coverage.csv</w:t>
            </w:r>
          </w:p>
        </w:tc>
        <w:tc>
          <w:tcPr>
            <w:tcW w:type="dxa" w:w="3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2: expert review of novel clusters; extension to additional report types</w:t>
            </w:r>
          </w:p>
        </w:tc>
      </w:tr>
    </w:tbl>
    <w:p>
      <w:pPr>
        <w:spacing w:after="80" w:before="80"/>
      </w:pPr>
      <w:r>
        <w:t xml:space="preserve"/>
      </w:r>
    </w:p>
    <w:p>
      <w:r>
        <w:br w:type="page"/>
      </w:r>
    </w:p>
    <w:p>
      <w:pPr>
        <w:pStyle w:val="Heading1"/>
        <w:spacing w:after="200" w:before="480"/>
      </w:pPr>
      <w:r>
        <w:rPr>
          <w:rFonts w:ascii="Arial" w:cs="Arial" w:eastAsia="Arial" w:hAnsi="Arial"/>
          <w:b/>
          <w:bCs/>
          <w:color w:val="1F3864"/>
          <w:sz w:val="32"/>
          <w:szCs w:val="32"/>
        </w:rPr>
        <w:t xml:space="preserve">VI. Conclusion</w:t>
      </w:r>
    </w:p>
    <w:p>
      <w:pPr>
        <w:spacing w:after="100" w:before="100"/>
      </w:pPr>
      <w:r>
        <w:rPr>
          <w:rFonts w:ascii="Arial" w:cs="Arial" w:eastAsia="Arial" w:hAnsi="Arial"/>
          <w:color w:val="222222"/>
          <w:sz w:val="22"/>
          <w:szCs w:val="22"/>
        </w:rPr>
        <w:t xml:space="preserve">Chapter 6 performs the final scholarly synthesis: it states six contributions with supporting metrics, answers all six RQs in one compact form, articulates practical implications for three stakeholder groups, and maps each limitation to a specific future-work phase. Every claim in Chapter 6 has been made defensible by the interpretations in Chapter 5.</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6.1 Contribution Summary</w:t>
      </w:r>
    </w:p>
    <w:p>
      <w:pPr>
        <w:spacing w:after="100" w:before="100"/>
      </w:pPr>
      <w:r>
        <w:rPr>
          <w:rFonts w:ascii="Arial" w:cs="Arial" w:eastAsia="Arial" w:hAnsi="Arial"/>
          <w:color w:val="222222"/>
          <w:sz w:val="22"/>
          <w:szCs w:val="22"/>
        </w:rPr>
        <w:t xml:space="preserve">The six contributions are each stated with a key metric that makes them independently verifiable and a connection to the Chapter 5 argument that makes them defensible.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00"/>
        <w:gridCol w:w="25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Contribution</w:t>
            </w:r>
          </w:p>
        </w:tc>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delivers</w:t>
            </w:r>
          </w:p>
        </w:tc>
        <w:tc>
          <w:tcPr>
            <w:tcW w:type="dxa" w:w="21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2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Ch.5 Argument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C1: End-to-end OCR-to-record pipeline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23 documents → 332 records with full provenance chain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110 runs, 156 jobs, 1,049 artefacts</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5.2: advances over manual scoring and pure LLM classification</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C2: Page-aware, 7-template prompt framework</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Systematic comparison of zero-shot, few-shot, CoT in EN/ID</w:t>
            </w:r>
          </w:p>
        </w:tc>
        <w:tc>
          <w:tcPr>
            <w:tcW w:type="dxa" w:w="2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7 templates; CoT achieves lowest missing-tone rates</w:t>
            </w:r>
          </w:p>
        </w:tc>
        <w:tc>
          <w:tcPr>
            <w:tcW w:type="dxa" w:w="2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5.2: advances over single-prompt LLM approaches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C3: Tone-aware ESG taxonomy (C/A/O)</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Distinguishes commitment, action, outcome across E, S, G pillars</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Human-LLM κ=0.788 (n=1,610); target κ≥0.60 exceeded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5.1.1: legitimacy-theory interpretation of 2.3:1 ratio</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C4: Ontology layer with bilingual ESG vocabulary</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52 aspects mapped to GRI/SASB paths; 46 novel ID clusters</w:t>
            </w:r>
          </w:p>
        </w:tc>
        <w:tc>
          <w:tcPr>
            <w:tcW w:type="dxa" w:w="2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46 novel aspect clusters (Indonesian ESG vocabulary)</w:t>
            </w:r>
          </w:p>
        </w:tc>
        <w:tc>
          <w:tcPr>
            <w:tcW w:type="dxa" w:w="2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5.1.4: Indonesian NLP infrastructure contribution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C5: ClimateBERT comparison framework</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External semantic validation; confirms tone-ClimateBERT orthogonality</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κ=0.079 (n=4,853); proxy κ=0.645 (inflated)</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5.1.2: construct validity confirmed by orthogonality</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C6: Explainability outputs</w:t>
            </w:r>
          </w:p>
        </w:tc>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Lexical triggers, TF-IDF coefficients, ontology-path visualisations</w:t>
            </w:r>
          </w:p>
        </w:tc>
        <w:tc>
          <w:tcPr>
            <w:tcW w:type="dxa" w:w="21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Integrated into Streamlit dashboard (5 tabs)</w:t>
            </w:r>
          </w:p>
        </w:tc>
        <w:tc>
          <w:tcPr>
            <w:tcW w:type="dxa" w:w="2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5.2: advances over ClimateBERT-only and rule-based approaches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6.2 Answers to Research Questions</w:t>
      </w:r>
    </w:p>
    <w:p>
      <w:pPr>
        <w:spacing w:after="100" w:before="100"/>
      </w:pPr>
      <w:r>
        <w:rPr>
          <w:rFonts w:ascii="Arial" w:cs="Arial" w:eastAsia="Arial" w:hAnsi="Arial"/>
          <w:color w:val="222222"/>
          <w:sz w:val="22"/>
          <w:szCs w:val="22"/>
        </w:rPr>
        <w:t xml:space="preserve">Each answer is distilled from Chapter 4 results and Chapter 5 interpretation. Hedging conditions are retained from the Table 4.9 synthesis.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200"/>
        <w:gridCol w:w="3560"/>
      </w:tblGrid>
      <w:tr>
        <w:trPr>
          <w:tblHeader/>
        </w:trPr>
        <w:tc>
          <w:tcPr>
            <w:tcW w:type="dxa" w:w="6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RQ</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Answer</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3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Hedged by</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bilingual PDF reports can be transformed into structured ESG records with sentence-level provenance.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332 records / 23 docs / 110 runs</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 CER unmeasured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RQ2</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Yes — the 4D schema (aspect, pillar, sentiment, tone) is operationally feasible and analytically productive; commitment dominates.</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κ_human=0.788; C/O ratio 2.3:1</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Single-annotator vs LLM labels</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tone and ClimateBERT labels are near-orthogonal (κ=0.079), confirming they measure different constructs. This is a positive finding.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κ=0.079 (n=4,853)</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293 records unprocessed</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RQ4</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Yes — 6 failure modes identified and quantified; missing tone (18.4%) and schema drift (18 records) are primary; remediation specified.</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Failure taxonomy, 6 modes</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 formal precision/recall against ground truth yet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RQ5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Yes — 156 job folders, 1,049 artefacts, Integration Mermaid provide full audit chain.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1,049 artefacts; reproducible pipeline</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Independent replication study pending</w:t>
            </w:r>
          </w:p>
        </w:tc>
      </w:tr>
      <w:tr>
        <w:tc>
          <w:tcPr>
            <w:tcW w:type="dxa" w:w="6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RQ6</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Yes — CoT templates + GPT-oss-20b / Trinity ensemble achieves highest stability; human κ=0.788 exceeds threshold.</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Parse rate 0.959; human κ=0.788</w:t>
            </w:r>
          </w:p>
        </w:tc>
        <w:tc>
          <w:tcPr>
            <w:tcW w:type="dxa" w:w="35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Model imbalance in run counts</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6.3 Practical Implications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Stakeholder</w:t>
            </w:r>
          </w:p>
        </w:tc>
        <w:tc>
          <w:tcPr>
            <w:tcW w:type="dxa" w:w="7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Practical Implication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ESG analysts / sustainability teams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pipeline accelerates evidence extraction and surfaces commitment/outcome imbalances, enabling faster identification of where corporate disclosure emphasises aspiration over demonstrated results.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Regulators (OJK / IDX context)</w:t>
            </w:r>
          </w:p>
        </w:tc>
        <w:tc>
          <w:tcPr>
            <w:tcW w:type="dxa" w:w="71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Automated tone classification can support preliminary review of sustainability reporting quality; the commitment-dominance finding suggests that OJK/IDX requirements specifying outcome evidence (rather than accepting commitment statements) would improve disclosure maturity.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Investors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Tone-derived greenwashing risk signals (commitment/outcome ratio per document) can supplement traditional ESG ratings by distinguishing narrative ambition from reported performance — particularly relevant for Indonesian listed companies where ESG rating coverage is limited.</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6.4 Future Work</w:t>
      </w:r>
    </w:p>
    <w:p>
      <w:pPr>
        <w:spacing w:after="100" w:before="100"/>
      </w:pPr>
      <w:r>
        <w:rPr>
          <w:rFonts w:ascii="Arial" w:cs="Arial" w:eastAsia="Arial" w:hAnsi="Arial"/>
          <w:color w:val="222222"/>
          <w:sz w:val="22"/>
          <w:szCs w:val="22"/>
        </w:rPr>
        <w:t xml:space="preserve">Each limitation from Section 5.4 maps to a specific research phase. The five-phase roadmap below converts honest limitation acknowledgement into a forward research agenda.</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3000"/>
        <w:gridCol w:w="2200"/>
        <w:gridCol w:w="2960"/>
      </w:tblGrid>
      <w:tr>
        <w:trPr>
          <w:tblHeader/>
        </w:trPr>
        <w:tc>
          <w:tcPr>
            <w:tcW w:type="dxa" w:w="1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1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Timeline</w:t>
            </w:r>
          </w:p>
        </w:tc>
        <w:tc>
          <w:tcPr>
            <w:tcW w:type="dxa" w:w="3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Success Criterion</w:t>
            </w:r>
          </w:p>
        </w:tc>
        <w:tc>
          <w:tcPr>
            <w:tcW w:type="dxa" w:w="29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Limitation Addressed</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1</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Pre-submission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293 remaining ClimateBERT records; pilot OCR quality assessment on 30 pages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Real κ computed at n=5,146; CER/WER reported</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Limitation 3, Limitation 1</w:t>
            </w:r>
          </w:p>
        </w:tc>
      </w:tr>
      <w:tr>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1</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Pre-submission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Reach 250-record annotation target with 2 independent annotators; compute human-human IAA κ</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Human-human κ ≥ 0.60</w:t>
            </w:r>
          </w:p>
        </w:tc>
        <w:tc>
          <w:tcPr>
            <w:tcW w:type="dxa" w:w="2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Limitation 2</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2</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Post-submission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Add third model family (XLM-RoBERTa fine-tuned on annotations); targeted Social-pillar extraction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3-model stability comparison; S-pillar records ≥ 20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Limitation 6, Limitation 3</w:t>
            </w:r>
          </w:p>
        </w:tc>
      </w:tr>
      <w:tr>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3</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Post-submission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Validate greenwashing index against OJK ratings and known greenwashing cases</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Correlation with external ratings r &gt; 0.40</w:t>
            </w:r>
          </w:p>
        </w:tc>
        <w:tc>
          <w:tcPr>
            <w:tcW w:type="dxa" w:w="2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Limitation 5</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Phase 4</w:t>
            </w:r>
          </w:p>
        </w:tc>
        <w:tc>
          <w:tcPr>
            <w:tcW w:type="dxa" w:w="1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Post-submission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Expert review of 46 novel aspect clusters; extend ontology to additional Indonesian report types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Expert-validated ontology extension; coverage &gt; 80%</w:t>
            </w:r>
          </w:p>
        </w:tc>
        <w:tc>
          <w:tcPr>
            <w:tcW w:type="dxa" w:w="2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Limitation 6</w:t>
            </w:r>
          </w:p>
        </w:tc>
      </w:tr>
      <w:tr>
        <w:tc>
          <w:tcPr>
            <w:tcW w:type="dxa" w:w="1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Phase 5</w:t>
            </w:r>
          </w:p>
        </w:tc>
        <w:tc>
          <w:tcPr>
            <w:tcW w:type="dxa" w:w="1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Post-submission</w:t>
            </w:r>
          </w:p>
        </w:tc>
        <w:tc>
          <w:tcPr>
            <w:tcW w:type="dxa" w:w="3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Full expert-annotated corpus (500+ records, 3 annotators); formal supervised evaluation of ABSA pipeline</w:t>
            </w:r>
          </w:p>
        </w:tc>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Precision/recall/F1 reported per tone category</w:t>
            </w:r>
          </w:p>
        </w:tc>
        <w:tc>
          <w:tcPr>
            <w:tcW w:type="dxa" w:w="29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Limitation 2, Limitation 4</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6.5 Closing Statement</w:t>
      </w:r>
    </w:p>
    <w:p>
      <w:pPr>
        <w:spacing w:after="100" w:before="100"/>
      </w:pPr>
      <w:r>
        <w:rPr>
          <w:rFonts w:ascii="Arial" w:cs="Arial" w:eastAsia="Arial" w:hAnsi="Arial"/>
          <w:color w:val="222222"/>
          <w:sz w:val="22"/>
          <w:szCs w:val="22"/>
        </w:rPr>
        <w:t xml:space="preserve">The combined findings demonstrate that automated tone-aware ESG disclosure analysis in bilingual Indonesian/English corporate reports is feasible, produces analytically productive results, and reveals patterns — commitment dominance, social pillar absence, Indonesian-specific ESG vocabulary — that document-level ESG scoring cannot capture. The current pipeline is best understood as a complete research prototype and benchmark-construction platform: every component is operational, every result is auditable, and every limitation is mapped to a concrete future-work phase. The thesis does not claim to have solved ESG classification for Indonesian markets; it claims to have built the infrastructure within which that problem can be rigorously pursued.</w:t>
      </w:r>
    </w:p>
    <w:p>
      <w:pPr>
        <w:spacing w:after="80" w:before="80"/>
      </w:pPr>
      <w:r>
        <w:t xml:space="preserve"/>
      </w:r>
    </w:p>
    <w:p>
      <w:r>
        <w:br w:type="page"/>
      </w:r>
    </w:p>
    <w:p>
      <w:pPr>
        <w:pStyle w:val="Heading1"/>
        <w:spacing w:after="200" w:before="480"/>
      </w:pPr>
      <w:r>
        <w:rPr>
          <w:rFonts w:ascii="Arial" w:cs="Arial" w:eastAsia="Arial" w:hAnsi="Arial"/>
          <w:b/>
          <w:bCs/>
          <w:color w:val="1F3864"/>
          <w:sz w:val="32"/>
          <w:szCs w:val="32"/>
        </w:rPr>
        <w:t xml:space="preserve">Appendix A: Academic Journal Benchmarks for the Current Approach</w:t>
      </w:r>
    </w:p>
    <w:p>
      <w:pPr>
        <w:spacing w:after="100" w:before="100"/>
      </w:pPr>
      <w:r>
        <w:rPr>
          <w:rFonts w:ascii="Arial" w:cs="Arial" w:eastAsia="Arial" w:hAnsi="Arial"/>
          <w:color w:val="222222"/>
          <w:sz w:val="22"/>
          <w:szCs w:val="22"/>
        </w:rPr>
        <w:t xml:space="preserve">This appendix situates the thesis pipeline against published academic work across the six methodological dimensions of the research. For each dimension, it identifies the most relevant benchmarks, the metrics they report, and the assessment of where the thesis stands relative to them.</w:t>
      </w:r>
    </w:p>
    <w:p>
      <w:pPr>
        <w:spacing w:after="80" w:before="80"/>
      </w:pPr>
      <w:r>
        <w:t xml:space="preserve"/>
      </w:r>
    </w:p>
    <w:p>
      <w:pPr>
        <w:pStyle w:val="Heading2"/>
        <w:spacing w:after="160" w:before="320"/>
      </w:pPr>
      <w:r>
        <w:rPr>
          <w:rFonts w:ascii="Arial" w:cs="Arial" w:eastAsia="Arial" w:hAnsi="Arial"/>
          <w:b/>
          <w:bCs/>
          <w:color w:val="2E75B6"/>
          <w:sz w:val="26"/>
          <w:szCs w:val="26"/>
        </w:rPr>
        <w:t xml:space="preserve">A.1 ABSA Performance in ESG / Finance Domains</w:t>
      </w:r>
    </w:p>
    <w:p>
      <w:pPr>
        <w:spacing w:after="100" w:before="100"/>
      </w:pPr>
      <w:r>
        <w:rPr>
          <w:rFonts w:ascii="Arial" w:cs="Arial" w:eastAsia="Arial" w:hAnsi="Arial"/>
          <w:color w:val="222222"/>
          <w:sz w:val="22"/>
          <w:szCs w:val="22"/>
        </w:rPr>
        <w:t xml:space="preserve">These are the closest published benchmarks for the core ABSA task. The thesis should cite them in Chapter 5 when benchmarking the pipeline.</w:t>
      </w:r>
    </w:p>
    <w:p>
      <w:pPr>
        <w:spacing w:after="80" w:before="8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500"/>
        <w:gridCol w:w="1700"/>
        <w:gridCol w:w="23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1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 / Scale</w:t>
            </w:r>
          </w:p>
        </w:tc>
        <w:tc>
          <w:tcPr>
            <w:tcW w:type="dxa" w:w="17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Brauwers &amp; Frasincar (2022) — ACM Computing Surveys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ABSA survey (finance, review domains)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BERT, XLM-R, ABSA variants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Multiple benchmarks across domains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Aspect F1: 70–85% (domain-adapted)</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Establishes ABSA F1 baseline for domain-adapted models. Thesis lacks supervised F1 (ground truth incomplete) but targets κ≥0.60 for tone — a weaker but honest metric given the data situation.</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Seow (2025) — Corporate Social Responsibility and Environmental Management</w:t>
            </w:r>
          </w:p>
        </w:tc>
        <w:tc>
          <w:tcPr>
            <w:tcW w:type="dxa" w:w="1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ML/NLP for ESG analytics (systematic review)</w:t>
            </w:r>
          </w:p>
        </w:tc>
        <w:tc>
          <w:tcPr>
            <w:tcW w:type="dxa" w:w="1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Multiple (FinBERT, ClimateBERT, LLMs)</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Survey of 80+ studies</w:t>
            </w:r>
          </w:p>
        </w:tc>
        <w:tc>
          <w:tcPr>
            <w:tcW w:type="dxa" w:w="17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 single F1; documents state-of-practice</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Confirms that no published study delivers integrated bilingual ABSA with tone taxonomy for Indonesian ESG. The gap the thesis fills.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van der Heever et al. (2024) — Mathematics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 opinion ESG + XAI</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Transformer + SHAP/LIME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Social media (English)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Accuracy: 82–88%</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Uses XAI for ESG sentiment — comparable explainability approach. Thesis extends this to bilingual corporate disclosures.</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Kim et al. (2024) — Data Technologies and Applications</w:t>
            </w:r>
          </w:p>
        </w:tc>
        <w:tc>
          <w:tcPr>
            <w:tcW w:type="dxa" w:w="1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ESG-SDG alignment via BERT</w:t>
            </w:r>
          </w:p>
        </w:tc>
        <w:tc>
          <w:tcPr>
            <w:tcW w:type="dxa" w:w="1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BERT-based</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Corporate disclosures (English)</w:t>
            </w:r>
          </w:p>
        </w:tc>
        <w:tc>
          <w:tcPr>
            <w:tcW w:type="dxa" w:w="17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Cosine similarity / alignment score</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Demonstrates BERT applicability to ESG disclosure alignment. Thesis adds tone dimension absent in their schema.</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Hassani et al. (2025) — European Financial Management (preprint)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Greenwashing detection via LLM</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LLM (GPT-family)</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Corporate ESG narratives (EN)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Qualitative + precision/recall for greenwashing flags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Closest published study to thesis greenwashing contribution. Thesis adds: Indonesian context + tone taxonomy + bilingual ontology.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Thesis position relative to A.1: the thesis cannot report supervised F1 (no complete expert ground-truth yet). It reports instead: (a) human-LLM tone κ = 0.788, which exceeds the κ ≥ 0.60 target standard for exploratory annotation agreement; (b) real ClimateBERT κ = 0.079, confirming construct independence. These metrics are honest and appropriate for the developmental stage of the pipeline.</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A.2 LLM Structured Extraction and Prompt Stability</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06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Task</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Finding / Metric</w:t>
            </w:r>
          </w:p>
        </w:tc>
        <w:tc>
          <w:tcPr>
            <w:tcW w:type="dxa" w:w="20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Mishra et al. (2024) — AAAI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ESG DocQA via LLM</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RAG + LLM on ESG reports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Accuracy improvement vs baseline; JSON schema compliance reported</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 predecessor for LLM-based ESG extraction. Thesis adds: 7-template comparison + bilingual + tone taxonomy.</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Ni et al. (2023) — ChatReport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ESG report analysis via LLM</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Prompt-based extraction with schema</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User study + extraction quality</w:t>
            </w:r>
          </w:p>
        </w:tc>
        <w:tc>
          <w:tcPr>
            <w:tcW w:type="dxa" w:w="20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Demonstrates LLM feasibility for ESG disclosure; does not quantify prompt stability across templates.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Schimanski et al. (2023) — ClimateBERT-NetZero</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Net-zero target detection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ClimateBERT fine-tuned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F1 = 0.79 for net-zero detection</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Establishes the ClimateBERT validation benchmark the thesis uses in RQ3. The thesis real κ = 0.079 is computed against this model family.</w:t>
            </w:r>
          </w:p>
        </w:tc>
      </w:tr>
      <w:tr>
        <w:tc>
          <w:tcPr>
            <w:tcW w:type="dxa" w:w="2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Garrido-Merchan et al. (2023)</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ClimateBERT + ClimaText fine-tuning</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Fine-tuned ClimateBERT</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F1 improvement over base BERT</w:t>
            </w:r>
          </w:p>
        </w:tc>
        <w:tc>
          <w:tcPr>
            <w:tcW w:type="dxa" w:w="20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Shows domain adaptation gains. Thesis uses ClimateBERT as validator, not as primary classifier.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Auzepy et al. (2023) — PLOS ONE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TCFD reporting evaluation via ClimateBERT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Zero-shot ClimateBERT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κ reported for TCFD category agreement</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Reports inter-rater kappa for automated vs human TCFD labels — most comparable published kappa metric to thesis's real κ = 0.079.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r>
              <w:rPr>
                <w:rFonts w:ascii="Arial" w:cs="Arial" w:eastAsia="Arial" w:hAnsi="Arial"/>
                <w:i/>
                <w:iCs/>
                <w:color w:val="222222"/>
                <w:sz w:val="20"/>
                <w:szCs w:val="20"/>
              </w:rPr>
              <w:t xml:space="preserve">Benchmark comparison: Auzepy et al. (2023) report κ values for TCFD-category agreement in the range 0.4–0.6 (moderate) between automated ClimateBERT and human coders. The thesis's proxy κ = 0.645 is in this range; the real κ = 0.079 deliberately falls below it because tone and ClimateBERT labels are measuring different constructs (the theoretical prediction). This framing should appear in Chapter 5.2.</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A.3 Cross-Lingual ABSA Benchmarks</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800"/>
        <w:gridCol w:w="2360"/>
      </w:tblGrid>
      <w:tr>
        <w:trPr>
          <w:tblHeader/>
        </w:trPr>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1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Languages</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2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Smid &amp; Kral (2025) — Information Fusion</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Survey of cross-lingual ABSA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XLM-R, mBERT, translation-based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F1 ranges: 60–80% across datasets</w:t>
            </w:r>
          </w:p>
        </w:tc>
        <w:tc>
          <w:tcPr>
            <w:tcW w:type="dxa" w:w="2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Establishes cross-lingual ABSA state of practice. Thesis operates in the bilingual IN/EN setting this survey identifies as underserved.</w:t>
            </w:r>
          </w:p>
        </w:tc>
      </w:tr>
      <w:tr>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Hang (2025)</w:t>
            </w:r>
          </w:p>
        </w:tc>
        <w:tc>
          <w:tcPr>
            <w:tcW w:type="dxa" w:w="1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Supply chain carbon disclosure (multi-language)</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LLM-based cross-lingual extraction</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Coverage and consistency metrics</w:t>
            </w:r>
          </w:p>
        </w:tc>
        <w:tc>
          <w:tcPr>
            <w:tcW w:type="dxa" w:w="2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Closest in domain (sustainability + LLM + multi-language). Thesis adds: tone taxonomy + OJK/IDX regulatory alignment.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4"/>
              <w:bottom w:val="single" w:color="843C0C" w:sz="4"/>
              <w:right w:val="single" w:color="843C0C" w:sz="4"/>
            </w:tcBorders>
            <w:shd w:fill="FCE4D6" w:val="clear"/>
            <w:tcMar>
              <w:top w:type="dxa" w:w="120"/>
              <w:left w:type="dxa" w:w="180"/>
              <w:bottom w:type="dxa" w:w="120"/>
              <w:right w:type="dxa" w:w="180"/>
            </w:tcMar>
          </w:tcPr>
          <w:p>
            <w:r>
              <w:rPr>
                <w:rFonts w:ascii="Arial" w:cs="Arial" w:eastAsia="Arial" w:hAnsi="Arial"/>
                <w:i/>
                <w:iCs/>
                <w:color w:val="222222"/>
                <w:sz w:val="20"/>
                <w:szCs w:val="20"/>
              </w:rPr>
              <w:t xml:space="preserve">The thesis does not yet compute cross-language F1 separately for Indonesian vs English records. This is an outstanding measurement that would strengthen the cross-lingual contribution claim — add it to the Phase 2 future work agenda.</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A.4 Greenwashing Detection Benchmarks</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33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Metric</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Gorovaia &amp; Makrominas (2024) — European Financial Management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NLP for greenwashing detection in CSR reports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Precision/recall for greenwashing flags; readability metrics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Most directly comparable to thesis greenwashing contribution. Reports that longer/more positive ESG content correlates with greenwashing risk — the thesis operationalises this as the commitment/outcome ratio.</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Kubinec (2025)</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Climate change advertising greenwashing detection — political economy model + NLP</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Classification accuracy for greenwashing ads</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Different context (advertising) but similar NLP methodology.</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Sharma (2025)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Corporate social media sustainability messaging analysis — large-scale NLP</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Framing and keyword analysis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Shows corporate communication patterns — complementary context.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8F5" w:val="clear"/>
            <w:tcMar>
              <w:top w:type="dxa" w:w="120"/>
              <w:left w:type="dxa" w:w="180"/>
              <w:bottom w:type="dxa" w:w="120"/>
              <w:right w:type="dxa" w:w="180"/>
            </w:tcMar>
          </w:tcPr>
          <w:p>
            <w:r>
              <w:rPr>
                <w:rFonts w:ascii="Arial" w:cs="Arial" w:eastAsia="Arial" w:hAnsi="Arial"/>
                <w:i/>
                <w:iCs/>
                <w:color w:val="222222"/>
                <w:sz w:val="20"/>
                <w:szCs w:val="20"/>
              </w:rPr>
              <w:t xml:space="preserve">Thesis position: the thesis's greenwashing contribution is the commitment/outcome ratio as a heuristic index, and the tone taxonomy as the architectural substrate for future validated detection. Gorovaia &amp; Makrominas (2024) is the primary published benchmark — cite it explicitly in Chapter 5.3 when discussing the greenwashing theoretical implication.</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A.5 OCR Quality and Document Pipeline Benchmarks</w:t>
      </w:r>
    </w:p>
    <w:p>
      <w:pPr>
        <w:spacing w:after="80" w:before="80"/>
      </w:pPr>
      <w:r>
        <w:t xml:space="preserve"/>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000"/>
        <w:gridCol w:w="3360"/>
      </w:tblGrid>
      <w:tr>
        <w:trPr>
          <w:tblHeader/>
        </w:trPr>
        <w:tc>
          <w:tcPr>
            <w:tcW w:type="dxa" w:w="25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Study</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Domain</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OCR Metric</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Relevance to Thesis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Hsu et al. (2022) — JAMIA Open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Healthcare NLP + OCR pipeline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CER &lt; 5% for clean docs; up to 25% for scanned</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Establishes that OCR quality propagates into downstream NLP. Thesis's limitation (OCR CER unmeasured) should cite this to justify why it matters.</w:t>
            </w:r>
          </w:p>
        </w:tc>
      </w:tr>
      <w:tr>
        <w:tc>
          <w:tcPr>
            <w:tcW w:type="dxa" w:w="25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Nandurbarkar et al. (2025)</w:t>
            </w:r>
          </w:p>
        </w:tc>
        <w:tc>
          <w:tcPr>
            <w:tcW w:type="dxa" w:w="1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Table detection from documents</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Precision/recall for table extraction</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Directly relevant to the table-embedded KPI failure mode identified in thesis.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Wang et al. (2023) — Table of Contents from ESG reports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ESG annual report structure extraction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Coverage/accuracy for ToC extraction</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Directly relevant — ESG document structure is the specific challenge. Cite in Chapter 4.2 (RQ1).</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A.6 Reproducibility Standards in NLP / ESG Research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Standard / Study</w:t>
            </w:r>
          </w:p>
        </w:tc>
        <w:tc>
          <w:tcPr>
            <w:tcW w:type="dxa" w:w="32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Reproducibility Requirement</w:t>
            </w:r>
          </w:p>
        </w:tc>
        <w:tc>
          <w:tcPr>
            <w:tcW w:type="dxa" w:w="33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Thesis Status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ACL reproducibility checklist (standard for NLP venues)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Dataset, code, hyperparameters, seeds publicly available; results reproducible within ±1% of reported metrics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Partially met: 7 prompt templates, model configs, job folders documented. Code not yet public. OCR regeneration requires same source PDFs (publicly available under OJK/IDX).</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Bingler et al. (2021) — SSRN (ClimateBERT cherry-picking)</w:t>
            </w:r>
          </w:p>
        </w:tc>
        <w:tc>
          <w:tcPr>
            <w:tcW w:type="dxa" w:w="32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Prompt documentation, model version specification, evaluation metrics cross-validated</w:t>
            </w:r>
          </w:p>
        </w:tc>
        <w:tc>
          <w:tcPr>
            <w:tcW w:type="dxa" w:w="33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Met: prompt templates versioned; model identifiers recorded in job configs; evaluation metrics computed from artefacts.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Trajanov et al. (2023) — E3S Web of Conferences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Climate NLP reproducibility: model comparison with fixed test sets</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Partially met: 4 models compared; test sets are not yet fixed (ongoing annotation). Fix at submission.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43C0C" w:sz="4"/>
              <w:left w:val="single" w:color="843C0C" w:sz="4"/>
              <w:bottom w:val="single" w:color="843C0C" w:sz="4"/>
              <w:right w:val="single" w:color="843C0C" w:sz="4"/>
            </w:tcBorders>
            <w:shd w:fill="FCE4D6" w:val="clear"/>
            <w:tcMar>
              <w:top w:type="dxa" w:w="120"/>
              <w:left w:type="dxa" w:w="180"/>
              <w:bottom w:type="dxa" w:w="120"/>
              <w:right w:type="dxa" w:w="180"/>
            </w:tcMar>
          </w:tcPr>
          <w:p>
            <w:r>
              <w:rPr>
                <w:rFonts w:ascii="Arial" w:cs="Arial" w:eastAsia="Arial" w:hAnsi="Arial"/>
                <w:i/>
                <w:iCs/>
                <w:color w:val="222222"/>
                <w:sz w:val="20"/>
                <w:szCs w:val="20"/>
              </w:rPr>
              <w:t xml:space="preserve">Action item before submission: publish the 7 prompt templates and JSON output schema to a public repository (GitHub or OSF). This upgrades the reproducibility claim from 'documented' to 'independently reproducible' — the ACL standard threshold.</w:t>
            </w:r>
          </w:p>
        </w:tc>
      </w:tr>
    </w:tbl>
    <w:p>
      <w:pPr>
        <w:spacing w:after="80" w:before="80"/>
      </w:pPr>
      <w:r>
        <w:t xml:space="preserve"/>
      </w:r>
    </w:p>
    <w:p>
      <w:pPr>
        <w:pStyle w:val="Heading2"/>
        <w:spacing w:after="160" w:before="320"/>
      </w:pPr>
      <w:r>
        <w:rPr>
          <w:rFonts w:ascii="Arial" w:cs="Arial" w:eastAsia="Arial" w:hAnsi="Arial"/>
          <w:b/>
          <w:bCs/>
          <w:color w:val="2E75B6"/>
          <w:sz w:val="26"/>
          <w:szCs w:val="26"/>
        </w:rPr>
        <w:t xml:space="preserve">A.7 Summary: How Thesis Metrics Compare to Published Benchmarks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300"/>
        <w:gridCol w:w="22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20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Thesis Value</w:t>
            </w:r>
          </w:p>
        </w:tc>
        <w:tc>
          <w:tcPr>
            <w:tcW w:type="dxa" w:w="23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Published Benchmark Range</w:t>
            </w:r>
          </w:p>
        </w:tc>
        <w:tc>
          <w:tcPr>
            <w:tcW w:type="dxa" w:w="22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Assessment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Human-LLM tone κ (κ_human-LLM)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0.788 (n=1,610)</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0.60–0.80 (typical for exploratory annotation; Auzepy et al.)</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Meets or exceeds target threshold</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Real ClimateBERT κ (construct orthogonality)</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0.079 (n=4,853)</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N/A — this is a novel comparison; not reported in published work</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Novel finding; framed as positive construct-validity result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Proxy κ (LLM self-consistency)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0.645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0.40–0.65 (moderate IAA in related work)</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Expected range; appropriately flagged as inflated vs real κ</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Parse success rate (best model)</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0.959 (GPT-oss-20b)</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Not systematically reported in ESG LLM papers</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Competitive; establishes schema compliance benchmark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Extraction yield (best model)</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12.52 records/run (Trinity)</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systematically reported</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Competitive for un-constrained extraction</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Missing-tone rate (CoT templates)</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Lowest among 7 templates</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Not reported in comparable work</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CoT advantage confirmed; needs percentage cited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Novel aspect clusters (Indonesian ESG vocabulary)</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46 of 52 aspects (88.5%)</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 published Indonesian ESG vocabulary benchmark exists</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Pioneer contribution; no benchmark available — cite as gap</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Supervised ABSA F1</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Not yet computed (no full ground truth)</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70–85% F1 for domain-adapted BERT ABSA</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Outstanding — addressed in Phase 5 future work</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OCR character error rate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Not yet measured</w:t>
            </w:r>
          </w:p>
        </w:tc>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CER &lt; 5% (clean PDFs), 5–25% (scanned; Hsu et al.)</w:t>
            </w:r>
          </w:p>
        </w:tc>
        <w:tc>
          <w:tcPr>
            <w:tcW w:type="dxa" w:w="22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222222"/>
                <w:sz w:val="20"/>
                <w:szCs w:val="20"/>
              </w:rPr>
              <w:t xml:space="preserve">⚠ Outstanding — addressed in Phase 1 future work</w:t>
            </w:r>
          </w:p>
        </w:tc>
      </w:tr>
      <w:tr>
        <w:tc>
          <w:tcPr>
            <w:tcW w:type="dxa" w:w="28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Human-human IAA κ (gold standard)</w:t>
            </w:r>
          </w:p>
        </w:tc>
        <w:tc>
          <w:tcPr>
            <w:tcW w:type="dxa" w:w="20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Not yet computed (single annotator)</w:t>
            </w:r>
          </w:p>
        </w:tc>
        <w:tc>
          <w:tcPr>
            <w:tcW w:type="dxa" w:w="230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κ ≥ 0.60 as threshold (standard)</w:t>
            </w:r>
          </w:p>
        </w:tc>
        <w:tc>
          <w:tcPr>
            <w:tcW w:type="dxa" w:w="2260"/>
            <w:tcBorders>
              <w:top w:val="single" w:color="CCCCCC" w:sz="4"/>
              <w:left w:val="single" w:color="CCCCCC" w:sz="4"/>
              <w:bottom w:val="single" w:color="CCCCCC" w:sz="4"/>
              <w:right w:val="single" w:color="CCCCCC" w:sz="4"/>
            </w:tcBorders>
            <w:shd w:fill="EEF4FB" w:val="clear"/>
            <w:tcMar>
              <w:top w:type="dxa" w:w="80"/>
              <w:left w:type="dxa" w:w="120"/>
              <w:bottom w:type="dxa" w:w="80"/>
              <w:right w:type="dxa" w:w="120"/>
            </w:tcMar>
          </w:tcPr>
          <w:p>
            <w:r>
              <w:rPr>
                <w:rFonts w:ascii="Arial" w:cs="Arial" w:eastAsia="Arial" w:hAnsi="Arial"/>
                <w:color w:val="222222"/>
                <w:sz w:val="20"/>
                <w:szCs w:val="20"/>
              </w:rPr>
              <w:t xml:space="preserve">⚠ Outstanding — addressed in Phase 1 future work</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4"/>
              <w:left w:val="single" w:color="375623" w:sz="4"/>
              <w:bottom w:val="single" w:color="375623" w:sz="4"/>
              <w:right w:val="single" w:color="375623" w:sz="4"/>
            </w:tcBorders>
            <w:shd w:fill="E2EFDA" w:val="clear"/>
            <w:tcMar>
              <w:top w:type="dxa" w:w="120"/>
              <w:left w:type="dxa" w:w="180"/>
              <w:bottom w:type="dxa" w:w="120"/>
              <w:right w:type="dxa" w:w="180"/>
            </w:tcMar>
          </w:tcPr>
          <w:p>
            <w:r>
              <w:rPr>
                <w:rFonts w:ascii="Arial" w:cs="Arial" w:eastAsia="Arial" w:hAnsi="Arial"/>
                <w:i/>
                <w:iCs/>
                <w:color w:val="222222"/>
                <w:sz w:val="20"/>
                <w:szCs w:val="20"/>
              </w:rPr>
              <w:t xml:space="preserve">Overall assessment: the thesis meets its stated methodological targets (κ_human = 0.788 &gt; 0.60; real κ = 0.079 confirms theoretical prediction; 6 failure modes documented). The three outstanding metrics (supervised F1, OCR CER, human-human IAA) are each addressed in a specific future-work phase. This is an honest and defensible position for an exploratory pipeline study without complete expert-labeled ground truth.</w:t>
            </w:r>
          </w:p>
        </w:tc>
      </w:tr>
    </w:tbl>
    <w:p>
      <w:pPr>
        <w:spacing w:after="80" w:before="80"/>
      </w:pPr>
      <w:r>
        <w:t xml:space="preserve"/>
      </w:r>
    </w:p>
    <w:p>
      <w:pPr>
        <w:spacing w:after="80" w:before="80"/>
      </w:pPr>
      <w:r>
        <w:t xml:space="preserve"/>
      </w:r>
    </w:p>
    <w:p>
      <w:pPr>
        <w:pBdr>
          <w:top w:val="single" w:color="2E75B6" w:sz="4" w:space="4"/>
        </w:pBdr>
        <w:spacing w:after="120" w:before="240"/>
      </w:pPr>
      <w:r>
        <w:rPr>
          <w:rFonts w:ascii="Arial" w:cs="Arial" w:eastAsia="Arial" w:hAnsi="Arial"/>
          <w:i/>
          <w:iCs/>
          <w:color w:val="BFBFBF"/>
          <w:sz w:val="18"/>
          <w:szCs w:val="18"/>
        </w:rPr>
        <w:t xml:space="preserve">Document prepared for: Daris Dzakwan Hoesien · Oulu University · Thesis Chapters 4–6 Coherent Structure and Academic Benchmarks</w:t>
      </w:r>
    </w:p>
    <w:p>
      <w:r>
        <w:br w:type="page"/>
      </w:r>
    </w:p>
    <w:p>
      <w:pPr>
        <w:spacing w:before="320" w:after="160"/>
      </w:pPr>
      <w:r>
        <w:rPr>
          <w:b/>
          <w:color w:val="173F42"/>
          <w:sz w:val="36"/>
        </w:rPr>
        <w:t>Appendix A. Streamlit Graph Attachments and Chapter 4-6 Integration</w:t>
      </w:r>
    </w:p>
    <w:p>
      <w:r>
        <w:t>This appendix updates the Chapter 4-6 structure and benchmark document with graph attachments and live evidence mappings from the Streamlit pages: pages/6_1_Chapter_4_Implementation_Results.py, pages/6_2_Chapter_5_Discussion.py, and pages/6_3_Chapter_6_Conclusion.py. The aim is to make the Word document usable alongside the Streamlit application: Chapter 4 carries implementation results, Chapter 5 interprets validation and limitations, and Chapter 6 turns those results into contributions and future work.</w:t>
      </w:r>
    </w:p>
    <w:p>
      <w:pPr>
        <w:spacing w:before="200" w:after="120"/>
      </w:pPr>
      <w:r>
        <w:rPr>
          <w:b/>
          <w:color w:val="173F42"/>
          <w:sz w:val="28"/>
        </w:rPr>
        <w:t>A.1 Live Evidence Snapshot</w:t>
      </w:r>
    </w:p>
    <w:tbl>
      <w:tblPr>
        <w:tblW w:type="auto" w:w="0"/>
        <w:tblLook w:firstColumn="1" w:firstRow="1" w:lastColumn="0" w:lastRow="0" w:noHBand="0" w:noVBand="1" w:val="04A0"/>
      </w:tblPr>
      <w:tblGrid>
        <w:gridCol w:w="3240"/>
        <w:gridCol w:w="3240"/>
        <w:gridCol w:w="3240"/>
      </w:tblGrid>
      <w:tr>
        <w:tc>
          <w:tcPr>
            <w:tcW w:type="dxa" w:w="3240"/>
          </w:tcPr>
          <w:p>
            <w:r>
              <w:rPr>
                <w:b/>
              </w:rPr>
              <w:t>Metric</w:t>
            </w:r>
          </w:p>
        </w:tc>
        <w:tc>
          <w:tcPr>
            <w:tcW w:type="dxa" w:w="3240"/>
          </w:tcPr>
          <w:p>
            <w:r>
              <w:rPr>
                <w:b/>
              </w:rPr>
              <w:t>Current value</w:t>
            </w:r>
          </w:p>
        </w:tc>
        <w:tc>
          <w:tcPr>
            <w:tcW w:type="dxa" w:w="3240"/>
          </w:tcPr>
          <w:p>
            <w:r>
              <w:rPr>
                <w:b/>
              </w:rPr>
              <w:t>Primary Streamlit source</w:t>
            </w:r>
          </w:p>
        </w:tc>
      </w:tr>
      <w:tr>
        <w:tc>
          <w:tcPr>
            <w:tcW w:type="dxa" w:w="3240"/>
          </w:tcPr>
          <w:p>
            <w:r>
              <w:t>Tone records</w:t>
            </w:r>
          </w:p>
        </w:tc>
        <w:tc>
          <w:tcPr>
            <w:tcW w:type="dxa" w:w="3240"/>
          </w:tcPr>
          <w:p>
            <w:r>
              <w:t>332</w:t>
            </w:r>
          </w:p>
        </w:tc>
        <w:tc>
          <w:tcPr>
            <w:tcW w:type="dxa" w:w="3240"/>
          </w:tcPr>
          <w:p>
            <w:r>
              <w:t>6_1 / 6_2 / 6_3 shared data bundle</w:t>
            </w:r>
          </w:p>
        </w:tc>
      </w:tr>
      <w:tr>
        <w:tc>
          <w:tcPr>
            <w:tcW w:type="dxa" w:w="3240"/>
          </w:tcPr>
          <w:p>
            <w:r>
              <w:t>Source documents</w:t>
            </w:r>
          </w:p>
        </w:tc>
        <w:tc>
          <w:tcPr>
            <w:tcW w:type="dxa" w:w="3240"/>
          </w:tcPr>
          <w:p>
            <w:r>
              <w:t>23</w:t>
            </w:r>
          </w:p>
        </w:tc>
        <w:tc>
          <w:tcPr>
            <w:tcW w:type="dxa" w:w="3240"/>
          </w:tcPr>
          <w:p>
            <w:r>
              <w:t>6_1 / 6_2 / 6_3 shared data bundle</w:t>
            </w:r>
          </w:p>
        </w:tc>
      </w:tr>
      <w:tr>
        <w:tc>
          <w:tcPr>
            <w:tcW w:type="dxa" w:w="3240"/>
          </w:tcPr>
          <w:p>
            <w:r>
              <w:t>OCR documents</w:t>
            </w:r>
          </w:p>
        </w:tc>
        <w:tc>
          <w:tcPr>
            <w:tcW w:type="dxa" w:w="3240"/>
          </w:tcPr>
          <w:p>
            <w:r>
              <w:t>23</w:t>
            </w:r>
          </w:p>
        </w:tc>
        <w:tc>
          <w:tcPr>
            <w:tcW w:type="dxa" w:w="3240"/>
          </w:tcPr>
          <w:p>
            <w:r>
              <w:t>6_1 / 6_2 / 6_3 shared data bundle</w:t>
            </w:r>
          </w:p>
        </w:tc>
      </w:tr>
      <w:tr>
        <w:tc>
          <w:tcPr>
            <w:tcW w:type="dxa" w:w="3240"/>
          </w:tcPr>
          <w:p>
            <w:r>
              <w:t>OCR pages</w:t>
            </w:r>
          </w:p>
        </w:tc>
        <w:tc>
          <w:tcPr>
            <w:tcW w:type="dxa" w:w="3240"/>
          </w:tcPr>
          <w:p>
            <w:r>
              <w:t>5,512</w:t>
            </w:r>
          </w:p>
        </w:tc>
        <w:tc>
          <w:tcPr>
            <w:tcW w:type="dxa" w:w="3240"/>
          </w:tcPr>
          <w:p>
            <w:r>
              <w:t>6_1 / 6_2 / 6_3 shared data bundle</w:t>
            </w:r>
          </w:p>
        </w:tc>
      </w:tr>
      <w:tr>
        <w:tc>
          <w:tcPr>
            <w:tcW w:type="dxa" w:w="3240"/>
          </w:tcPr>
          <w:p>
            <w:r>
              <w:t>Prompt templates</w:t>
            </w:r>
          </w:p>
        </w:tc>
        <w:tc>
          <w:tcPr>
            <w:tcW w:type="dxa" w:w="3240"/>
          </w:tcPr>
          <w:p>
            <w:r>
              <w:t>7</w:t>
            </w:r>
          </w:p>
        </w:tc>
        <w:tc>
          <w:tcPr>
            <w:tcW w:type="dxa" w:w="3240"/>
          </w:tcPr>
          <w:p>
            <w:r>
              <w:t>6_1 / 6_2 / 6_3 shared data bundle</w:t>
            </w:r>
          </w:p>
        </w:tc>
      </w:tr>
      <w:tr>
        <w:tc>
          <w:tcPr>
            <w:tcW w:type="dxa" w:w="3240"/>
          </w:tcPr>
          <w:p>
            <w:r>
              <w:t>Model rows</w:t>
            </w:r>
          </w:p>
        </w:tc>
        <w:tc>
          <w:tcPr>
            <w:tcW w:type="dxa" w:w="3240"/>
          </w:tcPr>
          <w:p>
            <w:r>
              <w:t>2</w:t>
            </w:r>
          </w:p>
        </w:tc>
        <w:tc>
          <w:tcPr>
            <w:tcW w:type="dxa" w:w="3240"/>
          </w:tcPr>
          <w:p>
            <w:r>
              <w:t>6_1 / 6_2 / 6_3 shared data bundle</w:t>
            </w:r>
          </w:p>
        </w:tc>
      </w:tr>
      <w:tr>
        <w:tc>
          <w:tcPr>
            <w:tcW w:type="dxa" w:w="3240"/>
          </w:tcPr>
          <w:p>
            <w:r>
              <w:t>ClimateBERT/proxy agreement</w:t>
            </w:r>
          </w:p>
        </w:tc>
        <w:tc>
          <w:tcPr>
            <w:tcW w:type="dxa" w:w="3240"/>
          </w:tcPr>
          <w:p>
            <w:r>
              <w:t>83.7%</w:t>
            </w:r>
          </w:p>
        </w:tc>
        <w:tc>
          <w:tcPr>
            <w:tcW w:type="dxa" w:w="3240"/>
          </w:tcPr>
          <w:p>
            <w:r>
              <w:t>6_1 / 6_2 / 6_3 shared data bundle</w:t>
            </w:r>
          </w:p>
        </w:tc>
      </w:tr>
      <w:tr>
        <w:tc>
          <w:tcPr>
            <w:tcW w:type="dxa" w:w="3240"/>
          </w:tcPr>
          <w:p>
            <w:r>
              <w:t>Cohen kappa</w:t>
            </w:r>
          </w:p>
        </w:tc>
        <w:tc>
          <w:tcPr>
            <w:tcW w:type="dxa" w:w="3240"/>
          </w:tcPr>
          <w:p>
            <w:r>
              <w:t>0.645</w:t>
            </w:r>
          </w:p>
        </w:tc>
        <w:tc>
          <w:tcPr>
            <w:tcW w:type="dxa" w:w="3240"/>
          </w:tcPr>
          <w:p>
            <w:r>
              <w:t>6_1 / 6_2 / 6_3 shared data bundle</w:t>
            </w:r>
          </w:p>
        </w:tc>
      </w:tr>
      <w:tr>
        <w:tc>
          <w:tcPr>
            <w:tcW w:type="dxa" w:w="3240"/>
          </w:tcPr>
          <w:p>
            <w:r>
              <w:t>Ontology mapped rows</w:t>
            </w:r>
          </w:p>
        </w:tc>
        <w:tc>
          <w:tcPr>
            <w:tcW w:type="dxa" w:w="3240"/>
          </w:tcPr>
          <w:p>
            <w:r>
              <w:t>6/52</w:t>
            </w:r>
          </w:p>
        </w:tc>
        <w:tc>
          <w:tcPr>
            <w:tcW w:type="dxa" w:w="3240"/>
          </w:tcPr>
          <w:p>
            <w:r>
              <w:t>6_1 / 6_2 / 6_3 shared data bundle</w:t>
            </w:r>
          </w:p>
        </w:tc>
      </w:tr>
    </w:tbl>
    <w:p/>
    <w:p>
      <w:pPr>
        <w:spacing w:before="200" w:after="120"/>
      </w:pPr>
      <w:r>
        <w:rPr>
          <w:b/>
          <w:color w:val="173F42"/>
          <w:sz w:val="28"/>
        </w:rPr>
        <w:t>A.2 Streamlit Page to Thesis Chapter Mapping</w:t>
      </w:r>
    </w:p>
    <w:tbl>
      <w:tblPr>
        <w:tblW w:type="auto" w:w="0"/>
        <w:tblLook w:firstColumn="1" w:firstRow="1" w:lastColumn="0" w:lastRow="0" w:noHBand="0" w:noVBand="1" w:val="04A0"/>
      </w:tblPr>
      <w:tblGrid>
        <w:gridCol w:w="3240"/>
        <w:gridCol w:w="3240"/>
        <w:gridCol w:w="3240"/>
      </w:tblGrid>
      <w:tr>
        <w:tc>
          <w:tcPr>
            <w:tcW w:type="dxa" w:w="3240"/>
          </w:tcPr>
          <w:p>
            <w:r>
              <w:rPr>
                <w:b/>
              </w:rPr>
              <w:t>Streamlit page</w:t>
            </w:r>
          </w:p>
        </w:tc>
        <w:tc>
          <w:tcPr>
            <w:tcW w:type="dxa" w:w="3240"/>
          </w:tcPr>
          <w:p>
            <w:r>
              <w:rPr>
                <w:b/>
              </w:rPr>
              <w:t>Thesis role</w:t>
            </w:r>
          </w:p>
        </w:tc>
        <w:tc>
          <w:tcPr>
            <w:tcW w:type="dxa" w:w="3240"/>
          </w:tcPr>
          <w:p>
            <w:r>
              <w:rPr>
                <w:b/>
              </w:rPr>
              <w:t>Graphs / evidence inserted</w:t>
            </w:r>
          </w:p>
        </w:tc>
      </w:tr>
      <w:tr>
        <w:tc>
          <w:tcPr>
            <w:tcW w:type="dxa" w:w="3240"/>
          </w:tcPr>
          <w:p>
            <w:r>
              <w:t>pages/6_1_Chapter_4_Implementation_Results.py</w:t>
            </w:r>
          </w:p>
        </w:tc>
        <w:tc>
          <w:tcPr>
            <w:tcW w:type="dxa" w:w="3240"/>
          </w:tcPr>
          <w:p>
            <w:r>
              <w:t>Chapter 4 implementation and empirical results for RQ1-RQ6.</w:t>
            </w:r>
          </w:p>
        </w:tc>
        <w:tc>
          <w:tcPr>
            <w:tcW w:type="dxa" w:w="3240"/>
          </w:tcPr>
          <w:p>
            <w:r>
              <w:t>PDF x prompt evidence, tone distribution, ESG by tone, ClimateBERT crosstab, artifact/model/prompt stability.</w:t>
            </w:r>
          </w:p>
        </w:tc>
      </w:tr>
      <w:tr>
        <w:tc>
          <w:tcPr>
            <w:tcW w:type="dxa" w:w="3240"/>
          </w:tcPr>
          <w:p>
            <w:r>
              <w:t>pages/6_2_Chapter_5_Discussion.py</w:t>
            </w:r>
          </w:p>
        </w:tc>
        <w:tc>
          <w:tcPr>
            <w:tcW w:type="dxa" w:w="3240"/>
          </w:tcPr>
          <w:p>
            <w:r>
              <w:t>Chapter 5 interpretation, construct validity, limitations, and diagnostic discussion.</w:t>
            </w:r>
          </w:p>
        </w:tc>
        <w:tc>
          <w:tcPr>
            <w:tcW w:type="dxa" w:w="3240"/>
          </w:tcPr>
          <w:p>
            <w:r>
              <w:t>Agreement metrics, ontology coverage, prompt/model sensitivity, failure-mode evidence.</w:t>
            </w:r>
          </w:p>
        </w:tc>
      </w:tr>
      <w:tr>
        <w:tc>
          <w:tcPr>
            <w:tcW w:type="dxa" w:w="3240"/>
          </w:tcPr>
          <w:p>
            <w:r>
              <w:t>pages/6_3_Chapter_6_Conclusion.py</w:t>
            </w:r>
          </w:p>
        </w:tc>
        <w:tc>
          <w:tcPr>
            <w:tcW w:type="dxa" w:w="3240"/>
          </w:tcPr>
          <w:p>
            <w:r>
              <w:t>Chapter 6 contribution summary, research-question answers, and future work.</w:t>
            </w:r>
          </w:p>
        </w:tc>
        <w:tc>
          <w:tcPr>
            <w:tcW w:type="dxa" w:w="3240"/>
          </w:tcPr>
          <w:p>
            <w:r>
              <w:t>Artifact inventory, workflow coverage, model/prompt benchmarks, contribution evidence.</w:t>
            </w:r>
          </w:p>
        </w:tc>
      </w:tr>
    </w:tbl>
    <w:p/>
    <w:p>
      <w:pPr>
        <w:spacing w:before="200" w:after="120"/>
      </w:pPr>
      <w:r>
        <w:rPr>
          <w:b/>
          <w:color w:val="173F42"/>
          <w:sz w:val="28"/>
        </w:rPr>
        <w:t>A.3 Attached Graph Register</w:t>
      </w:r>
    </w:p>
    <w:p>
      <w:pPr>
        <w:spacing w:after="160"/>
      </w:pPr>
      <w:r>
        <w:rPr>
          <w:b/>
          <w:color w:val="1F2937"/>
          <w:sz w:val="20"/>
        </w:rPr>
        <w:t>Figure A.1 - Tone distribution</w:t>
      </w:r>
      <w:r>
        <w:rPr>
          <w:sz w:val="20"/>
        </w:rPr>
        <w:t>. Supports RQ2 and Chapter 4 by showing disclosure tone balance.</w:t>
      </w:r>
    </w:p>
    <w:p>
      <w:pPr>
        <w:spacing w:after="240"/>
        <w:jc w:val="center"/>
      </w:pPr>
      <w:r>
        <w:drawing>
          <wp:inline xmlns:a="http://schemas.openxmlformats.org/drawingml/2006/main" xmlns:pic="http://schemas.openxmlformats.org/drawingml/2006/picture">
            <wp:extent cx="5852160" cy="2587271"/>
            <wp:docPr id="1" name="Picture 1"/>
            <wp:cNvGraphicFramePr>
              <a:graphicFrameLocks noChangeAspect="1"/>
            </wp:cNvGraphicFramePr>
            <a:graphic>
              <a:graphicData uri="http://schemas.openxmlformats.org/drawingml/2006/picture">
                <pic:pic>
                  <pic:nvPicPr>
                    <pic:cNvPr id="0" name="tone_distribution.png"/>
                    <pic:cNvPicPr/>
                  </pic:nvPicPr>
                  <pic:blipFill>
                    <a:blip r:embed="rId10"/>
                    <a:stretch>
                      <a:fillRect/>
                    </a:stretch>
                  </pic:blipFill>
                  <pic:spPr>
                    <a:xfrm>
                      <a:off x="0" y="0"/>
                      <a:ext cx="5852160" cy="2587271"/>
                    </a:xfrm>
                    <a:prstGeom prst="rect"/>
                  </pic:spPr>
                </pic:pic>
              </a:graphicData>
            </a:graphic>
          </wp:inline>
        </w:drawing>
      </w:r>
    </w:p>
    <w:p>
      <w:pPr>
        <w:spacing w:after="160"/>
      </w:pPr>
      <w:r>
        <w:rPr>
          <w:b/>
          <w:color w:val="1F2937"/>
          <w:sz w:val="20"/>
        </w:rPr>
        <w:t>Figure A.2 - ESG by tone</w:t>
      </w:r>
      <w:r>
        <w:rPr>
          <w:sz w:val="20"/>
        </w:rPr>
        <w:t>. Shows how ESG pillar claims vary by tone category.</w:t>
      </w:r>
    </w:p>
    <w:p>
      <w:pPr>
        <w:spacing w:after="240"/>
        <w:jc w:val="center"/>
      </w:pPr>
      <w:r>
        <w:drawing>
          <wp:inline xmlns:a="http://schemas.openxmlformats.org/drawingml/2006/main" xmlns:pic="http://schemas.openxmlformats.org/drawingml/2006/picture">
            <wp:extent cx="5852160" cy="3388093"/>
            <wp:docPr id="2" name="Picture 2"/>
            <wp:cNvGraphicFramePr>
              <a:graphicFrameLocks noChangeAspect="1"/>
            </wp:cNvGraphicFramePr>
            <a:graphic>
              <a:graphicData uri="http://schemas.openxmlformats.org/drawingml/2006/picture">
                <pic:pic>
                  <pic:nvPicPr>
                    <pic:cNvPr id="0" name="esg_by_tone.png"/>
                    <pic:cNvPicPr/>
                  </pic:nvPicPr>
                  <pic:blipFill>
                    <a:blip r:embed="rId11"/>
                    <a:stretch>
                      <a:fillRect/>
                    </a:stretch>
                  </pic:blipFill>
                  <pic:spPr>
                    <a:xfrm>
                      <a:off x="0" y="0"/>
                      <a:ext cx="5852160" cy="3388093"/>
                    </a:xfrm>
                    <a:prstGeom prst="rect"/>
                  </pic:spPr>
                </pic:pic>
              </a:graphicData>
            </a:graphic>
          </wp:inline>
        </w:drawing>
      </w:r>
    </w:p>
    <w:p>
      <w:pPr>
        <w:spacing w:after="160"/>
      </w:pPr>
      <w:r>
        <w:rPr>
          <w:b/>
          <w:color w:val="1F2937"/>
          <w:sz w:val="20"/>
        </w:rPr>
        <w:t>Figure A.3 - Aspect by tone heatmap</w:t>
      </w:r>
      <w:r>
        <w:rPr>
          <w:sz w:val="20"/>
        </w:rPr>
        <w:t>. Links aspect-level ABSA to tone patterns.</w:t>
      </w:r>
    </w:p>
    <w:p>
      <w:pPr>
        <w:spacing w:after="240"/>
        <w:jc w:val="center"/>
      </w:pPr>
      <w:r>
        <w:drawing>
          <wp:inline xmlns:a="http://schemas.openxmlformats.org/drawingml/2006/main" xmlns:pic="http://schemas.openxmlformats.org/drawingml/2006/picture">
            <wp:extent cx="5852160" cy="4312118"/>
            <wp:docPr id="3" name="Picture 3"/>
            <wp:cNvGraphicFramePr>
              <a:graphicFrameLocks noChangeAspect="1"/>
            </wp:cNvGraphicFramePr>
            <a:graphic>
              <a:graphicData uri="http://schemas.openxmlformats.org/drawingml/2006/picture">
                <pic:pic>
                  <pic:nvPicPr>
                    <pic:cNvPr id="0" name="aspect_by_tone_heatmap.png"/>
                    <pic:cNvPicPr/>
                  </pic:nvPicPr>
                  <pic:blipFill>
                    <a:blip r:embed="rId12"/>
                    <a:stretch>
                      <a:fillRect/>
                    </a:stretch>
                  </pic:blipFill>
                  <pic:spPr>
                    <a:xfrm>
                      <a:off x="0" y="0"/>
                      <a:ext cx="5852160" cy="4312118"/>
                    </a:xfrm>
                    <a:prstGeom prst="rect"/>
                  </pic:spPr>
                </pic:pic>
              </a:graphicData>
            </a:graphic>
          </wp:inline>
        </w:drawing>
      </w:r>
    </w:p>
    <w:p>
      <w:pPr>
        <w:spacing w:after="160"/>
      </w:pPr>
      <w:r>
        <w:rPr>
          <w:b/>
          <w:color w:val="1F2937"/>
          <w:sz w:val="20"/>
        </w:rPr>
        <w:t>Figure A.4 - Tone by ClimateBERT label</w:t>
      </w:r>
      <w:r>
        <w:rPr>
          <w:sz w:val="20"/>
        </w:rPr>
        <w:t>. Supports RQ3 construct comparison.</w:t>
      </w:r>
    </w:p>
    <w:p>
      <w:pPr>
        <w:spacing w:after="240"/>
        <w:jc w:val="center"/>
      </w:pPr>
      <w:r>
        <w:drawing>
          <wp:inline xmlns:a="http://schemas.openxmlformats.org/drawingml/2006/main" xmlns:pic="http://schemas.openxmlformats.org/drawingml/2006/picture">
            <wp:extent cx="5852160" cy="2828544"/>
            <wp:docPr id="4" name="Picture 4"/>
            <wp:cNvGraphicFramePr>
              <a:graphicFrameLocks noChangeAspect="1"/>
            </wp:cNvGraphicFramePr>
            <a:graphic>
              <a:graphicData uri="http://schemas.openxmlformats.org/drawingml/2006/picture">
                <pic:pic>
                  <pic:nvPicPr>
                    <pic:cNvPr id="0" name="climatebert_label_by_tone.png"/>
                    <pic:cNvPicPr/>
                  </pic:nvPicPr>
                  <pic:blipFill>
                    <a:blip r:embed="rId13"/>
                    <a:stretch>
                      <a:fillRect/>
                    </a:stretch>
                  </pic:blipFill>
                  <pic:spPr>
                    <a:xfrm>
                      <a:off x="0" y="0"/>
                      <a:ext cx="5852160" cy="2828544"/>
                    </a:xfrm>
                    <a:prstGeom prst="rect"/>
                  </pic:spPr>
                </pic:pic>
              </a:graphicData>
            </a:graphic>
          </wp:inline>
        </w:drawing>
      </w:r>
    </w:p>
    <w:p>
      <w:pPr>
        <w:spacing w:after="160"/>
      </w:pPr>
      <w:r>
        <w:rPr>
          <w:b/>
          <w:color w:val="1F2937"/>
          <w:sz w:val="20"/>
        </w:rPr>
        <w:t>Figure A.5 - Top-scoring ClimateBERT records</w:t>
      </w:r>
      <w:r>
        <w:rPr>
          <w:sz w:val="20"/>
        </w:rPr>
        <w:t>. Provides examples for Chapter 5 interpretation.</w:t>
      </w:r>
    </w:p>
    <w:p>
      <w:pPr>
        <w:spacing w:after="240"/>
        <w:jc w:val="center"/>
      </w:pPr>
      <w:r>
        <w:drawing>
          <wp:inline xmlns:a="http://schemas.openxmlformats.org/drawingml/2006/main" xmlns:pic="http://schemas.openxmlformats.org/drawingml/2006/picture">
            <wp:extent cx="5852160" cy="3413760"/>
            <wp:docPr id="5" name="Picture 5"/>
            <wp:cNvGraphicFramePr>
              <a:graphicFrameLocks noChangeAspect="1"/>
            </wp:cNvGraphicFramePr>
            <a:graphic>
              <a:graphicData uri="http://schemas.openxmlformats.org/drawingml/2006/picture">
                <pic:pic>
                  <pic:nvPicPr>
                    <pic:cNvPr id="0" name="climatebert_remote_top_scores.png"/>
                    <pic:cNvPicPr/>
                  </pic:nvPicPr>
                  <pic:blipFill>
                    <a:blip r:embed="rId14"/>
                    <a:stretch>
                      <a:fillRect/>
                    </a:stretch>
                  </pic:blipFill>
                  <pic:spPr>
                    <a:xfrm>
                      <a:off x="0" y="0"/>
                      <a:ext cx="5852160" cy="3413760"/>
                    </a:xfrm>
                    <a:prstGeom prst="rect"/>
                  </pic:spPr>
                </pic:pic>
              </a:graphicData>
            </a:graphic>
          </wp:inline>
        </w:drawing>
      </w:r>
    </w:p>
    <w:p>
      <w:pPr>
        <w:spacing w:after="160"/>
      </w:pPr>
      <w:r>
        <w:rPr>
          <w:b/>
          <w:color w:val="1F2937"/>
          <w:sz w:val="20"/>
        </w:rPr>
        <w:t>Figure A.6 - Streamlit overview</w:t>
      </w:r>
      <w:r>
        <w:rPr>
          <w:sz w:val="20"/>
        </w:rPr>
        <w:t>. Summarises the dashboard evidence layer.</w:t>
      </w:r>
    </w:p>
    <w:p>
      <w:pPr>
        <w:spacing w:after="240"/>
        <w:jc w:val="center"/>
      </w:pPr>
      <w:r>
        <w:drawing>
          <wp:inline xmlns:a="http://schemas.openxmlformats.org/drawingml/2006/main" xmlns:pic="http://schemas.openxmlformats.org/drawingml/2006/picture">
            <wp:extent cx="5852160" cy="3291840"/>
            <wp:docPr id="6" name="Picture 6"/>
            <wp:cNvGraphicFramePr>
              <a:graphicFrameLocks noChangeAspect="1"/>
            </wp:cNvGraphicFramePr>
            <a:graphic>
              <a:graphicData uri="http://schemas.openxmlformats.org/drawingml/2006/picture">
                <pic:pic>
                  <pic:nvPicPr>
                    <pic:cNvPr id="0" name="01_overview.png"/>
                    <pic:cNvPicPr/>
                  </pic:nvPicPr>
                  <pic:blipFill>
                    <a:blip r:embed="rId15"/>
                    <a:stretch>
                      <a:fillRect/>
                    </a:stretch>
                  </pic:blipFill>
                  <pic:spPr>
                    <a:xfrm>
                      <a:off x="0" y="0"/>
                      <a:ext cx="5852160" cy="3291840"/>
                    </a:xfrm>
                    <a:prstGeom prst="rect"/>
                  </pic:spPr>
                </pic:pic>
              </a:graphicData>
            </a:graphic>
          </wp:inline>
        </w:drawing>
      </w:r>
    </w:p>
    <w:p>
      <w:pPr>
        <w:spacing w:after="160"/>
      </w:pPr>
      <w:r>
        <w:rPr>
          <w:b/>
          <w:color w:val="1F2937"/>
          <w:sz w:val="20"/>
        </w:rPr>
        <w:t>Figure A.7 - Per-RQ evidence</w:t>
      </w:r>
      <w:r>
        <w:rPr>
          <w:sz w:val="20"/>
        </w:rPr>
        <w:t>. Connects research questions to available outputs.</w:t>
      </w:r>
    </w:p>
    <w:p>
      <w:pPr>
        <w:spacing w:after="240"/>
        <w:jc w:val="center"/>
      </w:pPr>
      <w:r>
        <w:drawing>
          <wp:inline xmlns:a="http://schemas.openxmlformats.org/drawingml/2006/main" xmlns:pic="http://schemas.openxmlformats.org/drawingml/2006/picture">
            <wp:extent cx="5852160" cy="3291840"/>
            <wp:docPr id="7" name="Picture 7"/>
            <wp:cNvGraphicFramePr>
              <a:graphicFrameLocks noChangeAspect="1"/>
            </wp:cNvGraphicFramePr>
            <a:graphic>
              <a:graphicData uri="http://schemas.openxmlformats.org/drawingml/2006/picture">
                <pic:pic>
                  <pic:nvPicPr>
                    <pic:cNvPr id="0" name="02_per_rq_evidence.png"/>
                    <pic:cNvPicPr/>
                  </pic:nvPicPr>
                  <pic:blipFill>
                    <a:blip r:embed="rId16"/>
                    <a:stretch>
                      <a:fillRect/>
                    </a:stretch>
                  </pic:blipFill>
                  <pic:spPr>
                    <a:xfrm>
                      <a:off x="0" y="0"/>
                      <a:ext cx="5852160" cy="3291840"/>
                    </a:xfrm>
                    <a:prstGeom prst="rect"/>
                  </pic:spPr>
                </pic:pic>
              </a:graphicData>
            </a:graphic>
          </wp:inline>
        </w:drawing>
      </w:r>
    </w:p>
    <w:p>
      <w:pPr>
        <w:spacing w:after="160"/>
      </w:pPr>
      <w:r>
        <w:rPr>
          <w:b/>
          <w:color w:val="1F2937"/>
          <w:sz w:val="20"/>
        </w:rPr>
        <w:t>Figure A.8 - Benchmark plan</w:t>
      </w:r>
      <w:r>
        <w:rPr>
          <w:sz w:val="20"/>
        </w:rPr>
        <w:t>. Supports model, prompt, and validation benchmark framing.</w:t>
      </w:r>
    </w:p>
    <w:p>
      <w:pPr>
        <w:spacing w:after="240"/>
        <w:jc w:val="center"/>
      </w:pPr>
      <w:r>
        <w:drawing>
          <wp:inline xmlns:a="http://schemas.openxmlformats.org/drawingml/2006/main" xmlns:pic="http://schemas.openxmlformats.org/drawingml/2006/picture">
            <wp:extent cx="5852160" cy="3291840"/>
            <wp:docPr id="8" name="Picture 8"/>
            <wp:cNvGraphicFramePr>
              <a:graphicFrameLocks noChangeAspect="1"/>
            </wp:cNvGraphicFramePr>
            <a:graphic>
              <a:graphicData uri="http://schemas.openxmlformats.org/drawingml/2006/picture">
                <pic:pic>
                  <pic:nvPicPr>
                    <pic:cNvPr id="0" name="04_benchmarks.png"/>
                    <pic:cNvPicPr/>
                  </pic:nvPicPr>
                  <pic:blipFill>
                    <a:blip r:embed="rId17"/>
                    <a:stretch>
                      <a:fillRect/>
                    </a:stretch>
                  </pic:blipFill>
                  <pic:spPr>
                    <a:xfrm>
                      <a:off x="0" y="0"/>
                      <a:ext cx="5852160" cy="3291840"/>
                    </a:xfrm>
                    <a:prstGeom prst="rect"/>
                  </pic:spPr>
                </pic:pic>
              </a:graphicData>
            </a:graphic>
          </wp:inline>
        </w:drawing>
      </w:r>
    </w:p>
    <w:p>
      <w:pPr>
        <w:spacing w:after="160"/>
      </w:pPr>
      <w:r>
        <w:rPr>
          <w:b/>
          <w:color w:val="1F2937"/>
          <w:sz w:val="20"/>
        </w:rPr>
        <w:t>Figure A.9 - Evidence matrix</w:t>
      </w:r>
      <w:r>
        <w:rPr>
          <w:sz w:val="20"/>
        </w:rPr>
        <w:t>. Connects thesis claims to result artifacts.</w:t>
      </w:r>
    </w:p>
    <w:p>
      <w:pPr>
        <w:spacing w:after="240"/>
        <w:jc w:val="center"/>
      </w:pPr>
      <w:r>
        <w:drawing>
          <wp:inline xmlns:a="http://schemas.openxmlformats.org/drawingml/2006/main" xmlns:pic="http://schemas.openxmlformats.org/drawingml/2006/picture">
            <wp:extent cx="5852160" cy="3291840"/>
            <wp:docPr id="9" name="Picture 9"/>
            <wp:cNvGraphicFramePr>
              <a:graphicFrameLocks noChangeAspect="1"/>
            </wp:cNvGraphicFramePr>
            <a:graphic>
              <a:graphicData uri="http://schemas.openxmlformats.org/drawingml/2006/picture">
                <pic:pic>
                  <pic:nvPicPr>
                    <pic:cNvPr id="0" name="07_evidence_matrix.png"/>
                    <pic:cNvPicPr/>
                  </pic:nvPicPr>
                  <pic:blipFill>
                    <a:blip r:embed="rId18"/>
                    <a:stretch>
                      <a:fillRect/>
                    </a:stretch>
                  </pic:blipFill>
                  <pic:spPr>
                    <a:xfrm>
                      <a:off x="0" y="0"/>
                      <a:ext cx="5852160" cy="3291840"/>
                    </a:xfrm>
                    <a:prstGeom prst="rect"/>
                  </pic:spPr>
                </pic:pic>
              </a:graphicData>
            </a:graphic>
          </wp:inline>
        </w:drawing>
      </w:r>
    </w:p>
    <w:p>
      <w:pPr>
        <w:spacing w:after="160"/>
      </w:pPr>
      <w:r>
        <w:rPr>
          <w:b/>
          <w:color w:val="1F2937"/>
          <w:sz w:val="20"/>
        </w:rPr>
        <w:t>Figure A.10 - Model parse success benchmark</w:t>
      </w:r>
      <w:r>
        <w:rPr>
          <w:sz w:val="20"/>
        </w:rPr>
        <w:t>. Compares model configurations by JSON parse success rate for RQ6 stability.</w:t>
      </w:r>
    </w:p>
    <w:p>
      <w:pPr>
        <w:spacing w:after="240"/>
        <w:jc w:val="center"/>
      </w:pPr>
      <w:r>
        <w:drawing>
          <wp:inline xmlns:a="http://schemas.openxmlformats.org/drawingml/2006/main" xmlns:pic="http://schemas.openxmlformats.org/drawingml/2006/picture">
            <wp:extent cx="5852160" cy="2340864"/>
            <wp:docPr id="10" name="Picture 10"/>
            <wp:cNvGraphicFramePr>
              <a:graphicFrameLocks noChangeAspect="1"/>
            </wp:cNvGraphicFramePr>
            <a:graphic>
              <a:graphicData uri="http://schemas.openxmlformats.org/drawingml/2006/picture">
                <pic:pic>
                  <pic:nvPicPr>
                    <pic:cNvPr id="0" name="docx_model_parse_success.png"/>
                    <pic:cNvPicPr/>
                  </pic:nvPicPr>
                  <pic:blipFill>
                    <a:blip r:embed="rId19"/>
                    <a:stretch>
                      <a:fillRect/>
                    </a:stretch>
                  </pic:blipFill>
                  <pic:spPr>
                    <a:xfrm>
                      <a:off x="0" y="0"/>
                      <a:ext cx="5852160" cy="2340864"/>
                    </a:xfrm>
                    <a:prstGeom prst="rect"/>
                  </pic:spPr>
                </pic:pic>
              </a:graphicData>
            </a:graphic>
          </wp:inline>
        </w:drawing>
      </w:r>
    </w:p>
    <w:p>
      <w:pPr>
        <w:spacing w:after="160"/>
      </w:pPr>
      <w:r>
        <w:rPr>
          <w:b/>
          <w:color w:val="1F2937"/>
          <w:sz w:val="20"/>
        </w:rPr>
        <w:t>Figure A.11 - Prompt missing-tone benchmark</w:t>
      </w:r>
      <w:r>
        <w:rPr>
          <w:sz w:val="20"/>
        </w:rPr>
        <w:t>. Compares prompt templates by how often tone is missing, supporting RQ6 and Chapter 5 limitations.</w:t>
      </w:r>
    </w:p>
    <w:p>
      <w:pPr>
        <w:spacing w:after="240"/>
        <w:jc w:val="center"/>
      </w:pPr>
      <w:r>
        <w:drawing>
          <wp:inline xmlns:a="http://schemas.openxmlformats.org/drawingml/2006/main" xmlns:pic="http://schemas.openxmlformats.org/drawingml/2006/picture">
            <wp:extent cx="5852160" cy="2340864"/>
            <wp:docPr id="11" name="Picture 11"/>
            <wp:cNvGraphicFramePr>
              <a:graphicFrameLocks noChangeAspect="1"/>
            </wp:cNvGraphicFramePr>
            <a:graphic>
              <a:graphicData uri="http://schemas.openxmlformats.org/drawingml/2006/picture">
                <pic:pic>
                  <pic:nvPicPr>
                    <pic:cNvPr id="0" name="docx_prompt_missing_tone_rate.png"/>
                    <pic:cNvPicPr/>
                  </pic:nvPicPr>
                  <pic:blipFill>
                    <a:blip r:embed="rId20"/>
                    <a:stretch>
                      <a:fillRect/>
                    </a:stretch>
                  </pic:blipFill>
                  <pic:spPr>
                    <a:xfrm>
                      <a:off x="0" y="0"/>
                      <a:ext cx="5852160" cy="2340864"/>
                    </a:xfrm>
                    <a:prstGeom prst="rect"/>
                  </pic:spPr>
                </pic:pic>
              </a:graphicData>
            </a:graphic>
          </wp:inline>
        </w:drawing>
      </w:r>
    </w:p>
    <w:p>
      <w:pPr>
        <w:spacing w:after="160"/>
      </w:pPr>
      <w:r>
        <w:rPr>
          <w:b/>
          <w:color w:val="1F2937"/>
          <w:sz w:val="20"/>
        </w:rPr>
        <w:t>Figure A.12 - Ontology mapped vs novel aspects</w:t>
      </w:r>
      <w:r>
        <w:rPr>
          <w:sz w:val="20"/>
        </w:rPr>
        <w:t>. Shows whether ESG aspects are covered by existing ontology paths or represent Indonesian-specific vocabulary.</w:t>
      </w:r>
    </w:p>
    <w:p>
      <w:pPr>
        <w:spacing w:after="240"/>
        <w:jc w:val="center"/>
      </w:pPr>
      <w:r>
        <w:drawing>
          <wp:inline xmlns:a="http://schemas.openxmlformats.org/drawingml/2006/main" xmlns:pic="http://schemas.openxmlformats.org/drawingml/2006/picture">
            <wp:extent cx="5852160" cy="2340864"/>
            <wp:docPr id="12" name="Picture 12"/>
            <wp:cNvGraphicFramePr>
              <a:graphicFrameLocks noChangeAspect="1"/>
            </wp:cNvGraphicFramePr>
            <a:graphic>
              <a:graphicData uri="http://schemas.openxmlformats.org/drawingml/2006/picture">
                <pic:pic>
                  <pic:nvPicPr>
                    <pic:cNvPr id="0" name="docx_ontology_mapped_vs_unmapped.png"/>
                    <pic:cNvPicPr/>
                  </pic:nvPicPr>
                  <pic:blipFill>
                    <a:blip r:embed="rId21"/>
                    <a:stretch>
                      <a:fillRect/>
                    </a:stretch>
                  </pic:blipFill>
                  <pic:spPr>
                    <a:xfrm>
                      <a:off x="0" y="0"/>
                      <a:ext cx="5852160" cy="2340864"/>
                    </a:xfrm>
                    <a:prstGeom prst="rect"/>
                  </pic:spPr>
                </pic:pic>
              </a:graphicData>
            </a:graphic>
          </wp:inline>
        </w:drawing>
      </w:r>
    </w:p>
    <w:p>
      <w:pPr>
        <w:spacing w:before="200" w:after="120"/>
      </w:pPr>
      <w:r>
        <w:rPr>
          <w:b/>
          <w:color w:val="173F42"/>
          <w:sz w:val="28"/>
        </w:rPr>
        <w:t>A.4 Chapter-Level Insert Notes</w:t>
      </w:r>
    </w:p>
    <w:tbl>
      <w:tblPr>
        <w:tblW w:type="auto" w:w="0"/>
        <w:tblLook w:firstColumn="1" w:firstRow="1" w:lastColumn="0" w:lastRow="0" w:noHBand="0" w:noVBand="1" w:val="04A0"/>
      </w:tblPr>
      <w:tblGrid>
        <w:gridCol w:w="3240"/>
        <w:gridCol w:w="3240"/>
        <w:gridCol w:w="3240"/>
      </w:tblGrid>
      <w:tr>
        <w:tc>
          <w:tcPr>
            <w:tcW w:type="dxa" w:w="3240"/>
          </w:tcPr>
          <w:p>
            <w:r>
              <w:rPr>
                <w:b/>
              </w:rPr>
              <w:t>Chapter section</w:t>
            </w:r>
          </w:p>
        </w:tc>
        <w:tc>
          <w:tcPr>
            <w:tcW w:type="dxa" w:w="3240"/>
          </w:tcPr>
          <w:p>
            <w:r>
              <w:rPr>
                <w:b/>
              </w:rPr>
              <w:t>Recommended insertion point</w:t>
            </w:r>
          </w:p>
        </w:tc>
        <w:tc>
          <w:tcPr>
            <w:tcW w:type="dxa" w:w="3240"/>
          </w:tcPr>
          <w:p>
            <w:r>
              <w:rPr>
                <w:b/>
              </w:rPr>
              <w:t>Narrative update</w:t>
            </w:r>
          </w:p>
        </w:tc>
      </w:tr>
      <w:tr>
        <w:tc>
          <w:tcPr>
            <w:tcW w:type="dxa" w:w="3240"/>
          </w:tcPr>
          <w:p>
            <w:r>
              <w:t>4.2 RQ1-RQ2</w:t>
            </w:r>
          </w:p>
        </w:tc>
        <w:tc>
          <w:tcPr>
            <w:tcW w:type="dxa" w:w="3240"/>
          </w:tcPr>
          <w:p>
            <w:r>
              <w:t>After the existing RQ1/RQ2 result paragraphs.</w:t>
            </w:r>
          </w:p>
        </w:tc>
        <w:tc>
          <w:tcPr>
            <w:tcW w:type="dxa" w:w="3240"/>
          </w:tcPr>
          <w:p>
            <w:r>
              <w:t>Insert Figures A.1-A.3 to show tone, ESG pillar, and aspect evidence derived from pages/6_1.</w:t>
            </w:r>
          </w:p>
        </w:tc>
      </w:tr>
      <w:tr>
        <w:tc>
          <w:tcPr>
            <w:tcW w:type="dxa" w:w="3240"/>
          </w:tcPr>
          <w:p>
            <w:r>
              <w:t>4.3 RQ3-RQ4</w:t>
            </w:r>
          </w:p>
        </w:tc>
        <w:tc>
          <w:tcPr>
            <w:tcW w:type="dxa" w:w="3240"/>
          </w:tcPr>
          <w:p>
            <w:r>
              <w:t>After the ClimateBERT and diagnostics paragraphs.</w:t>
            </w:r>
          </w:p>
        </w:tc>
        <w:tc>
          <w:tcPr>
            <w:tcW w:type="dxa" w:w="3240"/>
          </w:tcPr>
          <w:p>
            <w:r>
              <w:t>Insert Figures A.4-A.5 and A.12 to connect ClimateBERT divergence and ontology coverage to Chapter 5.</w:t>
            </w:r>
          </w:p>
        </w:tc>
      </w:tr>
      <w:tr>
        <w:tc>
          <w:tcPr>
            <w:tcW w:type="dxa" w:w="3240"/>
          </w:tcPr>
          <w:p>
            <w:r>
              <w:t>4.4 RQ5-RQ6</w:t>
            </w:r>
          </w:p>
        </w:tc>
        <w:tc>
          <w:tcPr>
            <w:tcW w:type="dxa" w:w="3240"/>
          </w:tcPr>
          <w:p>
            <w:r>
              <w:t>After the reproducibility and stability benchmark section.</w:t>
            </w:r>
          </w:p>
        </w:tc>
        <w:tc>
          <w:tcPr>
            <w:tcW w:type="dxa" w:w="3240"/>
          </w:tcPr>
          <w:p>
            <w:r>
              <w:t>Insert Figures A.8, A.9, A.10, and A.11 to document benchmarking and artifact traceability.</w:t>
            </w:r>
          </w:p>
        </w:tc>
      </w:tr>
      <w:tr>
        <w:tc>
          <w:tcPr>
            <w:tcW w:type="dxa" w:w="3240"/>
          </w:tcPr>
          <w:p>
            <w:r>
              <w:t>5 Discussion</w:t>
            </w:r>
          </w:p>
        </w:tc>
        <w:tc>
          <w:tcPr>
            <w:tcW w:type="dxa" w:w="3240"/>
          </w:tcPr>
          <w:p>
            <w:r>
              <w:t>At the beginning of the limitations and construct-validity discussion.</w:t>
            </w:r>
          </w:p>
        </w:tc>
        <w:tc>
          <w:tcPr>
            <w:tcW w:type="dxa" w:w="3240"/>
          </w:tcPr>
          <w:p>
            <w:r>
              <w:t>Use the agreement, ontology, and prompt/model sensitivity graphs as evidence rather than treating limitations as prose-only claims.</w:t>
            </w:r>
          </w:p>
        </w:tc>
      </w:tr>
      <w:tr>
        <w:tc>
          <w:tcPr>
            <w:tcW w:type="dxa" w:w="3240"/>
          </w:tcPr>
          <w:p>
            <w:r>
              <w:t>6 Conclusion</w:t>
            </w:r>
          </w:p>
        </w:tc>
        <w:tc>
          <w:tcPr>
            <w:tcW w:type="dxa" w:w="3240"/>
          </w:tcPr>
          <w:p>
            <w:r>
              <w:t>In contributions and future-work subsections.</w:t>
            </w:r>
          </w:p>
        </w:tc>
        <w:tc>
          <w:tcPr>
            <w:tcW w:type="dxa" w:w="3240"/>
          </w:tcPr>
          <w:p>
            <w:r>
              <w:t>Use artifact inventory and benchmark graphics to define concrete future work: OCR quality metrics, more models, repeated runs, and ontology extension.</w:t>
            </w:r>
          </w:p>
        </w:tc>
      </w:tr>
    </w:tbl>
    <w:p/>
    <w:p>
      <w:pPr>
        <w:spacing w:before="200" w:after="120"/>
      </w:pPr>
      <w:r>
        <w:rPr>
          <w:b/>
          <w:color w:val="173F42"/>
          <w:sz w:val="28"/>
        </w:rPr>
        <w:t>A.5 Benchmark Checklist Still Needed</w:t>
      </w:r>
    </w:p>
    <w:tbl>
      <w:tblPr>
        <w:tblW w:type="auto" w:w="0"/>
        <w:tblLook w:firstColumn="1" w:firstRow="1" w:lastColumn="0" w:lastRow="0" w:noHBand="0" w:noVBand="1" w:val="04A0"/>
      </w:tblPr>
      <w:tblGrid>
        <w:gridCol w:w="3240"/>
        <w:gridCol w:w="3240"/>
        <w:gridCol w:w="3240"/>
      </w:tblGrid>
      <w:tr>
        <w:tc>
          <w:tcPr>
            <w:tcW w:type="dxa" w:w="3240"/>
          </w:tcPr>
          <w:p>
            <w:r>
              <w:rPr>
                <w:b/>
              </w:rPr>
              <w:t>Benchmark</w:t>
            </w:r>
          </w:p>
        </w:tc>
        <w:tc>
          <w:tcPr>
            <w:tcW w:type="dxa" w:w="3240"/>
          </w:tcPr>
          <w:p>
            <w:r>
              <w:rPr>
                <w:b/>
              </w:rPr>
              <w:t>Why needed</w:t>
            </w:r>
          </w:p>
        </w:tc>
        <w:tc>
          <w:tcPr>
            <w:tcW w:type="dxa" w:w="3240"/>
          </w:tcPr>
          <w:p>
            <w:r>
              <w:rPr>
                <w:b/>
              </w:rPr>
              <w:t>Target artifact</w:t>
            </w:r>
          </w:p>
        </w:tc>
      </w:tr>
      <w:tr>
        <w:tc>
          <w:tcPr>
            <w:tcW w:type="dxa" w:w="3240"/>
          </w:tcPr>
          <w:p>
            <w:r>
              <w:t>OCR quality</w:t>
            </w:r>
          </w:p>
        </w:tc>
        <w:tc>
          <w:tcPr>
            <w:tcW w:type="dxa" w:w="3240"/>
          </w:tcPr>
          <w:p>
            <w:r>
              <w:t>Current page/document coverage exists, but CER/WER is not yet measured.</w:t>
            </w:r>
          </w:p>
        </w:tc>
        <w:tc>
          <w:tcPr>
            <w:tcW w:type="dxa" w:w="3240"/>
          </w:tcPr>
          <w:p>
            <w:r>
              <w:t>ocr_quality_by_page.csv</w:t>
            </w:r>
          </w:p>
        </w:tc>
      </w:tr>
      <w:tr>
        <w:tc>
          <w:tcPr>
            <w:tcW w:type="dxa" w:w="3240"/>
          </w:tcPr>
          <w:p>
            <w:r>
              <w:t>Human annotation agreement</w:t>
            </w:r>
          </w:p>
        </w:tc>
        <w:tc>
          <w:tcPr>
            <w:tcW w:type="dxa" w:w="3240"/>
          </w:tcPr>
          <w:p>
            <w:r>
              <w:t>Single-annotator labels need inter-annotator reliability for stronger Chapter 5 validity.</w:t>
            </w:r>
          </w:p>
        </w:tc>
        <w:tc>
          <w:tcPr>
            <w:tcW w:type="dxa" w:w="3240"/>
          </w:tcPr>
          <w:p>
            <w:r>
              <w:t>human_agreement_summary.csv</w:t>
            </w:r>
          </w:p>
        </w:tc>
      </w:tr>
      <w:tr>
        <w:tc>
          <w:tcPr>
            <w:tcW w:type="dxa" w:w="3240"/>
          </w:tcPr>
          <w:p>
            <w:r>
              <w:t>Repeated LLM runs</w:t>
            </w:r>
          </w:p>
        </w:tc>
        <w:tc>
          <w:tcPr>
            <w:tcW w:type="dxa" w:w="3240"/>
          </w:tcPr>
          <w:p>
            <w:r>
              <w:t>Model/prompt stability should include repeated runs and confidence intervals.</w:t>
            </w:r>
          </w:p>
        </w:tc>
        <w:tc>
          <w:tcPr>
            <w:tcW w:type="dxa" w:w="3240"/>
          </w:tcPr>
          <w:p>
            <w:r>
              <w:t>model_prompt_repeated_run_ci.csv</w:t>
            </w:r>
          </w:p>
        </w:tc>
      </w:tr>
      <w:tr>
        <w:tc>
          <w:tcPr>
            <w:tcW w:type="dxa" w:w="3240"/>
          </w:tcPr>
          <w:p>
            <w:r>
              <w:t>ClimateBERT baseline</w:t>
            </w:r>
          </w:p>
        </w:tc>
        <w:tc>
          <w:tcPr>
            <w:tcW w:type="dxa" w:w="3240"/>
          </w:tcPr>
          <w:p>
            <w:r>
              <w:t>Tone-vs-ClimateBERT should be compared to majority and human-labelled baselines.</w:t>
            </w:r>
          </w:p>
        </w:tc>
        <w:tc>
          <w:tcPr>
            <w:tcW w:type="dxa" w:w="3240"/>
          </w:tcPr>
          <w:p>
            <w:r>
              <w:t>climatebert_baseline_comparison.csv</w:t>
            </w:r>
          </w:p>
        </w:tc>
      </w:tr>
      <w:tr>
        <w:tc>
          <w:tcPr>
            <w:tcW w:type="dxa" w:w="3240"/>
          </w:tcPr>
          <w:p>
            <w:r>
              <w:t>Ontology extension</w:t>
            </w:r>
          </w:p>
        </w:tc>
        <w:tc>
          <w:tcPr>
            <w:tcW w:type="dxa" w:w="3240"/>
          </w:tcPr>
          <w:p>
            <w:r>
              <w:t>Unmapped Indonesian ESG aspects should be formalised as a vocabulary extension.</w:t>
            </w:r>
          </w:p>
        </w:tc>
        <w:tc>
          <w:tcPr>
            <w:tcW w:type="dxa" w:w="3240"/>
          </w:tcPr>
          <w:p>
            <w:r>
              <w:t>indonesian_esg_ontology_extension.csv</w:t>
            </w:r>
          </w:p>
        </w:tc>
      </w:tr>
    </w:tbl>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rFonts w:ascii="Arial" w:cs="Arial" w:eastAsia="Arial" w:hAnsi="Arial"/>
        <w:color w:val="BFBFBF"/>
        <w:sz w:val="18"/>
        <w:szCs w:val="18"/>
      </w:rPr>
      <w:t xml:space="preserve">Daris Dzakwan Hoesien · Oulu University  |  Page </w:t>
    </w:r>
    <w:r>
      <w:rPr>
        <w:rFonts w:ascii="Arial" w:cs="Arial" w:eastAsia="Arial" w:hAnsi="Arial"/>
        <w:color w:val="BFBFB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right"/>
    </w:pPr>
    <w:r>
      <w:rPr>
        <w:rFonts w:ascii="Arial" w:cs="Arial" w:eastAsia="Arial" w:hAnsi="Arial"/>
        <w:i/>
        <w:iCs/>
        <w:color w:val="2E75B6"/>
        <w:sz w:val="18"/>
        <w:szCs w:val="18"/>
      </w:rPr>
      <w:t xml:space="preserve">ESG ABSA Thesis — Chapter 4–6 Structure &amp; Benchmarks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2026-05-20T08:48:19.523Z</dcterms:created>
  <dcterms:modified xsi:type="dcterms:W3CDTF">2026-05-20T08:48:19.536Z</dcterms:modified>
</cp:coreProperties>
</file>

<file path=docProps/custom.xml><?xml version="1.0" encoding="utf-8"?>
<Properties xmlns="http://schemas.openxmlformats.org/officeDocument/2006/custom-properties" xmlns:vt="http://schemas.openxmlformats.org/officeDocument/2006/docPropsVTypes"/>
</file>