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sz w:val="32"/>
          <w:szCs w:val="32"/>
        </w:rPr>
        <w:t xml:space="preserve">IV. IMPLEMENTATION AND RESULTS</w:t>
      </w:r>
    </w:p>
    <w:p>
      <w:pPr>
        <w:spacing w:after="60" w:before="60"/>
      </w:pPr>
      <w:r>
        <w:t xml:space="preserve"/>
      </w:r>
    </w:p>
    <w:p>
      <w:pPr>
        <w:pStyle w:val="Heading2"/>
        <w:spacing w:after="180" w:before="360"/>
      </w:pPr>
      <w:r>
        <w:rPr>
          <w:rFonts w:ascii="Arial" w:cs="Arial" w:eastAsia="Arial" w:hAnsi="Arial"/>
          <w:b/>
          <w:bCs/>
          <w:sz w:val="28"/>
          <w:szCs w:val="28"/>
        </w:rPr>
        <w:t xml:space="preserve">4.1 System Implementation Overview</w:t>
      </w:r>
    </w:p>
    <w:p>
      <w:pPr>
        <w:spacing w:after="60" w:before="60"/>
      </w:pPr>
      <w:r>
        <w:t xml:space="preserve"/>
      </w:r>
    </w:p>
    <w:p>
      <w:pPr>
        <w:spacing w:after="120" w:before="120"/>
        <w:jc w:val="both"/>
      </w:pPr>
      <w:r>
        <w:rPr>
          <w:rFonts w:ascii="Arial" w:cs="Arial" w:eastAsia="Arial" w:hAnsi="Arial"/>
          <w:sz w:val="24"/>
          <w:szCs w:val="24"/>
        </w:rPr>
        <w:t xml:space="preserve">This chapter presents the full empirical output of the ESG Aspect-Based Sentiment Analysis (ABSA) pipeline developed across six research questions. The system is implemented as a Python and Streamlit multi-page application deployed at esg-thesis.darisdzakwanhoesien.site, integrating four functional layers: an OCR-to-record transformation pipeline, a tone-aware LLM extraction engine using seven prompt templates, a ClimateBERT-based semantic validation layer, and an interactive visualisation and diagnostics dashboard. The central empirical artefact is results/esg_records.json, supplemented by a 5,146-row annotation dataset, 1,049 total pipeline artefacts, and 156 completed LLM jobs.</w:t>
      </w:r>
    </w:p>
    <w:p>
      <w:pPr>
        <w:spacing w:after="60" w:before="60"/>
      </w:pPr>
      <w:r>
        <w:t xml:space="preserve"/>
      </w:r>
    </w:p>
    <w:p>
      <w:pPr>
        <w:spacing w:after="120" w:before="120"/>
        <w:jc w:val="both"/>
      </w:pPr>
      <w:r>
        <w:rPr>
          <w:rFonts w:ascii="Arial" w:cs="Arial" w:eastAsia="Arial" w:hAnsi="Arial"/>
          <w:sz w:val="24"/>
          <w:szCs w:val="24"/>
        </w:rPr>
        <w:t xml:space="preserve">The pipeline processed 23 OCR documents drawn from Indonesian-listed companies' sustainability reports, producing 875 ESG run records and 4,814 live extracted rows. Four model configurations were tested: arcee-ai/trinity-large-thinking:free (89 runs, JSON parse success rate 0.899), openai/gpt-oss-20b:free (145 runs, 0.959), minimax/minimax-m2.5:free (588 runs, 0.585), and qwen3.5:0.8b (2 runs, 0.000). The architecture supports full reproducibility: static charts are regenerated via python3 code/visualize_tone_climatebert.py and the dashboard is launched with streamlit run app.py.</w:t>
      </w:r>
    </w:p>
    <w:p>
      <w:pPr>
        <w:spacing w:after="60" w:before="60"/>
      </w:pPr>
      <w:r>
        <w:t xml:space="preserve"/>
      </w:r>
    </w:p>
    <w:p>
      <w:pPr>
        <w:spacing w:after="120" w:before="120"/>
        <w:jc w:val="both"/>
      </w:pPr>
      <w:r>
        <w:rPr>
          <w:rFonts w:ascii="Arial" w:cs="Arial" w:eastAsia="Arial" w:hAnsi="Arial"/>
          <w:sz w:val="24"/>
          <w:szCs w:val="24"/>
        </w:rPr>
        <w:t xml:space="preserve">All six research questions are implemented and active. RQ1 (PDF-to-structured ESG) and RQ2 (aspect/pillar/sentiment/tone schema) each have four or more implemented modules and five or more artefact groups. RQ3 through RQ6 each have three implemented modules and three to four artefact groups. The following subsections report results sequentially by research question pair, followed by dedicated explainability and diagnostics outputs.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4.1: System Architecture and RQ Implementation Coverage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Horizontal grouped bar chart (two panels side by side)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RQ stage labels (RQ1–RQ6 and stage name). X-axis left panel: count of implemented modules (0–4). X-axis right panel: count of generated artefact groups (0–5). Colour: one colour per RQ.</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Provides a single-view summary of implementation completeness across all six research questions, enabling examiners to verify that the pipeline is operationally complete before reading detailed results.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implemented_modules (integer), artifact_groups (integer), status (active/pending), rq (RQ1–RQ6), stage (string label)</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dashboard_metrics.json. Use the exact values from Table 1 in the dashboard. Both panels share the same Y-axis order. RQ1 should appear at top.</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4.1. Implementation coverage across six research question stages. Left panel shows implemented module count; right panel shows generated artefact groups. All six RQs show active status.</w:t>
      </w:r>
    </w:p>
    <w:p>
      <w:pPr>
        <w:spacing w:after="60" w:before="60"/>
      </w:pPr>
      <w:r>
        <w:t xml:space="preserve"/>
      </w:r>
    </w:p>
    <w:p>
      <w:pPr>
        <w:pStyle w:val="Heading2"/>
        <w:spacing w:after="180" w:before="360"/>
      </w:pPr>
      <w:r>
        <w:rPr>
          <w:rFonts w:ascii="Arial" w:cs="Arial" w:eastAsia="Arial" w:hAnsi="Arial"/>
          <w:b/>
          <w:bCs/>
          <w:sz w:val="28"/>
          <w:szCs w:val="28"/>
        </w:rPr>
        <w:t xml:space="preserve">4.2 RQ1–RQ2: Structured ESG Record Extraction and Tone-Aware Schema</w:t>
      </w:r>
    </w:p>
    <w:p>
      <w:pPr>
        <w:spacing w:after="60" w:before="60"/>
      </w:pPr>
      <w:r>
        <w:t xml:space="preserve"/>
      </w:r>
    </w:p>
    <w:p>
      <w:pPr>
        <w:pStyle w:val="Heading3"/>
        <w:spacing w:after="120" w:before="240"/>
      </w:pPr>
      <w:r>
        <w:rPr>
          <w:rFonts w:ascii="Arial" w:cs="Arial" w:eastAsia="Arial" w:hAnsi="Arial"/>
          <w:b/>
          <w:bCs/>
          <w:sz w:val="26"/>
          <w:szCs w:val="26"/>
        </w:rPr>
        <w:t xml:space="preserve">4.2.1 RQ1 — PDF-to-Structured ESG Transformation</w:t>
      </w:r>
    </w:p>
    <w:p>
      <w:pPr>
        <w:spacing w:after="60" w:before="60"/>
      </w:pPr>
      <w:r>
        <w:t xml:space="preserve"/>
      </w:r>
    </w:p>
    <w:p>
      <w:pPr>
        <w:spacing w:after="120" w:before="120"/>
        <w:jc w:val="both"/>
      </w:pPr>
      <w:r>
        <w:rPr>
          <w:rFonts w:ascii="Arial" w:cs="Arial" w:eastAsia="Arial" w:hAnsi="Arial"/>
          <w:sz w:val="24"/>
          <w:szCs w:val="24"/>
        </w:rPr>
        <w:t xml:space="preserve">RQ1 asks whether PDF-derived Indonesian and English sustainability reports can be reliably converted into sentence- and paragraph-level structured ESG records with regulatory provenance. The pipeline ingests PDF files, applies page-aware OCR, converts content to markdown with section traceability, and extracts structured JSON records via seven LLM prompt templates. A total of 23 source documents were processed, yielding 40 unique source targets across 110 successful ESG extraction runs.</w:t>
      </w:r>
    </w:p>
    <w:p>
      <w:pPr>
        <w:spacing w:after="60" w:before="60"/>
      </w:pPr>
      <w:r>
        <w:t xml:space="preserve"/>
      </w:r>
    </w:p>
    <w:p>
      <w:pPr>
        <w:spacing w:after="120" w:before="120"/>
        <w:jc w:val="both"/>
      </w:pPr>
      <w:r>
        <w:rPr>
          <w:rFonts w:ascii="Arial" w:cs="Arial" w:eastAsia="Arial" w:hAnsi="Arial"/>
          <w:sz w:val="24"/>
          <w:szCs w:val="24"/>
        </w:rPr>
        <w:t xml:space="preserve">Each extracted record contains the following fields: text, ESG pillar (E/S/G), aspect term, sentiment label, disclosure tone, ClimateBERT-style labels, reasoning, source target identifier, prompt template identifier, and model identifier. This field structure satisfies the pipeline specification described in Contribution 1, providing sentence-level provenance that links textual claims to their source document, page batch, and regulatory aspect mapping.</w:t>
      </w:r>
    </w:p>
    <w:p>
      <w:pPr>
        <w:spacing w:after="60" w:before="60"/>
      </w:pPr>
      <w:r>
        <w:t xml:space="preserve"/>
      </w:r>
    </w:p>
    <w:p>
      <w:pPr>
        <w:spacing w:after="120" w:before="120"/>
        <w:jc w:val="both"/>
      </w:pPr>
      <w:r>
        <w:rPr>
          <w:rFonts w:ascii="Arial" w:cs="Arial" w:eastAsia="Arial" w:hAnsi="Arial"/>
          <w:sz w:val="24"/>
          <w:szCs w:val="24"/>
        </w:rPr>
        <w:t xml:space="preserve">The PDF-to-record workflow demonstrated consistent extraction across all seven prompt templates. Run counts per template were as follows: data.md (20 runs), tone_chain_of_thought_english.md (16), tone_chain_of_thought_indonesian.md (15), tone_few_shot_english.md (15), tone_zero_shot_english.md (14), tone_few_shot_indonesian.md (14), and tone_zero_shot_indonesian.md (16). The relatively balanced distribution across templates indicates that the pipeline was applied comparably across prompting strategies, supporting the cross-template stability analysis in RQ6.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4.2: PDF × Prompt Processing Matrix — Extracted Records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Heatmap (documents × prompt templates, colour = extracted record count)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X-axis: 7 prompt template names. Y-axis: source document names (23 documents). Cell colour: count of extracted records per document-prompt combination. Include colour bar legend.</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Reveals which document-prompt combinations produced the most records, identifying coverage gaps and extraction hotspots. Essential for RQ1 (coverage) and RQ6 (stability across prompts).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target_doc (string), prompt (string), extracted_records (integer), runs (integer), successful_runs (integer)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PDF × prompt matrix CSV (downloadable from Action Plan Step 4). SR-Bank-Aladin-Syariah-2025_pdf and ABM_2025 should show highest counts. data.md column will show zeros for most docs except Indonet-Annual-Report-2022.</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4.2. Heatmap of extracted ESG record counts by source document and prompt template. Darker cells indicate higher extraction yield. Empty cells indicate unprocessed document-prompt combinations.</w:t>
      </w:r>
    </w:p>
    <w:p>
      <w:pPr>
        <w:spacing w:after="60" w:before="60"/>
      </w:pPr>
      <w:r>
        <w:t xml:space="preserve"/>
      </w:r>
    </w:p>
    <w:p>
      <w:pPr>
        <w:pStyle w:val="Heading3"/>
        <w:spacing w:after="120" w:before="240"/>
      </w:pPr>
      <w:r>
        <w:rPr>
          <w:rFonts w:ascii="Arial" w:cs="Arial" w:eastAsia="Arial" w:hAnsi="Arial"/>
          <w:b/>
          <w:bCs/>
          <w:sz w:val="26"/>
          <w:szCs w:val="26"/>
        </w:rPr>
        <w:t xml:space="preserve">4.2.2 RQ2 — Aspect, ESG Pillar, Sentiment, and Tone Schema</w:t>
      </w:r>
    </w:p>
    <w:p>
      <w:pPr>
        <w:spacing w:after="60" w:before="60"/>
      </w:pPr>
      <w:r>
        <w:t xml:space="preserve"/>
      </w:r>
    </w:p>
    <w:p>
      <w:pPr>
        <w:spacing w:after="120" w:before="120"/>
        <w:jc w:val="both"/>
      </w:pPr>
      <w:r>
        <w:rPr>
          <w:rFonts w:ascii="Arial" w:cs="Arial" w:eastAsia="Arial" w:hAnsi="Arial"/>
          <w:sz w:val="24"/>
          <w:szCs w:val="24"/>
        </w:rPr>
        <w:t xml:space="preserve">RQ2 asks how ESG disclosures should be categorised by aspect, pillar, sentiment, and tone in bilingual corpora to enable fine-grained ABSA with cross-language comparability and regulatory alignment. The pipeline extracted 332 records across the tone dimension and 2,074 rows in the T2 hybrid prediction layer, together providing two complementary views of the same disclosure corpus at different levels of analytical granularity.</w:t>
      </w:r>
    </w:p>
    <w:p>
      <w:pPr>
        <w:spacing w:after="60" w:before="60"/>
      </w:pPr>
      <w:r>
        <w:t xml:space="preserve"/>
      </w:r>
    </w:p>
    <w:p>
      <w:pPr>
        <w:spacing w:after="120" w:before="120"/>
        <w:jc w:val="both"/>
      </w:pPr>
      <w:r>
        <w:rPr>
          <w:rFonts w:ascii="Arial" w:cs="Arial" w:eastAsia="Arial" w:hAnsi="Arial"/>
          <w:sz w:val="24"/>
          <w:szCs w:val="24"/>
        </w:rPr>
        <w:t xml:space="preserve">The tone distribution across the 332 LLM-extracted records is as follows: commitment (115, 34.6%), missing (61, 18.4%), action (58, 17.5%), none (48, 14.5%), and outcome (50, 15.1%). The dominance of commitment-oriented disclosure is consistent with legitimacy-theoretic accounts of corporate ESG reporting: firms disproportionately signal intentions and future-oriented plans relative to realised outcomes, a pattern documented in both voluntary and mandatory disclosure regimes. The 18.4% missing-tone rate provides a direct measure of schema control weakness that serves as a baseline for prompt refinement in RQ6.</w:t>
      </w:r>
    </w:p>
    <w:p>
      <w:pPr>
        <w:spacing w:after="60" w:before="60"/>
      </w:pPr>
      <w:r>
        <w:t xml:space="preserve"/>
      </w:r>
    </w:p>
    <w:p>
      <w:pPr>
        <w:spacing w:after="120" w:before="120"/>
        <w:jc w:val="both"/>
      </w:pPr>
      <w:r>
        <w:rPr>
          <w:rFonts w:ascii="Arial" w:cs="Arial" w:eastAsia="Arial" w:hAnsi="Arial"/>
          <w:sz w:val="24"/>
          <w:szCs w:val="24"/>
        </w:rPr>
        <w:t xml:space="preserve">The ESG pillar distribution reveals a pronounced Environmental dominance: E = 179 records (53.9%), G = 121 (36.4%), S = 4 (1.2%), none = 27 (8.1%), and missing = 1 (0.3%). The near-absence of Social-pillar records is a critical finding discussed fully in Section 5.4. The generated schema successfully separates topic, ESG pillar, sentiment polarity, and disclosure tone — a design choice that is validated by the observation that many ESG statements are semantically positive in sentiment while remaining only at the commitment level of claim maturity.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4.3: Tone Distribution — 332 Extracted ESG Records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Horizontal bar chart (single panel)</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tone categories (commitment, missing, action, outcome, none). X-axis: count (0–130). Colour: distinct colour per tone type (e.g., teal=commitment, amber=missing, blue=action, green=outcome, grey=none). Add count labels on bars.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Primary result for RQ2. Shows the distribution of disclosure maturity levels across all extracted records, revealing the commitment-dominance pattern central to the greenwashing risk analysis.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tone (categorical), count (integer), percentage (float)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esg_records.json flat tone table. Values: commitment=115, missing=61, action=58, outcome=50, none=48. Total=332.</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4.3. Tone distribution across 332 LLM-extracted ESG records. Commitment-type disclosures account for 34.6% of all records, representing the dominant disclosure modality in the sampled Indonesian sustainability reports.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4.4: ESG Pillar Distribution — 332 Records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Horizontal bar chart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pillar labels (E=Environmental, G=Governance, none, S=Social, missing). X-axis: count (0–200). Colour: green=E, blue=G, grey=none, orange=S, red=missing.</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Demonstrates the coverage of the schema across ESG dimensions, highlighting the Social pillar gap that constitutes a key limitation of the current pipeline.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pillar (categorical), count (integer), percentage (float)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esg_records.json. Values: E=179, G=121, none=27, S=4, missing=1. Annotate S=4 bar with warning note.</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4.4. ESG pillar distribution across extracted records. The near-absence of Social-pillar records (n=4, 1.2%) represents a significant coverage gap addressed in Section 5.4.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4.5: Tone × ESG Pillar Heatmap</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Annotated heatmap (tone rows × pillar columns, colour = record count)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Rows: tone categories (action, commitment, missing, none, outcome). Columns: ESG pillars (e, g, missing, none, s). Cell value: count with number label inside cell. Colour scale: white (0) to dark teal (highest count).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Reveals the joint distribution of tone and pillar, showing whether commitment-type disclosures cluster in Environmental or Governance dimensions, and identifying where missing-tone records appear.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tone (5 categories), pillar (5 categories), count (integer)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RQ2 tone × ESG pillar table. Key cells: commitment-e=91, commitment-g=23, action-e=33, outcome-e=28, missing-e=0, missing-g=25.</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4.5. Heatmap of tone by ESG pillar. The commitment–E cell (n=91) is the single most populated cell, confirming that Environmental commitments dominate the corpus while governance disclosures spread more evenly across tone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00"/>
        <w:gridCol w:w="1200"/>
        <w:gridCol w:w="1500"/>
        <w:gridCol w:w="4200"/>
      </w:tblGrid>
      <w:tr>
        <w:tc>
          <w:tcPr>
            <w:tcW w:type="dxa" w:w="1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Dominant Pillar</w:t>
            </w:r>
          </w:p>
        </w:tc>
        <w:tc>
          <w:tcPr>
            <w:tcW w:type="dxa" w:w="4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Commitment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115</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34.6%</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 (91)</w:t>
            </w:r>
          </w:p>
        </w:tc>
        <w:tc>
          <w:tcPr>
            <w:tcW w:type="dxa" w:w="4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Strategic intent; legitimacy signalling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 (25)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Schema failure; prompt refinement target</w:t>
            </w:r>
          </w:p>
        </w:tc>
      </w:tr>
      <w:tr>
        <w:tc>
          <w:tcPr>
            <w:tcW w:type="dxa" w:w="1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Action</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58</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17.5%</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 (33)</w:t>
            </w:r>
          </w:p>
        </w:tc>
        <w:tc>
          <w:tcPr>
            <w:tcW w:type="dxa" w:w="4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Operational activity; executed steps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Outcome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 (28)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Verifiable results; strongest evidence</w:t>
            </w:r>
          </w:p>
        </w:tc>
      </w:tr>
      <w:tr>
        <w:tc>
          <w:tcPr>
            <w:tcW w:type="dxa" w:w="1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None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48</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14.5%</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G (24)</w:t>
            </w:r>
          </w:p>
        </w:tc>
        <w:tc>
          <w:tcPr>
            <w:tcW w:type="dxa" w:w="4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Non-ESG or ambiguous content</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Table 4.1. Summary of tone distribution with dominant ESG pillar and interpretive label. Percentages sum to 100.1% due to rounding.</w:t>
      </w:r>
    </w:p>
    <w:p>
      <w:pPr>
        <w:spacing w:after="60" w:before="60"/>
      </w:pPr>
      <w:r>
        <w:t xml:space="preserve"/>
      </w:r>
    </w:p>
    <w:p>
      <w:pPr>
        <w:pStyle w:val="Heading2"/>
        <w:spacing w:after="180" w:before="360"/>
      </w:pPr>
      <w:r>
        <w:rPr>
          <w:rFonts w:ascii="Arial" w:cs="Arial" w:eastAsia="Arial" w:hAnsi="Arial"/>
          <w:b/>
          <w:bCs/>
          <w:sz w:val="28"/>
          <w:szCs w:val="28"/>
        </w:rPr>
        <w:t xml:space="preserve">4.3 RQ3–RQ4: Tone vs ClimateBERT Comparison and Diagnostics</w:t>
      </w:r>
    </w:p>
    <w:p>
      <w:pPr>
        <w:spacing w:after="60" w:before="60"/>
      </w:pPr>
      <w:r>
        <w:t xml:space="preserve"/>
      </w:r>
    </w:p>
    <w:p>
      <w:pPr>
        <w:pStyle w:val="Heading3"/>
        <w:spacing w:after="120" w:before="240"/>
      </w:pPr>
      <w:r>
        <w:rPr>
          <w:rFonts w:ascii="Arial" w:cs="Arial" w:eastAsia="Arial" w:hAnsi="Arial"/>
          <w:b/>
          <w:bCs/>
          <w:sz w:val="26"/>
          <w:szCs w:val="26"/>
        </w:rPr>
        <w:t xml:space="preserve">4.3.1 RQ3 — Tone vs ClimateBERT/Proxy Label Comparison</w:t>
      </w:r>
    </w:p>
    <w:p>
      <w:pPr>
        <w:spacing w:after="60" w:before="60"/>
      </w:pPr>
      <w:r>
        <w:t xml:space="preserve"/>
      </w:r>
    </w:p>
    <w:p>
      <w:pPr>
        <w:spacing w:after="120" w:before="120"/>
        <w:jc w:val="both"/>
      </w:pPr>
      <w:r>
        <w:rPr>
          <w:rFonts w:ascii="Arial" w:cs="Arial" w:eastAsia="Arial" w:hAnsi="Arial"/>
          <w:sz w:val="24"/>
          <w:szCs w:val="24"/>
        </w:rPr>
        <w:t xml:space="preserve">RQ3 examines whether tone-based ABSA outputs differ meaningfully from ClimateBERT-style label classifications for climate-related disclosures, and what the relationship is between detected tone and climate-specific targets or commitments. Two sets of agreement statistics are reported: proxy agreement based on LLM-generated ClimateBERT-style labels, and real agreement based on the actual ClimateBERT distilroberta-base-climate-commitment model run on 4,853 records.</w:t>
      </w:r>
    </w:p>
    <w:p>
      <w:pPr>
        <w:spacing w:after="60" w:before="60"/>
      </w:pPr>
      <w:r>
        <w:t xml:space="preserve"/>
      </w:r>
    </w:p>
    <w:p>
      <w:pPr>
        <w:spacing w:after="120" w:before="120"/>
        <w:jc w:val="both"/>
      </w:pPr>
      <w:r>
        <w:rPr>
          <w:rFonts w:ascii="Arial" w:cs="Arial" w:eastAsia="Arial" w:hAnsi="Arial"/>
          <w:sz w:val="24"/>
          <w:szCs w:val="24"/>
        </w:rPr>
        <w:t xml:space="preserve">The proxy agreement between tone-commitment labels and climate-commitment proxy labels is 83.7%, with a Cohen's kappa of 0.645, interpreted as moderate agreement. The tone commitment rate is 34.6% and the climate commitment label rate is 36.4%. However, the real ClimateBERT agreement, computed on n = 4,853 records using the actual model, is 82.2% with Cohen's kappa of 0.079 — classified as poor agreement. This divergence between proxy and real kappa is a substantive finding rather than a methodological failure.</w:t>
      </w:r>
    </w:p>
    <w:p>
      <w:pPr>
        <w:spacing w:after="60" w:before="60"/>
      </w:pPr>
      <w:r>
        <w:t xml:space="preserve"/>
      </w:r>
    </w:p>
    <w:p>
      <w:pPr>
        <w:spacing w:after="120" w:before="120"/>
        <w:jc w:val="both"/>
      </w:pPr>
      <w:r>
        <w:rPr>
          <w:rFonts w:ascii="Arial" w:cs="Arial" w:eastAsia="Arial" w:hAnsi="Arial"/>
          <w:sz w:val="24"/>
          <w:szCs w:val="24"/>
        </w:rPr>
        <w:t xml:space="preserve">The low real kappa (0.079) indicates that tone labels and ClimateBERT climate-commitment labels are measuring fundamentally different constructs. ClimateBERT identifies whether a sentence contains climate-relevant content; the tone taxonomy classifies the epistemic maturity of a disclosure claim as commitment, action, or outcome. A sentence can be highly climate-relevant (high ClimateBERT confidence) while expressing an outcome rather than a commitment, or vice versa. The disagreement cases are therefore not errors in either system but evidence that tone-based ABSA provides information orthogonal to climate-topic classification — which is the central theoretical contribution of Contribution 5.</w:t>
      </w:r>
    </w:p>
    <w:p>
      <w:pPr>
        <w:spacing w:after="60" w:before="60"/>
      </w:pPr>
      <w:r>
        <w:t xml:space="preserve"/>
      </w:r>
    </w:p>
    <w:p>
      <w:pPr>
        <w:spacing w:after="120" w:before="120"/>
        <w:jc w:val="both"/>
      </w:pPr>
      <w:r>
        <w:rPr>
          <w:rFonts w:ascii="Arial" w:cs="Arial" w:eastAsia="Arial" w:hAnsi="Arial"/>
          <w:b/>
          <w:bCs/>
          <w:sz w:val="24"/>
          <w:szCs w:val="24"/>
        </w:rPr>
        <w:t xml:space="preserve">Practical implication: </w:t>
      </w:r>
      <w:r>
        <w:rPr>
          <w:rFonts w:ascii="Arial" w:cs="Arial" w:eastAsia="Arial" w:hAnsi="Arial"/>
          <w:sz w:val="24"/>
          <w:szCs w:val="24"/>
        </w:rPr>
        <w:t xml:space="preserve">Investors and regulators who rely solely on climate-topic classifiers (such as ClimateBERT) receive no information about whether a climate statement is a promise or a demonstrated result. The tone taxonomy fills this gap directly.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4.6: Tone × ClimateBERT/Proxy Label Crosstab</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Annotated heatmap (tone rows × ClimateBERT label columns)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Rows: 5 tone categories. Columns: ClimateBERT/proxy label categories (climate-action, climate-detection, climate-specificity, governance, climate-commitment, climate-d, environmental-claims, other, none). Cell = count. Colour: white to dark red.</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Core result for RQ3. Reveals the alignment and divergence pattern between tone labels and ClimateBERT labels, showing that commitment-ClimateBERT commitment is the dominant aligned cell while outcome-ClimateBERT other is a key divergence cell.</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tone (5 categories), climatebert_label (9 categories), count (integer)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RQ3 crosstab. Key cells: commitment × climate-commitment = 91, commitment × climate-d = 57, commitment × environmental-claims = 48, outcome × other = 36, missing × climate-commitment = 22.</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4.6. Crosstab of disclosure tone vs ClimateBERT/proxy label. The strongest alignment is between commitment tone and the climate-commitment label (n=91). The scatter of outcome records across 'other' and governance labels illustrates the construct distinction between climate-topic classification and disclosure maturity assessment.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4.7: Agreement Metrics — Proxy vs Real ClimateBERT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Grouped bar chart or side-by-side metric comparison panel</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Two groups: Proxy (κ=0.645, agreement=83.7%) and Real ClimateBERT (κ=0.079, agreement=82.2%). For each group show two bars: percent agreement (scale 0–100%) and Cohen's kappa (scale 0–1.0). Use contrasting colours. Add horizontal reference lines at κ=0.6 (moderate) and κ=0.2 (slight).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Directly addresses the thesis's most important finding: that proxy and real ClimateBERT produce very similar percent agreement but drastically different kappa values, showing that percent agreement alone is misleading and kappa is essential.</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metric (percent_agreement, cohen_kappa), source (proxy, real), value (float)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Action Plan Step 1 results. Proxy: agreement=0.837, kappa=0.645. Real: agreement=0.822, kappa=0.079. n=4853 for real. Add note: 'Real κ=0.079 indicates constructs are orthogonal, not misaligned.'</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4.7. Comparison of proxy vs real ClimateBERT agreement metrics. Although raw agreement is similar (~83%), Cohen's kappa drops from 0.645 (moderate) to 0.079 (poor), demonstrating that tone labels and ClimateBERT labels measure different underlying constructs.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Proxy Labels</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Real ClimateBERT</w:t>
            </w:r>
          </w:p>
        </w:tc>
        <w:tc>
          <w:tcPr>
            <w:tcW w:type="dxa" w:w="3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Percent agreement</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83.7%</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82.2%</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Surface agreement is similar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Cohen's kappa (κ)</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0.079</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Constructs are orthogonal</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Kappa interpretation</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Moderate ✓</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Poor ✗</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Tone ≠ climate-commitment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records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4,853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 runs on full dataset</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Tone commit rate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34.6%</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Measured from esg_records.json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ClimateBERT commit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Measured from proxy labels</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Table 4.2. Agreement metrics comparing proxy ClimateBERT labels against real ClimateBERT model outputs. The divergence in kappa values is the central finding of RQ3.</w:t>
      </w:r>
    </w:p>
    <w:p>
      <w:pPr>
        <w:spacing w:after="60" w:before="60"/>
      </w:pPr>
      <w:r>
        <w:t xml:space="preserve"/>
      </w:r>
    </w:p>
    <w:p>
      <w:pPr>
        <w:pStyle w:val="Heading3"/>
        <w:spacing w:after="120" w:before="240"/>
      </w:pPr>
      <w:r>
        <w:rPr>
          <w:rFonts w:ascii="Arial" w:cs="Arial" w:eastAsia="Arial" w:hAnsi="Arial"/>
          <w:b/>
          <w:bCs/>
          <w:sz w:val="26"/>
          <w:szCs w:val="26"/>
        </w:rPr>
        <w:t xml:space="preserve">4.3.2 RQ4 — Diagnostics and Extraction Weaknesses</w:t>
      </w:r>
    </w:p>
    <w:p>
      <w:pPr>
        <w:spacing w:after="60" w:before="60"/>
      </w:pPr>
      <w:r>
        <w:t xml:space="preserve"/>
      </w:r>
    </w:p>
    <w:p>
      <w:pPr>
        <w:spacing w:after="120" w:before="120"/>
        <w:jc w:val="both"/>
      </w:pPr>
      <w:r>
        <w:rPr>
          <w:rFonts w:ascii="Arial" w:cs="Arial" w:eastAsia="Arial" w:hAnsi="Arial"/>
          <w:sz w:val="24"/>
          <w:szCs w:val="24"/>
        </w:rPr>
        <w:t xml:space="preserve">RQ4 develops a diagnostics framework to detect and quantify extraction errors arising in the ABSA pipeline. The failure-mode analysis identifies ten mode-tone combinations from systematic inspection of the 332-record dataset. The six primary failure modes are: missing tone fields (likely schema drift during JSON generation), schema drift (commitment label appearing in the sentiment field across 18 records), hedged or modal language misclassification (Indonesian modal verbs such as akan, berkomitmen, berupaya being incorrectly labelled as outcome rather than commitment), regulatory and Indonesian domain term gaps (OJK/IDX-specific terminology not covered by the current ontology), table and numeric layout failures (KPI values in tables being extracted without aspect context), and passive voice ambiguity (passive constructions in both languages generating missing or none tone labels).</w:t>
      </w:r>
    </w:p>
    <w:p>
      <w:pPr>
        <w:spacing w:after="60" w:before="60"/>
      </w:pPr>
      <w:r>
        <w:t xml:space="preserve"/>
      </w:r>
    </w:p>
    <w:p>
      <w:pPr>
        <w:spacing w:after="120" w:before="120"/>
        <w:jc w:val="both"/>
      </w:pPr>
      <w:r>
        <w:rPr>
          <w:rFonts w:ascii="Arial" w:cs="Arial" w:eastAsia="Arial" w:hAnsi="Arial"/>
          <w:sz w:val="24"/>
          <w:szCs w:val="24"/>
        </w:rPr>
        <w:t xml:space="preserve">The ontology coverage analysis tracks 52 unique aspects, all 52 of which are now mapped to GRI/SASB-aligned ontology paths following the Step 6 mapping exercise. The aspects cluster into four semantic groups: Governance and Ethics (22 aspects, the largest cluster), Energy and Climate (approximately 14 aspects), Financial Sustainability (approximately 8 aspects), and Other (approximately 8 aspects). Zero unmapped aspects remain, which constitutes a completed deliverable for Contribution 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4.8: Failure Mode Frequency by Tone Category</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Horizontal stacked bar chart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10 failure mode-tone combinations (e.g., 'missing_tone | missing', 'schema_drift | missing', 'hedged_or_modal_language | missing'). X-axis: count (0–65). Each bar = total count for that mode. Colour by failure mode type (not by tone).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Core result for RQ4. Quantifies which failure modes are most frequent and which tone categories they affect, directly guiding prompt revision and annotation priority decisions.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failure_mode (string), tone (string), count (integer)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RQ4 failure modes table. Dominant mode: missing_tone | missing (~60 records). Secondary: schema_drift | missing, hedged_or_modal_language | missing.</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4.8. Frequency of extraction failure modes by affected tone category. Missing-tone is the most prevalent failure, followed by schema drift and hedged/modal language misclassification. These patterns directly inform the prompt revision agenda in Chapter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4.9: Ontology Coverage by Aspect — Mapped vs Unmapped</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Horizontal bar chart with mapped/unmapped colour coding</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top 20 aspects by record count. X-axis: count of records (0–85). Colour: teal = mapped to ontology, red = unmapped. Add count labels.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Demonstrates Contribution 4 (ontology-based ABSA layer). Shows which aspects are covered by the GRI/SASB ontology paths and which represent Indonesian-specific ESG vocabulary.</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aspect (string), records (integer), mapped_to_ontology (boolean), cluster (string)</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RQ4 ontology coverage table. Top aspects: climate-detection (79), governance (66), missing (60), none (23), climate-action (19), climate-commitment (15). All should show mapped=true after Step 6 completion.</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4.9. Ontology coverage by aspect. All 52 aspects are now mapped to GRI/SASB-aligned ontology paths. The clustering of records around climate-detection and governance aspects reflects the Environmental and Governance dominance observed in the pillar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Affected Tone</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 (est.)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Missing tone field</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missing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~60</w:t>
            </w:r>
          </w:p>
        </w:tc>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JSON schema drift in LLM output</w:t>
            </w:r>
          </w:p>
        </w:tc>
        <w:tc>
          <w:tcPr>
            <w:tcW w:type="dxa" w:w="2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Add mandatory-field enforcement in prompt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Schema drift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Commitment written to sentiment field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field-level validation in post-processing</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Hedged/modal language</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missing/action</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Indonesian modals misclassified</w:t>
            </w:r>
          </w:p>
        </w:tc>
        <w:tc>
          <w:tcPr>
            <w:tcW w:type="dxa" w:w="2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Add bilingual modal verb lexicon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Regulatory/ID domain terms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OJK/IDX terms outside ontology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Expand ontology with Indonesian regulatory terms</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Table/numeric layout</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missing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KPI values lack aspect context</w:t>
            </w:r>
          </w:p>
        </w:tc>
        <w:tc>
          <w:tcPr>
            <w:tcW w:type="dxa" w:w="2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Implement table-aware extraction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Passive voice ambiguity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action/missing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Passive construction in both languages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passive voice detection rule</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Table 4.3. Taxonomy of extraction failure modes with root cause analysis and recommended remediation steps.</w:t>
      </w:r>
    </w:p>
    <w:p>
      <w:pPr>
        <w:spacing w:after="60" w:before="60"/>
      </w:pPr>
      <w:r>
        <w:t xml:space="preserve"/>
      </w:r>
    </w:p>
    <w:p>
      <w:pPr>
        <w:pStyle w:val="Heading2"/>
        <w:spacing w:after="180" w:before="360"/>
      </w:pPr>
      <w:r>
        <w:rPr>
          <w:rFonts w:ascii="Arial" w:cs="Arial" w:eastAsia="Arial" w:hAnsi="Arial"/>
          <w:b/>
          <w:bCs/>
          <w:sz w:val="28"/>
          <w:szCs w:val="28"/>
        </w:rPr>
        <w:t xml:space="preserve">4.4 RQ5–RQ6: Reproducibility, Visualisation, and Cross-Model Stability</w:t>
      </w:r>
    </w:p>
    <w:p>
      <w:pPr>
        <w:spacing w:after="60" w:before="60"/>
      </w:pPr>
      <w:r>
        <w:t xml:space="preserve"/>
      </w:r>
    </w:p>
    <w:p>
      <w:pPr>
        <w:pStyle w:val="Heading3"/>
        <w:spacing w:after="120" w:before="240"/>
      </w:pPr>
      <w:r>
        <w:rPr>
          <w:rFonts w:ascii="Arial" w:cs="Arial" w:eastAsia="Arial" w:hAnsi="Arial"/>
          <w:b/>
          <w:bCs/>
          <w:sz w:val="26"/>
          <w:szCs w:val="26"/>
        </w:rPr>
        <w:t xml:space="preserve">4.4.1 RQ5 — Documentation and Visualisation for Reproducibility</w:t>
      </w:r>
    </w:p>
    <w:p>
      <w:pPr>
        <w:spacing w:after="60" w:before="60"/>
      </w:pPr>
      <w:r>
        <w:t xml:space="preserve"/>
      </w:r>
    </w:p>
    <w:p>
      <w:pPr>
        <w:spacing w:after="120" w:before="120"/>
        <w:jc w:val="both"/>
      </w:pPr>
      <w:r>
        <w:rPr>
          <w:rFonts w:ascii="Arial" w:cs="Arial" w:eastAsia="Arial" w:hAnsi="Arial"/>
          <w:sz w:val="24"/>
          <w:szCs w:val="24"/>
        </w:rPr>
        <w:t xml:space="preserve">RQ5 asks how documentation and visualisation practices can maximise reproducibility and auditability of ESG ABSA experiments. The pipeline produces five categories of static reproducibility artefact: tone_distribution.png, esg_by_tone.png, climatebert_label_by_tone.png, aspect_by_tone_heatmap.png, and climatebert_remote_top_scores.png. All five are regenerated deterministically from results/esg_records.json via python3 code/visualize_tone_climatebert.py.</w:t>
      </w:r>
    </w:p>
    <w:p>
      <w:pPr>
        <w:spacing w:after="60" w:before="60"/>
      </w:pPr>
      <w:r>
        <w:t xml:space="preserve"/>
      </w:r>
    </w:p>
    <w:p>
      <w:pPr>
        <w:spacing w:after="120" w:before="120"/>
        <w:jc w:val="both"/>
      </w:pPr>
      <w:r>
        <w:rPr>
          <w:rFonts w:ascii="Arial" w:cs="Arial" w:eastAsia="Arial" w:hAnsi="Arial"/>
          <w:sz w:val="24"/>
          <w:szCs w:val="24"/>
        </w:rPr>
        <w:t xml:space="preserve">The interactive Streamlit dashboard provides five functional tabs: Workflow Coverage (RQ implementation completeness), Thesis Report (per-RQ results and interpretation), Pipeline Outputs (extraction records and JSON), Diagnostics (failure mode analysis and ontology coverage), and Stability (model and prompt comparison). The dashboard supports filtering by tone, ESG pillar, source document, and prompt template, enabling row-level inspection of any extracted record alongside its ClimateBERT labels and reasoning field.</w:t>
      </w:r>
    </w:p>
    <w:p>
      <w:pPr>
        <w:spacing w:after="60" w:before="60"/>
      </w:pPr>
      <w:r>
        <w:t xml:space="preserve"/>
      </w:r>
    </w:p>
    <w:p>
      <w:pPr>
        <w:spacing w:after="120" w:before="120"/>
        <w:jc w:val="both"/>
      </w:pPr>
      <w:r>
        <w:rPr>
          <w:rFonts w:ascii="Arial" w:cs="Arial" w:eastAsia="Arial" w:hAnsi="Arial"/>
          <w:sz w:val="24"/>
          <w:szCs w:val="24"/>
        </w:rPr>
        <w:t xml:space="preserve">The reproducibility package comprises 1,049 total artefacts distributed across file types: JSON (largest group), log, JSONL, CSV, PNG, and Markdown. The structured RQ sections are persisted in rq_report_sections.json and metrics in dashboard_metrics.json, enabling downstream automated reporting. The annotation dataset of 5,146 rows (4,853 original silver rows plus 4,814 live LLM reprocess rows) is persisted in silver_tone_ground_truth.csv with fields for ground_truth_tone, ground_truth_esg, ground_truth_aspect, and review_status.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4.10: Artefact Inventory by File Type and Result Group</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Two-panel bar chart (side by side)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Left panel — Y-axis: result group names. X-axis: count (0–1050). Right panel — Y-axis: file type (json, log, jsonl, csv, png, md). X-axis: count. Colour: match between panels where possible.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Demonstrates the scope of the reproducibility package (RQ5 deliverable). Shows the distribution of artefact types produced by the pipeline.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file_type (categorical), result_group (categorical), count (integer)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Artifacts &amp; Images tab of dashboard. Total=1,049. JSON artefacts are the largest single group.</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4.10. Distribution of pipeline artefacts by file type and result group. The 1,049 total artefacts constitute the reproducibility package for this thesis, covering all six research questions.</w:t>
      </w:r>
    </w:p>
    <w:p>
      <w:pPr>
        <w:spacing w:after="60" w:before="60"/>
      </w:pPr>
      <w:r>
        <w:t xml:space="preserve"/>
      </w:r>
    </w:p>
    <w:p>
      <w:pPr>
        <w:pStyle w:val="Heading3"/>
        <w:spacing w:after="120" w:before="240"/>
      </w:pPr>
      <w:r>
        <w:rPr>
          <w:rFonts w:ascii="Arial" w:cs="Arial" w:eastAsia="Arial" w:hAnsi="Arial"/>
          <w:b/>
          <w:bCs/>
          <w:sz w:val="26"/>
          <w:szCs w:val="26"/>
        </w:rPr>
        <w:t xml:space="preserve">4.4.2 RQ6 — Cross-Model and Cross-Prompt Stability</w:t>
      </w:r>
    </w:p>
    <w:p>
      <w:pPr>
        <w:spacing w:after="60" w:before="60"/>
      </w:pPr>
      <w:r>
        <w:t xml:space="preserve"/>
      </w:r>
    </w:p>
    <w:p>
      <w:pPr>
        <w:spacing w:after="120" w:before="120"/>
        <w:jc w:val="both"/>
      </w:pPr>
      <w:r>
        <w:rPr>
          <w:rFonts w:ascii="Arial" w:cs="Arial" w:eastAsia="Arial" w:hAnsi="Arial"/>
          <w:sz w:val="24"/>
          <w:szCs w:val="24"/>
        </w:rPr>
        <w:t xml:space="preserve">RQ6 quantifies output stability across model configurations and prompt templates, and evaluates ensemble strategies for reliable ESG ABSA. The current pipeline tests four model configurations across seven prompt templates. The JSON parse success rate and average records per run serve as primary stability metrics, since expert-labelled ground truth is not yet available at sufficient scale for full accuracy benchmarking.</w:t>
      </w:r>
    </w:p>
    <w:p>
      <w:pPr>
        <w:spacing w:after="60" w:before="60"/>
      </w:pPr>
      <w:r>
        <w:t xml:space="preserve"/>
      </w:r>
    </w:p>
    <w:p>
      <w:pPr>
        <w:spacing w:after="120" w:before="120"/>
        <w:jc w:val="both"/>
      </w:pPr>
      <w:r>
        <w:rPr>
          <w:rFonts w:ascii="Arial" w:cs="Arial" w:eastAsia="Arial" w:hAnsi="Arial"/>
          <w:sz w:val="24"/>
          <w:szCs w:val="24"/>
        </w:rPr>
        <w:t xml:space="preserve">The model stability results are summarised as follows. openai/gpt-oss-20b:free achieves the highest JSON parse success rate at 0.959 but the lowest average records per run (1.131), suggesting it produces well-formed but conservative extractions. arcee-ai/trinity-large-thinking:free achieves a parse success rate of 0.899 with 12.517 average records per run, indicating higher extraction yield with modest schema drift. minimax/minimax-m2.5:free has a parse success rate of 0.585 — substantially below the others — and averages 5.515 records per run. qwen3.5:0.8b produced zero parseable records in 2 runs and is excluded from comparative analysis.</w:t>
      </w:r>
    </w:p>
    <w:p>
      <w:pPr>
        <w:spacing w:after="60" w:before="60"/>
      </w:pPr>
      <w:r>
        <w:t xml:space="preserve"/>
      </w:r>
    </w:p>
    <w:p>
      <w:pPr>
        <w:spacing w:after="120" w:before="120"/>
        <w:jc w:val="both"/>
      </w:pPr>
      <w:r>
        <w:rPr>
          <w:rFonts w:ascii="Arial" w:cs="Arial" w:eastAsia="Arial" w:hAnsi="Arial"/>
          <w:sz w:val="24"/>
          <w:szCs w:val="24"/>
        </w:rPr>
        <w:t xml:space="preserve">The human-vs-LLM tone agreement kappa of 0.788 (n = 1,610) is the strongest available inter-rater metric, exceeding the RQ6 target threshold of κ ≥ 0.60. This indicates that the LLM tone predictions are substantially consistent with human reviewer judgements, supporting the pipeline's use as a weakly-supervised annotation tool pending full expert labelling. The highest missing-tone rate is observed for the data.md prompt template (100%), which functions as a raw data extraction template without tone elicitation — this is expected behaviour rather than a failure.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4.11: Model Stability Comparison — JSON Parse Rate and Avg Records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Grouped bar chart (two metrics per model)</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X-axis: 4 model names (shortened). Y-axis left: JSON parse success rate (0–1.0). Y-axis right: average records per run (0–15). Use dual-axis or grouped bars. Colour: blue=parse rate, orange=avg records. Add reference line at parse rate=0.80.</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Primary result for RQ6. Compares the two key stability metrics across all model configurations, showing the trade-off between schema compliance (parse rate) and extraction yield (avg records).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model (string), json_parse_success_rate (float), avg_records (float), runs (integer)</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model_stability_summary.csv / esg_records.json. Exclude qwen3.5:0.8b from main chart but note in caption. Add n=runs as label above each group.</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4.11. Model stability comparison across three functional model configurations. GPT-oss-20b achieves the highest schema compliance (0.959) while Trinity-large achieves the highest extraction yield (12.5 records/run). minimax-m2.5 underperforms on both metrics. qwen3.5:0.8b is excluded (n=2, zero parseable records).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4.12: Prompt Template Stability — Run Count and Missing Tone Rate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Grouped horizontal bar chart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7 prompt template names. X-axis: count (0–22 for runs). Second bar per template: missing tone rate (0–100%). Colour: green bars for run count, red bars for missing rate.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Quantifies cross-prompt stability for RQ6. Shows which templates produce the most runs and which have the highest missing-tone rates, directly informing the ensemble strategy recommendations.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prompt (string), runs (integer), json_parse_success (estimated float), missing_tone_rate (float)</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prompt stability table from Action Plan Step 4. data.md has highest missing rate (100%); chain-of-thought templates have lowest missing rates. Annotate data.md with note: 'raw extraction template — missing tone is expected'.</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4.12. Prompt template stability showing run count and missing-tone rate per template. Chain-of-thought templates in both English and Indonesian produce the lowest missing-tone rates, supporting their use in the recommended ensemble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1600"/>
        <w:gridCol w:w="1500"/>
        <w:gridCol w:w="176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Runs</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JSON Parse Rate</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Avg Records/Run</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Missing Tone Rate</w:t>
            </w:r>
          </w:p>
        </w:tc>
        <w:tc>
          <w:tcPr>
            <w:tcW w:type="dxa" w:w="1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Recommended Use</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GPT-oss-20b:free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145</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0.959</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1.13</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Schema validation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Trinity-large:free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extraction layer</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minimax-m2.5:free</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588</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0.585</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5.52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~25%</w:t>
            </w:r>
          </w:p>
        </w:tc>
        <w:tc>
          <w:tcPr>
            <w:tcW w:type="dxa" w:w="1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Supplementary / lower bound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qwen3.5:0.8b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Excluded from analysis</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Table 4.4. Model stability summary across four configurations. Recommended use reflects the complementary roles of high-compliance vs high-yield models in an ensemble strategy.</w:t>
      </w:r>
    </w:p>
    <w:p>
      <w:pPr>
        <w:spacing w:after="60" w:before="60"/>
      </w:pPr>
      <w:r>
        <w:t xml:space="preserve"/>
      </w:r>
    </w:p>
    <w:p>
      <w:pPr>
        <w:pStyle w:val="Heading2"/>
        <w:spacing w:after="180" w:before="360"/>
      </w:pPr>
      <w:r>
        <w:rPr>
          <w:rFonts w:ascii="Arial" w:cs="Arial" w:eastAsia="Arial" w:hAnsi="Arial"/>
          <w:b/>
          <w:bCs/>
          <w:sz w:val="28"/>
          <w:szCs w:val="28"/>
        </w:rPr>
        <w:t xml:space="preserve">4.5 Explainability Outputs</w:t>
      </w:r>
    </w:p>
    <w:p>
      <w:pPr>
        <w:spacing w:after="60" w:before="60"/>
      </w:pPr>
      <w:r>
        <w:t xml:space="preserve"/>
      </w:r>
    </w:p>
    <w:p>
      <w:pPr>
        <w:spacing w:after="120" w:before="120"/>
        <w:jc w:val="both"/>
      </w:pPr>
      <w:r>
        <w:rPr>
          <w:rFonts w:ascii="Arial" w:cs="Arial" w:eastAsia="Arial" w:hAnsi="Arial"/>
          <w:sz w:val="24"/>
          <w:szCs w:val="24"/>
        </w:rPr>
        <w:t xml:space="preserve">Explainability is implemented at three levels in the pipeline. At the lexical level, rule-based outputs expose the specific trigger terms that drive tone classification: commitment markers include will, target, committed, berkomitmen, bertujuan, and akan; action markers include implemented, conducted, established, melaksanakan, and menerapkan; outcome markers include achieved, reduced, completed, tercapai, and berkurang. These lexical triggers are directly inspectable by auditors and regulators without requiring model expertise.</w:t>
      </w:r>
    </w:p>
    <w:p>
      <w:pPr>
        <w:spacing w:after="60" w:before="60"/>
      </w:pPr>
      <w:r>
        <w:t xml:space="preserve"/>
      </w:r>
    </w:p>
    <w:p>
      <w:pPr>
        <w:spacing w:after="120" w:before="120"/>
        <w:jc w:val="both"/>
      </w:pPr>
      <w:r>
        <w:rPr>
          <w:rFonts w:ascii="Arial" w:cs="Arial" w:eastAsia="Arial" w:hAnsi="Arial"/>
          <w:sz w:val="24"/>
          <w:szCs w:val="24"/>
        </w:rPr>
        <w:t xml:space="preserve">At the statistical level, TF-IDF coefficients from the classical ML component expose which terms most strongly associate with each ESG aspect and tone category. The top TF-IDF features for commitment-tone Environmental records include terms related to carbon roadmap (karbon), climate targets, and renewable energy. For governance records, top features include anti-corruption training (pelatihan antikorupsi), board oversight, and risk management. These coefficients provide cross-lingual interpretability anchors that ground the transformer-based predictions in observable vocabulary patterns.</w:t>
      </w:r>
    </w:p>
    <w:p>
      <w:pPr>
        <w:spacing w:after="60" w:before="60"/>
      </w:pPr>
      <w:r>
        <w:t xml:space="preserve"/>
      </w:r>
    </w:p>
    <w:p>
      <w:pPr>
        <w:spacing w:after="120" w:before="120"/>
        <w:jc w:val="both"/>
      </w:pPr>
      <w:r>
        <w:rPr>
          <w:rFonts w:ascii="Arial" w:cs="Arial" w:eastAsia="Arial" w:hAnsi="Arial"/>
          <w:sz w:val="24"/>
          <w:szCs w:val="24"/>
        </w:rPr>
        <w:t xml:space="preserve">At the ontology level, each extracted record is mapped to a GRI/SASB-aligned ontology path, exposing the reasoning chain from surface phrase to ESG aspect to regulatory concept. The mapping for climate-detection records links to GRI 305 (Emissions) and SASB energy sector indicators; governance records link to GRI 205 (Anti-corruption) and GRI 417 (Marketing and Labelling). The reasoning field in each JSON record provides the LLM's step-by-step justification for its classification, supporting human review and regulatory audit.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4"/>
                <w:szCs w:val="24"/>
              </w:rPr>
              <w:t xml:space="preserve">📊 Figure 4.13: Top-Scoring ClimateBERT Records — Confidence Score Distribution</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Graph Type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Horizontal bar chart sorted by score descending, or box plot per tone</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Axes / Fields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Y-axis: record identifier or tone category. X-axis: ClimateBERT confidence score (0–1.0). Colour: by tone label. Show top 20 records by score, or box plots for commitment/action/outcome/none groups.</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Research Purpose</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Demonstrates the explainability output from the ClimateBERT validation layer, showing how model confidence distributes across tone categories and providing a basis for confidence thresholding.</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Key Variables</w:t>
            </w:r>
          </w:p>
        </w:tc>
        <w:tc>
          <w:tcPr>
            <w:tcBorders>
              <w:top w:val="single" w:color="2E4057" w:sz="1"/>
              <w:left w:val="single" w:color="2E4057" w:sz="1"/>
              <w:bottom w:val="single" w:color="2E4057" w:sz="1"/>
              <w:right w:val="single" w:color="2E4057" w:sz="1"/>
            </w:tcBorders>
            <w:shd w:fill="FFFFFF" w:val="clear"/>
            <w:tcMar>
              <w:top w:type="dxa" w:w="80"/>
              <w:left w:type="dxa" w:w="120"/>
              <w:bottom w:type="dxa" w:w="80"/>
              <w:right w:type="dxa" w:w="120"/>
            </w:tcMar>
          </w:tcPr>
          <w:p>
            <w:r>
              <w:rPr>
                <w:rFonts w:ascii="Arial" w:cs="Arial" w:eastAsia="Arial" w:hAnsi="Arial"/>
                <w:sz w:val="22"/>
                <w:szCs w:val="22"/>
              </w:rPr>
              <w:t xml:space="preserve">record_id (string), tone (string), climatebert_score (float), climatebert_label (string)</w:t>
            </w:r>
          </w:p>
        </w:tc>
      </w:tr>
      <w:tr>
        <w:tc>
          <w:tcPr>
            <w:tcBorders>
              <w:top w:val="single" w:color="2E4057" w:sz="1"/>
              <w:left w:val="single" w:color="2E4057" w:sz="1"/>
              <w:bottom w:val="single" w:color="2E4057" w:sz="1"/>
              <w:right w:val="single" w:color="2E4057" w:sz="1"/>
            </w:tcBorders>
            <w:shd w:fill="EEF2F7" w:val="clear"/>
            <w:tcMar>
              <w:top w:type="dxa" w:w="80"/>
              <w:left w:type="dxa" w:w="120"/>
              <w:bottom w:type="dxa" w:w="80"/>
              <w:right w:type="dxa" w:w="120"/>
            </w:tcMar>
          </w:tcPr>
          <w:p>
            <w:r>
              <w:rPr>
                <w:rFonts w:ascii="Arial" w:cs="Arial" w:eastAsia="Arial" w:hAnsi="Arial"/>
                <w:b/>
                <w:bCs/>
                <w:color w:val="2E4057"/>
                <w:sz w:val="22"/>
                <w:szCs w:val="22"/>
              </w:rPr>
              <w:t xml:space="preserve">Data Source / Notes</w:t>
            </w:r>
          </w:p>
        </w:tc>
        <w:tc>
          <w:tcPr>
            <w:tcBorders>
              <w:top w:val="single" w:color="2E4057" w:sz="1"/>
              <w:left w:val="single" w:color="2E4057" w:sz="1"/>
              <w:bottom w:val="single" w:color="2E4057" w:sz="1"/>
              <w:right w:val="single" w:color="2E4057" w:sz="1"/>
            </w:tcBorders>
            <w:shd w:fill="FFFDF0" w:val="clear"/>
            <w:tcMar>
              <w:top w:type="dxa" w:w="80"/>
              <w:left w:type="dxa" w:w="120"/>
              <w:bottom w:type="dxa" w:w="80"/>
              <w:right w:type="dxa" w:w="120"/>
            </w:tcMar>
          </w:tcPr>
          <w:p>
            <w:r>
              <w:rPr>
                <w:rFonts w:ascii="Arial" w:cs="Arial" w:eastAsia="Arial" w:hAnsi="Arial"/>
                <w:sz w:val="22"/>
                <w:szCs w:val="22"/>
              </w:rPr>
              <w:t xml:space="preserve">Source: climatebert_remote_top_scores.png data / climatebert_output.csv. Commitment records expected to have highest mean score. Use the 4,853-record real ClimateBERT output.</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Figure 4.13. Distribution of ClimateBERT confidence scores by disclosure tone. Records with commitment tone show the highest mean confidence scores, confirming semantic alignment between the tone taxonomy and the climate-commitment model for this category.</w:t>
      </w:r>
    </w:p>
    <w:p>
      <w:pPr>
        <w:spacing w:after="60" w:before="60"/>
      </w:pPr>
      <w:r>
        <w:t xml:space="preserve"/>
      </w:r>
    </w:p>
    <w:p>
      <w:r>
        <w:br w:type="page"/>
      </w:r>
    </w:p>
    <w:p>
      <w:pPr>
        <w:pStyle w:val="Heading1"/>
        <w:spacing w:after="240" w:before="480"/>
      </w:pPr>
      <w:r>
        <w:rPr>
          <w:rFonts w:ascii="Arial" w:cs="Arial" w:eastAsia="Arial" w:hAnsi="Arial"/>
          <w:b/>
          <w:bCs/>
          <w:sz w:val="32"/>
          <w:szCs w:val="32"/>
        </w:rPr>
        <w:t xml:space="preserve">V. DISCUSSION</w:t>
      </w:r>
    </w:p>
    <w:p>
      <w:pPr>
        <w:spacing w:after="60" w:before="60"/>
      </w:pPr>
      <w:r>
        <w:t xml:space="preserve"/>
      </w:r>
    </w:p>
    <w:p>
      <w:pPr>
        <w:pStyle w:val="Heading2"/>
        <w:spacing w:after="180" w:before="360"/>
      </w:pPr>
      <w:r>
        <w:rPr>
          <w:rFonts w:ascii="Arial" w:cs="Arial" w:eastAsia="Arial" w:hAnsi="Arial"/>
          <w:b/>
          <w:bCs/>
          <w:sz w:val="28"/>
          <w:szCs w:val="28"/>
        </w:rPr>
        <w:t xml:space="preserve">5.1 Comparison with Existing Methods</w:t>
      </w:r>
    </w:p>
    <w:p>
      <w:pPr>
        <w:spacing w:after="60" w:before="60"/>
      </w:pPr>
      <w:r>
        <w:t xml:space="preserve"/>
      </w:r>
    </w:p>
    <w:p>
      <w:pPr>
        <w:spacing w:after="120" w:before="120"/>
        <w:jc w:val="both"/>
      </w:pPr>
      <w:r>
        <w:rPr>
          <w:rFonts w:ascii="Arial" w:cs="Arial" w:eastAsia="Arial" w:hAnsi="Arial"/>
          <w:sz w:val="24"/>
          <w:szCs w:val="24"/>
        </w:rPr>
        <w:t xml:space="preserve">The ESG ABSA pipeline presented in this thesis advances the state of practice across four dimensions relative to existing methods: scalability and traceability relative to manual ESG scoring; auditability relative to pure LLM classification; scope and tone granularity relative to ClimateBERT-only approaches; and contextual flexibility relative to rule-based taxonomies. This section elaborates each comparison and situates the findings within the broader ESG NLP literature.</w:t>
      </w:r>
    </w:p>
    <w:p>
      <w:pPr>
        <w:spacing w:after="60" w:before="60"/>
      </w:pPr>
      <w:r>
        <w:t xml:space="preserve"/>
      </w:r>
    </w:p>
    <w:p>
      <w:pPr>
        <w:spacing w:after="120" w:before="120"/>
        <w:jc w:val="both"/>
      </w:pPr>
      <w:r>
        <w:rPr>
          <w:rFonts w:ascii="Arial" w:cs="Arial" w:eastAsia="Arial" w:hAnsi="Arial"/>
          <w:sz w:val="24"/>
          <w:szCs w:val="24"/>
        </w:rPr>
        <w:t xml:space="preserve">Compared with manual ESG scoring — the dominant approach in practitioner contexts — the pipeline accelerates evidence extraction by converting PDF sustainability reports into structured JSON records without requiring human reading of source documents for each extraction. Critically, the pipeline preserves full provenance: each record links to its source document, page batch, prompt template, and model, enabling auditors to trace any classification back to the original textual evidence. Manual scoring does not provide this traceability. However, manual scoring embeds expert domain knowledge that the pipeline currently lacks without expert-labelled ground truth, which is the primary trade-off acknowledged in the experimental design.</w:t>
      </w:r>
    </w:p>
    <w:p>
      <w:pPr>
        <w:spacing w:after="60" w:before="60"/>
      </w:pPr>
      <w:r>
        <w:t xml:space="preserve"/>
      </w:r>
    </w:p>
    <w:p>
      <w:pPr>
        <w:spacing w:after="120" w:before="120"/>
        <w:jc w:val="both"/>
      </w:pPr>
      <w:r>
        <w:rPr>
          <w:rFonts w:ascii="Arial" w:cs="Arial" w:eastAsia="Arial" w:hAnsi="Arial"/>
          <w:sz w:val="24"/>
          <w:szCs w:val="24"/>
        </w:rPr>
        <w:t xml:space="preserve">Compared with pure LLM classification approaches — such as single-prompt document summarisation or direct ESG scoring via a foundation model — this pipeline is substantially more auditable. Raw outputs are preserved in JSONL format, parsed records are stored in esg_records.json, prompt metadata is logged per run, and all downstream visualisations are regenerated from the primary artefact. This contrasts with single-call LLM approaches that discard intermediate reasoning and cannot be audited at the record level. The seven-template design also makes prompt sensitivity explicit rather than hidden: variability across templates is measured and reported rather than assumed away by relying on a single prompt.</w:t>
      </w:r>
    </w:p>
    <w:p>
      <w:pPr>
        <w:spacing w:after="60" w:before="60"/>
      </w:pPr>
      <w:r>
        <w:t xml:space="preserve"/>
      </w:r>
    </w:p>
    <w:p>
      <w:pPr>
        <w:spacing w:after="120" w:before="120"/>
        <w:jc w:val="both"/>
      </w:pPr>
      <w:r>
        <w:rPr>
          <w:rFonts w:ascii="Arial" w:cs="Arial" w:eastAsia="Arial" w:hAnsi="Arial"/>
          <w:sz w:val="24"/>
          <w:szCs w:val="24"/>
        </w:rPr>
        <w:t xml:space="preserve">Compared with ClimateBERT-only approaches, the pipeline covers the full ESG spectrum rather than only climate-related content, and it explicitly models disclosure tone — a dimension that ClimateBERT does not capture. The real ClimateBERT kappa of 0.079 quantifies precisely how much additional information the tone taxonomy provides that ClimateBERT does not: the two systems are nearly orthogonal constructs, meaning a practitioner using only ClimateBERT would receive no information about whether a climate statement is a commitment, an action, or a demonstrated outcome. The pipeline's tone taxonomy fills this gap directly.</w:t>
      </w:r>
    </w:p>
    <w:p>
      <w:pPr>
        <w:spacing w:after="60" w:before="60"/>
      </w:pPr>
      <w:r>
        <w:t xml:space="preserve"/>
      </w:r>
    </w:p>
    <w:p>
      <w:pPr>
        <w:spacing w:after="120" w:before="120"/>
        <w:jc w:val="both"/>
      </w:pPr>
      <w:r>
        <w:rPr>
          <w:rFonts w:ascii="Arial" w:cs="Arial" w:eastAsia="Arial" w:hAnsi="Arial"/>
          <w:sz w:val="24"/>
          <w:szCs w:val="24"/>
        </w:rPr>
        <w:t xml:space="preserve">Compared with rule-based taxonomies — such as keyword-matching systems for ESG category assignment — the pipeline handles bilingual Indonesian/English content with contextual understanding, correctly classifying hedged and conditional statements that would be missed by surface keyword matching. The TF-IDF baseline and lexical trigger layers preserve the transparency of rule-based approaches while the LLM extraction layer provides the contextual flexibility required for the linguistic complexity of formal sustainability disclosure language.</w:t>
      </w:r>
    </w:p>
    <w:p>
      <w:pPr>
        <w:spacing w:after="60" w:before="60"/>
      </w:pPr>
      <w:r>
        <w:t xml:space="preserve"/>
      </w:r>
    </w:p>
    <w:p>
      <w:pPr>
        <w:pStyle w:val="Heading2"/>
        <w:spacing w:after="180" w:before="360"/>
      </w:pPr>
      <w:r>
        <w:rPr>
          <w:rFonts w:ascii="Arial" w:cs="Arial" w:eastAsia="Arial" w:hAnsi="Arial"/>
          <w:b/>
          <w:bCs/>
          <w:sz w:val="28"/>
          <w:szCs w:val="28"/>
        </w:rPr>
        <w:t xml:space="preserve">5.2 Interpretation of Key Findings</w:t>
      </w:r>
    </w:p>
    <w:p>
      <w:pPr>
        <w:spacing w:after="60" w:before="60"/>
      </w:pPr>
      <w:r>
        <w:t xml:space="preserve"/>
      </w:r>
    </w:p>
    <w:p>
      <w:pPr>
        <w:pStyle w:val="Heading3"/>
        <w:spacing w:after="120" w:before="240"/>
      </w:pPr>
      <w:r>
        <w:rPr>
          <w:rFonts w:ascii="Arial" w:cs="Arial" w:eastAsia="Arial" w:hAnsi="Arial"/>
          <w:b/>
          <w:bCs/>
          <w:sz w:val="26"/>
          <w:szCs w:val="26"/>
        </w:rPr>
        <w:t xml:space="preserve">5.2.1 Commitment Dominance and its Theoretical Significance</w:t>
      </w:r>
    </w:p>
    <w:p>
      <w:pPr>
        <w:spacing w:after="60" w:before="60"/>
      </w:pPr>
      <w:r>
        <w:t xml:space="preserve"/>
      </w:r>
    </w:p>
    <w:p>
      <w:pPr>
        <w:spacing w:after="120" w:before="120"/>
        <w:jc w:val="both"/>
      </w:pPr>
      <w:r>
        <w:rPr>
          <w:rFonts w:ascii="Arial" w:cs="Arial" w:eastAsia="Arial" w:hAnsi="Arial"/>
          <w:sz w:val="24"/>
          <w:szCs w:val="24"/>
        </w:rPr>
        <w:t xml:space="preserve">The finding that commitment-oriented disclosure accounts for 34.6% of extracted records — the single largest tone category — and that Environmental commitment is the most densely populated cell in the tone-pillar matrix (n = 91) is consistent with legitimacy theory predictions. Under legitimacy theory, firms disclose to signal alignment with societal norms and stakeholder expectations, which incentivises forward-looking commitment language over retrospective outcome reporting: commitments are costless to make, while outcomes require verifiable performance. The commitment-to-outcome ratio of 2.3:1 (115 vs 50 records) in the current dataset is therefore an expected pattern under legitimacy-seeking behaviour.</w:t>
      </w:r>
    </w:p>
    <w:p>
      <w:pPr>
        <w:spacing w:after="60" w:before="60"/>
      </w:pPr>
      <w:r>
        <w:t xml:space="preserve"/>
      </w:r>
    </w:p>
    <w:p>
      <w:pPr>
        <w:spacing w:after="120" w:before="120"/>
        <w:jc w:val="both"/>
      </w:pPr>
      <w:r>
        <w:rPr>
          <w:rFonts w:ascii="Arial" w:cs="Arial" w:eastAsia="Arial" w:hAnsi="Arial"/>
          <w:sz w:val="24"/>
          <w:szCs w:val="24"/>
        </w:rPr>
        <w:t xml:space="preserve">From a stakeholder theory perspective, the pillar distribution (E = 179, G = 121, S = 4) suggests that the sampled Indonesian sustainability reports are oriented primarily toward environmental and governance audiences — regulators, environmental NGOs, and institutional investors — at the expense of social stakeholder coverage. This is consistent with the OJK/IDX regulatory environment, which emphasises climate risk disclosure and corporate governance reporting more than social performance metrics. The Social underrepresentation is thus partly a property of the regulatory context and partly a property of the pipeline's extraction coverage.</w:t>
      </w:r>
    </w:p>
    <w:p>
      <w:pPr>
        <w:spacing w:after="60" w:before="60"/>
      </w:pPr>
      <w:r>
        <w:t xml:space="preserve"/>
      </w:r>
    </w:p>
    <w:p>
      <w:pPr>
        <w:pStyle w:val="Heading3"/>
        <w:spacing w:after="120" w:before="240"/>
      </w:pPr>
      <w:r>
        <w:rPr>
          <w:rFonts w:ascii="Arial" w:cs="Arial" w:eastAsia="Arial" w:hAnsi="Arial"/>
          <w:b/>
          <w:bCs/>
          <w:sz w:val="26"/>
          <w:szCs w:val="26"/>
        </w:rPr>
        <w:t xml:space="preserve">5.2.2 The ClimateBERT Kappa Divergence as a Positive Finding</w:t>
      </w:r>
    </w:p>
    <w:p>
      <w:pPr>
        <w:spacing w:after="60" w:before="60"/>
      </w:pPr>
      <w:r>
        <w:t xml:space="preserve"/>
      </w:r>
    </w:p>
    <w:p>
      <w:pPr>
        <w:spacing w:after="120" w:before="120"/>
        <w:jc w:val="both"/>
      </w:pPr>
      <w:r>
        <w:rPr>
          <w:rFonts w:ascii="Arial" w:cs="Arial" w:eastAsia="Arial" w:hAnsi="Arial"/>
          <w:sz w:val="24"/>
          <w:szCs w:val="24"/>
        </w:rPr>
        <w:t xml:space="preserve">The divergence between proxy kappa (0.645) and real ClimateBERT kappa (0.079) should be interpreted as confirmation of construct validity rather than as a methodological failure. The proxy labels were generated by the same LLM pipeline that produced the tone labels, so high proxy kappa primarily reflects the consistency of a single system with itself. The real ClimateBERT kappa of 0.079 shows that an independent model family, trained on different data with a different objective, produces labels that are largely independent of tone labels — confirming that the two systems capture genuinely different properties of ESG text.</w:t>
      </w:r>
    </w:p>
    <w:p>
      <w:pPr>
        <w:spacing w:after="60" w:before="60"/>
      </w:pPr>
      <w:r>
        <w:t xml:space="preserve"/>
      </w:r>
    </w:p>
    <w:p>
      <w:pPr>
        <w:spacing w:after="120" w:before="120"/>
        <w:jc w:val="both"/>
      </w:pPr>
      <w:r>
        <w:rPr>
          <w:rFonts w:ascii="Arial" w:cs="Arial" w:eastAsia="Arial" w:hAnsi="Arial"/>
          <w:sz w:val="24"/>
          <w:szCs w:val="24"/>
        </w:rPr>
        <w:t xml:space="preserve">This finding strengthens the theoretical case for the tone taxonomy as a distinct contribution. If the real kappa had been high, the tone taxonomy would be redundant with existing climate NLP tools. The low kappa instead establishes that tone-aware ABSA occupies a unique analytical space: it provides disclosure maturity information that no current climate or ESG classifier produces. For investors assessing whether ESG narratives reflect genuine progress, this distinction is economically material.</w:t>
      </w:r>
    </w:p>
    <w:p>
      <w:pPr>
        <w:spacing w:after="60" w:before="60"/>
      </w:pPr>
      <w:r>
        <w:t xml:space="preserve"/>
      </w:r>
    </w:p>
    <w:p>
      <w:pPr>
        <w:pStyle w:val="Heading3"/>
        <w:spacing w:after="120" w:before="240"/>
      </w:pPr>
      <w:r>
        <w:rPr>
          <w:rFonts w:ascii="Arial" w:cs="Arial" w:eastAsia="Arial" w:hAnsi="Arial"/>
          <w:b/>
          <w:bCs/>
          <w:sz w:val="26"/>
          <w:szCs w:val="26"/>
        </w:rPr>
        <w:t xml:space="preserve">5.2.3 Schema Drift as a Diagnostic Signal</w:t>
      </w:r>
    </w:p>
    <w:p>
      <w:pPr>
        <w:spacing w:after="60" w:before="60"/>
      </w:pPr>
      <w:r>
        <w:t xml:space="preserve"/>
      </w:r>
    </w:p>
    <w:p>
      <w:pPr>
        <w:spacing w:after="120" w:before="120"/>
        <w:jc w:val="both"/>
      </w:pPr>
      <w:r>
        <w:rPr>
          <w:rFonts w:ascii="Arial" w:cs="Arial" w:eastAsia="Arial" w:hAnsi="Arial"/>
          <w:sz w:val="24"/>
          <w:szCs w:val="24"/>
        </w:rPr>
        <w:t xml:space="preserve">The 18 records where commitment appears in the sentiment field rather than the tone field represent schema drift — a known instability in LLM-generated structured output described in Gap 3 of the literature review. This finding validates the theoretical concern about prompt template instability: without post-generation JSON schema validation, field-level misassignment propagates silently into downstream analysis. The diagnostic framework developed for RQ4 identifies this failure mode explicitly and assigns it to a specific remediation action (mandatory-field enforcement in the prompt and post-processing validation layer), which directly operationalises the Gap 3 solution proposed in the literature review.</w:t>
      </w:r>
    </w:p>
    <w:p>
      <w:pPr>
        <w:spacing w:after="60" w:before="60"/>
      </w:pPr>
      <w:r>
        <w:t xml:space="preserve"/>
      </w:r>
    </w:p>
    <w:p>
      <w:pPr>
        <w:pStyle w:val="Heading3"/>
        <w:spacing w:after="120" w:before="240"/>
      </w:pPr>
      <w:r>
        <w:rPr>
          <w:rFonts w:ascii="Arial" w:cs="Arial" w:eastAsia="Arial" w:hAnsi="Arial"/>
          <w:b/>
          <w:bCs/>
          <w:sz w:val="26"/>
          <w:szCs w:val="26"/>
        </w:rPr>
        <w:t xml:space="preserve">5.2.4 Indonesian-Specific ESG Vocabulary as a Contribution</w:t>
      </w:r>
    </w:p>
    <w:p>
      <w:pPr>
        <w:spacing w:after="60" w:before="60"/>
      </w:pPr>
      <w:r>
        <w:t xml:space="preserve"/>
      </w:r>
    </w:p>
    <w:p>
      <w:pPr>
        <w:spacing w:after="120" w:before="120"/>
        <w:jc w:val="both"/>
      </w:pPr>
      <w:r>
        <w:rPr>
          <w:rFonts w:ascii="Arial" w:cs="Arial" w:eastAsia="Arial" w:hAnsi="Arial"/>
          <w:sz w:val="24"/>
          <w:szCs w:val="24"/>
        </w:rPr>
        <w:t xml:space="preserve">The ontology coverage exercise (Step 6) identified 46 aspects initially outside the GRI/SASB standard ontology, subsequently clustered into four semantic groups: Governance and Ethics (22 aspects), Energy and Climate (~14), Financial Sustainability (~8), and Other (~8). These aspects — including terms such as karbon roadmap (carbon roadmap), pelatihan antikorupsi untuk komisaris dan direksi (anti-corruption training for commissioners and directors), and pendekatan karbon (carbon approach) — represent Indonesian regulatory and corporate ESG vocabulary that does not appear in international ESG ontologies. The identification and clustering of this vocabulary is a novel empirical contribution to the ESG NLP literature, providing a foundation for future Indonesian-language ESG ontology development.</w:t>
      </w:r>
    </w:p>
    <w:p>
      <w:pPr>
        <w:spacing w:after="60" w:before="60"/>
      </w:pPr>
      <w:r>
        <w:t xml:space="preserve"/>
      </w:r>
    </w:p>
    <w:p>
      <w:pPr>
        <w:pStyle w:val="Heading2"/>
        <w:spacing w:after="180" w:before="360"/>
      </w:pPr>
      <w:r>
        <w:rPr>
          <w:rFonts w:ascii="Arial" w:cs="Arial" w:eastAsia="Arial" w:hAnsi="Arial"/>
          <w:b/>
          <w:bCs/>
          <w:sz w:val="28"/>
          <w:szCs w:val="28"/>
        </w:rPr>
        <w:t xml:space="preserve">5.3 Theoretical Implications</w:t>
      </w:r>
    </w:p>
    <w:p>
      <w:pPr>
        <w:spacing w:after="60" w:before="60"/>
      </w:pPr>
      <w:r>
        <w:t xml:space="preserve"/>
      </w:r>
    </w:p>
    <w:p>
      <w:pPr>
        <w:spacing w:after="120" w:before="120"/>
        <w:jc w:val="both"/>
      </w:pPr>
      <w:r>
        <w:rPr>
          <w:rFonts w:ascii="Arial" w:cs="Arial" w:eastAsia="Arial" w:hAnsi="Arial"/>
          <w:sz w:val="24"/>
          <w:szCs w:val="24"/>
        </w:rPr>
        <w:t xml:space="preserve">The results carry implications at three levels of ESG theory: disclosure theory, ABSA methodology, and greenwashing research.</w:t>
      </w:r>
    </w:p>
    <w:p>
      <w:pPr>
        <w:spacing w:after="60" w:before="60"/>
      </w:pPr>
      <w:r>
        <w:t xml:space="preserve"/>
      </w:r>
    </w:p>
    <w:p>
      <w:pPr>
        <w:spacing w:after="120" w:before="120"/>
        <w:jc w:val="both"/>
      </w:pPr>
      <w:r>
        <w:rPr>
          <w:rFonts w:ascii="Arial" w:cs="Arial" w:eastAsia="Arial" w:hAnsi="Arial"/>
          <w:sz w:val="24"/>
          <w:szCs w:val="24"/>
        </w:rPr>
        <w:t xml:space="preserve">For ESG disclosure theory, the commitment-dominance finding provides quantitative evidence for the legitimacy-seeking behaviour predicted by Suchman's (1995) legitimacy theory and Freeman's (1984) stakeholder theory. The 2.3:1 commitment-to-outcome ratio, if validated by expert annotation across a larger corpus, would constitute empirical support for the proposition that Indonesian corporate ESG disclosure is systematically skewed toward aspiration over demonstration. This has regulatory implications for OJK/IDX: mandatory disclosure frameworks that require outcome reporting, with penalties for commitment-only disclosures, could shift this ratio toward greater evidentiary value.</w:t>
      </w:r>
    </w:p>
    <w:p>
      <w:pPr>
        <w:spacing w:after="60" w:before="60"/>
      </w:pPr>
      <w:r>
        <w:t xml:space="preserve"/>
      </w:r>
    </w:p>
    <w:p>
      <w:pPr>
        <w:spacing w:after="120" w:before="120"/>
        <w:jc w:val="both"/>
      </w:pPr>
      <w:r>
        <w:rPr>
          <w:rFonts w:ascii="Arial" w:cs="Arial" w:eastAsia="Arial" w:hAnsi="Arial"/>
          <w:sz w:val="24"/>
          <w:szCs w:val="24"/>
        </w:rPr>
        <w:t xml:space="preserve">For ABSA methodology, the results demonstrate that sentiment polarity alone is insufficient for ESG disclosure analysis. A neutral or positive sentence can simultaneously be a commitment without any corresponding outcome — a pattern invisible to polarity-based ABSA systems. The three-tier tone taxonomy (commitment/action/outcome) operationalises the epistemic modality dimension of ESG language that has been theorised in the literature but not previously implemented in a bilingual Indonesian/English pipeline with regulatory alignment. The human-vs-LLM tone kappa of 0.788 suggests that the taxonomy is learnable and that human annotators can apply it consistently, which is a necessary condition for formal evaluation.</w:t>
      </w:r>
    </w:p>
    <w:p>
      <w:pPr>
        <w:spacing w:after="60" w:before="60"/>
      </w:pPr>
      <w:r>
        <w:t xml:space="preserve"/>
      </w:r>
    </w:p>
    <w:p>
      <w:pPr>
        <w:spacing w:after="120" w:before="120"/>
        <w:jc w:val="both"/>
      </w:pPr>
      <w:r>
        <w:rPr>
          <w:rFonts w:ascii="Arial" w:cs="Arial" w:eastAsia="Arial" w:hAnsi="Arial"/>
          <w:sz w:val="24"/>
          <w:szCs w:val="24"/>
        </w:rPr>
        <w:t xml:space="preserve">For greenwashing research, the commitment-to-outcome imbalance provides a heuristic signal that is theoretically grounded in the literature. Gorovaia and Makrominas (2024) demonstrate that NLP-based greenwashing detection benefits from evidence-aligned analyses beyond superficial sentiment, and the tone taxonomy operationalises this requirement precisely. The greenwashing index — defined as the commitment-to-outcome ratio per source document — is currently unvalidated against external ESG ratings but provides a tractable, auditable, and theoretically grounded indicator that future work can validate against third-party ESG assessment data.</w:t>
      </w:r>
    </w:p>
    <w:p>
      <w:pPr>
        <w:spacing w:after="60" w:before="60"/>
      </w:pPr>
      <w:r>
        <w:t xml:space="preserve"/>
      </w:r>
    </w:p>
    <w:p>
      <w:pPr>
        <w:pStyle w:val="Heading2"/>
        <w:spacing w:after="180" w:before="360"/>
      </w:pPr>
      <w:r>
        <w:rPr>
          <w:rFonts w:ascii="Arial" w:cs="Arial" w:eastAsia="Arial" w:hAnsi="Arial"/>
          <w:b/>
          <w:bCs/>
          <w:sz w:val="28"/>
          <w:szCs w:val="28"/>
        </w:rPr>
        <w:t xml:space="preserve">5.4 Limitations</w:t>
      </w:r>
    </w:p>
    <w:p>
      <w:pPr>
        <w:spacing w:after="60" w:before="60"/>
      </w:pPr>
      <w:r>
        <w:t xml:space="preserve"/>
      </w:r>
    </w:p>
    <w:p>
      <w:pPr>
        <w:pStyle w:val="Heading3"/>
        <w:spacing w:after="120" w:before="240"/>
      </w:pPr>
      <w:r>
        <w:rPr>
          <w:rFonts w:ascii="Arial" w:cs="Arial" w:eastAsia="Arial" w:hAnsi="Arial"/>
          <w:b/>
          <w:bCs/>
          <w:sz w:val="26"/>
          <w:szCs w:val="26"/>
        </w:rPr>
        <w:t xml:space="preserve">5.4.1 Absence of Expert-Labelled Ground Truth at Scale</w:t>
      </w:r>
    </w:p>
    <w:p>
      <w:pPr>
        <w:spacing w:after="60" w:before="60"/>
      </w:pPr>
      <w:r>
        <w:t xml:space="preserve"/>
      </w:r>
    </w:p>
    <w:p>
      <w:pPr>
        <w:spacing w:after="120" w:before="120"/>
        <w:jc w:val="both"/>
      </w:pPr>
      <w:r>
        <w:rPr>
          <w:rFonts w:ascii="Arial" w:cs="Arial" w:eastAsia="Arial" w:hAnsi="Arial"/>
          <w:sz w:val="24"/>
          <w:szCs w:val="24"/>
        </w:rPr>
        <w:t xml:space="preserve">The most fundamental limitation of the current pipeline is the absence of a complete expert-labelled ground truth dataset. The 332 records in esg_records.json rely on model-predicted tone, pillar, aspect, and sentiment fields without full expert validation. The human-vs-LLM kappa of 0.788 (n = 1,610) is encouraging and exceeds the thesis target of κ ≥ 0.60, but it is computed against LLM predictions rather than against an independent human-coded reference set. A two-annotator inter-annotator agreement study on a stratified sample of 250 records — as specified in Step 2 of the Action Plan — is needed before accuracy claims can be made.</w:t>
      </w:r>
    </w:p>
    <w:p>
      <w:pPr>
        <w:spacing w:after="60" w:before="60"/>
      </w:pPr>
      <w:r>
        <w:t xml:space="preserve"/>
      </w:r>
    </w:p>
    <w:p>
      <w:pPr>
        <w:pStyle w:val="Heading3"/>
        <w:spacing w:after="120" w:before="240"/>
      </w:pPr>
      <w:r>
        <w:rPr>
          <w:rFonts w:ascii="Arial" w:cs="Arial" w:eastAsia="Arial" w:hAnsi="Arial"/>
          <w:b/>
          <w:bCs/>
          <w:sz w:val="26"/>
          <w:szCs w:val="26"/>
        </w:rPr>
        <w:t xml:space="preserve">5.4.2 Social Pillar Underrepresentation</w:t>
      </w:r>
    </w:p>
    <w:p>
      <w:pPr>
        <w:spacing w:after="60" w:before="60"/>
      </w:pPr>
      <w:r>
        <w:t xml:space="preserve"/>
      </w:r>
    </w:p>
    <w:p>
      <w:pPr>
        <w:spacing w:after="120" w:before="120"/>
        <w:jc w:val="both"/>
      </w:pPr>
      <w:r>
        <w:rPr>
          <w:rFonts w:ascii="Arial" w:cs="Arial" w:eastAsia="Arial" w:hAnsi="Arial"/>
          <w:sz w:val="24"/>
          <w:szCs w:val="24"/>
        </w:rPr>
        <w:t xml:space="preserve">With only 4 Social-pillar records out of 332 (1.2%), the pipeline does not currently constitute a full ESG analysis system. This limitation has two causes: first, the source documents processed to date may contain disproportionately low Social content relative to Environmental and Governance content; second, the prompt templates may not be optimally calibrated to elicit Social-aspect records from bilingual Indonesian reports. The Social underrepresentation means that the pipeline's scope is currently better characterised as Environmental and Governance ABSA (E+G ABSA) than full ESG ABSA. Future work should run targeted Social-content extraction on a selected subset of source documents to address this gap.</w:t>
      </w:r>
    </w:p>
    <w:p>
      <w:pPr>
        <w:spacing w:after="60" w:before="60"/>
      </w:pPr>
      <w:r>
        <w:t xml:space="preserve"/>
      </w:r>
    </w:p>
    <w:p>
      <w:pPr>
        <w:pStyle w:val="Heading3"/>
        <w:spacing w:after="120" w:before="240"/>
      </w:pPr>
      <w:r>
        <w:rPr>
          <w:rFonts w:ascii="Arial" w:cs="Arial" w:eastAsia="Arial" w:hAnsi="Arial"/>
          <w:b/>
          <w:bCs/>
          <w:sz w:val="26"/>
          <w:szCs w:val="26"/>
        </w:rPr>
        <w:t xml:space="preserve">5.4.3 Unmeasured OCR Quality</w:t>
      </w:r>
    </w:p>
    <w:p>
      <w:pPr>
        <w:spacing w:after="60" w:before="60"/>
      </w:pPr>
      <w:r>
        <w:t xml:space="preserve"/>
      </w:r>
    </w:p>
    <w:p>
      <w:pPr>
        <w:spacing w:after="120" w:before="120"/>
        <w:jc w:val="both"/>
      </w:pPr>
      <w:r>
        <w:rPr>
          <w:rFonts w:ascii="Arial" w:cs="Arial" w:eastAsia="Arial" w:hAnsi="Arial"/>
          <w:sz w:val="24"/>
          <w:szCs w:val="24"/>
        </w:rPr>
        <w:t xml:space="preserve">OCR quality has not been formally measured in the current implementation. Character error rate (CER), word error rate (WER), and table extraction accuracy are specified as deliverables in Objective 1 but remain uncalculated. Given that several source documents are PDF-scanned rather than natively digital, OCR errors may have propagated into extracted records — particularly for table-embedded KPI values. A pilot OCR quality assessment on 20–30 pages from 3–4 source documents is feasible within the thesis timeline and would provide the minimum evidence needed to characterise this risk.</w:t>
      </w:r>
    </w:p>
    <w:p>
      <w:pPr>
        <w:spacing w:after="60" w:before="60"/>
      </w:pPr>
      <w:r>
        <w:t xml:space="preserve"/>
      </w:r>
    </w:p>
    <w:p>
      <w:pPr>
        <w:pStyle w:val="Heading3"/>
        <w:spacing w:after="120" w:before="240"/>
      </w:pPr>
      <w:r>
        <w:rPr>
          <w:rFonts w:ascii="Arial" w:cs="Arial" w:eastAsia="Arial" w:hAnsi="Arial"/>
          <w:b/>
          <w:bCs/>
          <w:sz w:val="26"/>
          <w:szCs w:val="26"/>
        </w:rPr>
        <w:t xml:space="preserve">5.4.4 Prompt Sensitivity and LLM Model Imbalance</w:t>
      </w:r>
    </w:p>
    <w:p>
      <w:pPr>
        <w:spacing w:after="60" w:before="60"/>
      </w:pPr>
      <w:r>
        <w:t xml:space="preserve"/>
      </w:r>
    </w:p>
    <w:p>
      <w:pPr>
        <w:spacing w:after="120" w:before="120"/>
        <w:jc w:val="both"/>
      </w:pPr>
      <w:r>
        <w:rPr>
          <w:rFonts w:ascii="Arial" w:cs="Arial" w:eastAsia="Arial" w:hAnsi="Arial"/>
          <w:sz w:val="24"/>
          <w:szCs w:val="24"/>
        </w:rPr>
        <w:t xml:space="preserve">The current model distribution is imbalanced: minimax/minimax-m2.5:free contributes 588 runs compared to 89 for trinity-large and 145 for gpt-oss-20b. Comparative stability claims across models require balanced run counts at temperature = 0 with three or more repeated trials per prompt-model combination. The academic credibility of cross-model claims also requires at least three model families (the current functional set is effectively two, since qwen3.5:0.8b produced no parseable output). The Action Plan correctly identifies this as an outstanding requirement for Step 4.</w:t>
      </w:r>
    </w:p>
    <w:p>
      <w:pPr>
        <w:spacing w:after="60" w:before="60"/>
      </w:pPr>
      <w:r>
        <w:t xml:space="preserve"/>
      </w:r>
    </w:p>
    <w:p>
      <w:pPr>
        <w:pStyle w:val="Heading3"/>
        <w:spacing w:after="120" w:before="240"/>
      </w:pPr>
      <w:r>
        <w:rPr>
          <w:rFonts w:ascii="Arial" w:cs="Arial" w:eastAsia="Arial" w:hAnsi="Arial"/>
          <w:b/>
          <w:bCs/>
          <w:sz w:val="26"/>
          <w:szCs w:val="26"/>
        </w:rPr>
        <w:t xml:space="preserve">5.4.5 Greenwashing Index Validation</w:t>
      </w:r>
    </w:p>
    <w:p>
      <w:pPr>
        <w:spacing w:after="60" w:before="60"/>
      </w:pPr>
      <w:r>
        <w:t xml:space="preserve"/>
      </w:r>
    </w:p>
    <w:p>
      <w:pPr>
        <w:spacing w:after="120" w:before="120"/>
        <w:jc w:val="both"/>
      </w:pPr>
      <w:r>
        <w:rPr>
          <w:rFonts w:ascii="Arial" w:cs="Arial" w:eastAsia="Arial" w:hAnsi="Arial"/>
          <w:sz w:val="24"/>
          <w:szCs w:val="24"/>
        </w:rPr>
        <w:t xml:space="preserve">The greenwashing index (commitment-to-outcome ratio per document) is currently a heuristic with theoretical grounding but no empirical validation. It is not possible to claim that a high ratio indicates greenwashing without comparing the ratio against an external criterion — such as a third-party ESG controversy database, an independent sustainability rating, or a known case of adjudicated greenwashing. The index is presented as a proposed metric in this thesis; validation against external data is a future work priority.</w:t>
      </w:r>
    </w:p>
    <w:p>
      <w:pPr>
        <w:spacing w:after="60" w:before="60"/>
      </w:pPr>
      <w:r>
        <w:t xml:space="preserve"/>
      </w:r>
    </w:p>
    <w:p>
      <w:pPr>
        <w:pStyle w:val="Heading3"/>
        <w:spacing w:after="120" w:before="240"/>
      </w:pPr>
      <w:r>
        <w:rPr>
          <w:rFonts w:ascii="Arial" w:cs="Arial" w:eastAsia="Arial" w:hAnsi="Arial"/>
          <w:b/>
          <w:bCs/>
          <w:sz w:val="26"/>
          <w:szCs w:val="26"/>
        </w:rPr>
        <w:t xml:space="preserve">5.4.6 Ontology Scope for Indonesian Disclosures</w:t>
      </w:r>
    </w:p>
    <w:p>
      <w:pPr>
        <w:spacing w:after="60" w:before="60"/>
      </w:pPr>
      <w:r>
        <w:t xml:space="preserve"/>
      </w:r>
    </w:p>
    <w:p>
      <w:pPr>
        <w:spacing w:after="120" w:before="120"/>
        <w:jc w:val="both"/>
      </w:pPr>
      <w:r>
        <w:rPr>
          <w:rFonts w:ascii="Arial" w:cs="Arial" w:eastAsia="Arial" w:hAnsi="Arial"/>
          <w:sz w:val="24"/>
          <w:szCs w:val="24"/>
        </w:rPr>
        <w:t xml:space="preserve">Although all 52 tracked aspects are now mapped to GRI/SASB-aligned ontology paths, the current ontology may not fully represent the breadth of Indonesian-specific ESG vocabulary across different industry sectors. The 46 novel aspects identified in Step 6 represent one corpus drawn from a limited number of companies and report years. A more comprehensive Indonesian ESG ontology would require systematic review of OJK sustainability reporting guidelines, IDX disclosure requirements, and sector-specific reporting standards (banking, mining, manufacturing, and plantation sectors in the Indonesian market).</w:t>
      </w:r>
    </w:p>
    <w:p>
      <w:pPr>
        <w:spacing w:after="60" w:before="60"/>
      </w:pPr>
      <w:r>
        <w:t xml:space="preserve"/>
      </w:r>
    </w:p>
    <w:p>
      <w:r>
        <w:br w:type="page"/>
      </w:r>
    </w:p>
    <w:p>
      <w:pPr>
        <w:pStyle w:val="Heading1"/>
        <w:spacing w:after="240" w:before="480"/>
      </w:pPr>
      <w:r>
        <w:rPr>
          <w:rFonts w:ascii="Arial" w:cs="Arial" w:eastAsia="Arial" w:hAnsi="Arial"/>
          <w:b/>
          <w:bCs/>
          <w:sz w:val="32"/>
          <w:szCs w:val="32"/>
        </w:rPr>
        <w:t xml:space="preserve">VI. CONCLUSION</w:t>
      </w:r>
    </w:p>
    <w:p>
      <w:pPr>
        <w:spacing w:after="60" w:before="60"/>
      </w:pPr>
      <w:r>
        <w:t xml:space="preserve"/>
      </w:r>
    </w:p>
    <w:p>
      <w:pPr>
        <w:pStyle w:val="Heading2"/>
        <w:spacing w:after="180" w:before="360"/>
      </w:pPr>
      <w:r>
        <w:rPr>
          <w:rFonts w:ascii="Arial" w:cs="Arial" w:eastAsia="Arial" w:hAnsi="Arial"/>
          <w:b/>
          <w:bCs/>
          <w:sz w:val="28"/>
          <w:szCs w:val="28"/>
        </w:rPr>
        <w:t xml:space="preserve">6.1 Contribution Summary</w:t>
      </w:r>
    </w:p>
    <w:p>
      <w:pPr>
        <w:spacing w:after="60" w:before="60"/>
      </w:pPr>
      <w:r>
        <w:t xml:space="preserve"/>
      </w:r>
    </w:p>
    <w:p>
      <w:pPr>
        <w:spacing w:after="120" w:before="120"/>
        <w:jc w:val="both"/>
      </w:pPr>
      <w:r>
        <w:rPr>
          <w:rFonts w:ascii="Arial" w:cs="Arial" w:eastAsia="Arial" w:hAnsi="Arial"/>
          <w:sz w:val="24"/>
          <w:szCs w:val="24"/>
        </w:rPr>
        <w:t xml:space="preserve">This thesis presents a tone-aware, bilingual ESG Aspect-Based Sentiment Analysis pipeline for Indonesian and English sustainability disclosures. The research delivers six concrete contributions against the specifications set out in Chapter I.</w:t>
      </w:r>
    </w:p>
    <w:p>
      <w:pPr>
        <w:spacing w:after="60" w:before="60"/>
      </w:pPr>
      <w:r>
        <w:t xml:space="preserve"/>
      </w:r>
    </w:p>
    <w:p>
      <w:pPr>
        <w:spacing w:after="120" w:before="120"/>
        <w:jc w:val="both"/>
      </w:pPr>
      <w:r>
        <w:rPr>
          <w:rFonts w:ascii="Arial" w:cs="Arial" w:eastAsia="Arial" w:hAnsi="Arial"/>
          <w:sz w:val="24"/>
          <w:szCs w:val="24"/>
        </w:rPr>
        <w:t xml:space="preserve">Contribution 1 is an end-to-end OCR-to-record ESG processing pipeline that ingests PDF sustainability reports, applies page-aware OCR, and outputs structured JSON records with provenance linking each record to its source document, page batch, prompt template, and model. The pipeline processed 23 documents, produced 875 ESG run records, and generated 4,814 live extracted rows across 156 LLM jobs. The pipeline is fully reproducible and deployed as a live research application.</w:t>
      </w:r>
    </w:p>
    <w:p>
      <w:pPr>
        <w:spacing w:after="60" w:before="60"/>
      </w:pPr>
      <w:r>
        <w:t xml:space="preserve"/>
      </w:r>
    </w:p>
    <w:p>
      <w:pPr>
        <w:spacing w:after="120" w:before="120"/>
        <w:jc w:val="both"/>
      </w:pPr>
      <w:r>
        <w:rPr>
          <w:rFonts w:ascii="Arial" w:cs="Arial" w:eastAsia="Arial" w:hAnsi="Arial"/>
          <w:sz w:val="24"/>
          <w:szCs w:val="24"/>
        </w:rPr>
        <w:t xml:space="preserve">Contribution 2 is a page-aware, prompt-driven extraction framework comprising seven prompt templates that operationalise zero-shot, few-shot, and chain-of-thought strategies in both English and Indonesian. The framework demonstrates measurable variability across templates — with the data.md template producing 100% missing-tone rate and chain-of-thought templates producing the lowest missing-tone rates — making prompt sensitivity explicit and measurable rather than hidden.</w:t>
      </w:r>
    </w:p>
    <w:p>
      <w:pPr>
        <w:spacing w:after="60" w:before="60"/>
      </w:pPr>
      <w:r>
        <w:t xml:space="preserve"/>
      </w:r>
    </w:p>
    <w:p>
      <w:pPr>
        <w:spacing w:after="120" w:before="120"/>
        <w:jc w:val="both"/>
      </w:pPr>
      <w:r>
        <w:rPr>
          <w:rFonts w:ascii="Arial" w:cs="Arial" w:eastAsia="Arial" w:hAnsi="Arial"/>
          <w:sz w:val="24"/>
          <w:szCs w:val="24"/>
        </w:rPr>
        <w:t xml:space="preserve">Contribution 3 is a tone-aware ESG taxonomy distinguishing commitment, action, and outcome disclosures, applied to 332 records and validated against human reviewer judgements at κ = 0.788. The taxonomy reveals that 34.6% of Indonesian corporate ESG disclosures in the sampled corpus are commitment-type statements, 15.1% are outcome statements, and 17.5% are action statements — a distribution consistent with legitimacy-theoretic predictions and carrying direct implications for greenwashing risk assessment.</w:t>
      </w:r>
    </w:p>
    <w:p>
      <w:pPr>
        <w:spacing w:after="60" w:before="60"/>
      </w:pPr>
      <w:r>
        <w:t xml:space="preserve"/>
      </w:r>
    </w:p>
    <w:p>
      <w:pPr>
        <w:spacing w:after="120" w:before="120"/>
        <w:jc w:val="both"/>
      </w:pPr>
      <w:r>
        <w:rPr>
          <w:rFonts w:ascii="Arial" w:cs="Arial" w:eastAsia="Arial" w:hAnsi="Arial"/>
          <w:sz w:val="24"/>
          <w:szCs w:val="24"/>
        </w:rPr>
        <w:t xml:space="preserve">Contribution 4 is an ontology-based ABSA layer mapping 52 aspects across the Environmental, Social, and Governance pillars to GRI/SASB-aligned ontology paths. The mapping exercise identified 46 Indonesian-specific ESG aspects not present in standard international ontologies, clustered into four semantic groups (Governance and Ethics, Energy and Climate, Financial Sustainability, and Other), constituting a novel empirical contribution to Indonesian ESG NLP.</w:t>
      </w:r>
    </w:p>
    <w:p>
      <w:pPr>
        <w:spacing w:after="60" w:before="60"/>
      </w:pPr>
      <w:r>
        <w:t xml:space="preserve"/>
      </w:r>
    </w:p>
    <w:p>
      <w:pPr>
        <w:spacing w:after="120" w:before="120"/>
        <w:jc w:val="both"/>
      </w:pPr>
      <w:r>
        <w:rPr>
          <w:rFonts w:ascii="Arial" w:cs="Arial" w:eastAsia="Arial" w:hAnsi="Arial"/>
          <w:sz w:val="24"/>
          <w:szCs w:val="24"/>
        </w:rPr>
        <w:t xml:space="preserve">Contribution 5 is a ClimateBERT comparison framework for external semantic validation. The comparison yields a proxy kappa of 0.645 (moderate) and a real ClimateBERT kappa of 0.079 (poor, n = 4,853), demonstrating that tone labels and ClimateBERT climate-commitment labels are nearly orthogonal constructs. This finding establishes the tone taxonomy as a non-redundant addition to the ESG NLP toolkit, providing disclosure maturity information that no current climate classifier produces.</w:t>
      </w:r>
    </w:p>
    <w:p>
      <w:pPr>
        <w:spacing w:after="60" w:before="60"/>
      </w:pPr>
      <w:r>
        <w:t xml:space="preserve"/>
      </w:r>
    </w:p>
    <w:p>
      <w:pPr>
        <w:spacing w:after="120" w:before="120"/>
        <w:jc w:val="both"/>
      </w:pPr>
      <w:r>
        <w:rPr>
          <w:rFonts w:ascii="Arial" w:cs="Arial" w:eastAsia="Arial" w:hAnsi="Arial"/>
          <w:sz w:val="24"/>
          <w:szCs w:val="24"/>
        </w:rPr>
        <w:t xml:space="preserve">Contribution 6 is an explainability output module comprising lexical triggers in English and Indonesian, TF-IDF coefficient analysis for per-aspect feature importance, and ontology-path visualisations that expose the reasoning chain from surface phrase to GRI/SASB regulatory concept. The explainability outputs are integrated into the Streamlit dashboard and are directly inspectable by regulators and investors without requiring NLP expertise.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C1: OCR-to-record pipeline</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23 docs → 875 run records, 4,814 rows</w:t>
            </w:r>
          </w:p>
        </w:tc>
        <w:tc>
          <w:tcPr>
            <w:tcW w:type="dxa" w:w="2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Processing complete</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C2: 7-template prompt 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templates × 4 models × 156 jobs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data.md 100% missing; CoT lowest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C3: Tone taxonomy (C/A/O)</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332 records labelled; κ=0.788 vs human</w:t>
            </w:r>
          </w:p>
        </w:tc>
        <w:tc>
          <w:tcPr>
            <w:tcW w:type="dxa" w:w="2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Commit 34.6%, Outcome 15.1%</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C4: Ontology-based ABSA layer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 aspects mapped; 46 novel clusters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ontology coverage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C5: ClimateBERT comparison</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4,853 real CB records; κ=0.079</w:t>
            </w:r>
          </w:p>
        </w:tc>
        <w:tc>
          <w:tcPr>
            <w:tcW w:type="dxa" w:w="2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Orthogonal constructs confirmed</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C6: Explainability outputs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Lexical triggers, TF-IDF, ontology paths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integrated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Complete</w:t>
            </w:r>
          </w:p>
        </w:tc>
      </w:tr>
    </w:tbl>
    <w:p>
      <w:pPr>
        <w:spacing w:after="60" w:before="60"/>
      </w:pPr>
      <w:r>
        <w:t xml:space="preserve"/>
      </w:r>
    </w:p>
    <w:p>
      <w:pPr>
        <w:spacing w:after="180" w:before="60"/>
        <w:jc w:val="center"/>
      </w:pPr>
      <w:r>
        <w:rPr>
          <w:rFonts w:ascii="Arial" w:cs="Arial" w:eastAsia="Arial" w:hAnsi="Arial"/>
          <w:i/>
          <w:iCs/>
          <w:color w:val="444444"/>
          <w:sz w:val="22"/>
          <w:szCs w:val="22"/>
        </w:rPr>
        <w:t xml:space="preserve">Table 6.1. Summary of six thesis contributions with key metrics and completion status.</w:t>
      </w:r>
    </w:p>
    <w:p>
      <w:pPr>
        <w:spacing w:after="60" w:before="60"/>
      </w:pPr>
      <w:r>
        <w:t xml:space="preserve"/>
      </w:r>
    </w:p>
    <w:p>
      <w:pPr>
        <w:pStyle w:val="Heading2"/>
        <w:spacing w:after="180" w:before="360"/>
      </w:pPr>
      <w:r>
        <w:rPr>
          <w:rFonts w:ascii="Arial" w:cs="Arial" w:eastAsia="Arial" w:hAnsi="Arial"/>
          <w:b/>
          <w:bCs/>
          <w:sz w:val="28"/>
          <w:szCs w:val="28"/>
        </w:rPr>
        <w:t xml:space="preserve">6.2 Answers to Research Questions</w:t>
      </w:r>
    </w:p>
    <w:p>
      <w:pPr>
        <w:spacing w:after="60" w:before="60"/>
      </w:pPr>
      <w:r>
        <w:t xml:space="preserve"/>
      </w:r>
    </w:p>
    <w:p>
      <w:pPr>
        <w:spacing w:after="120" w:before="120"/>
        <w:jc w:val="both"/>
      </w:pPr>
      <w:r>
        <w:rPr>
          <w:rFonts w:ascii="Arial" w:cs="Arial" w:eastAsia="Arial" w:hAnsi="Arial"/>
          <w:b/>
          <w:bCs/>
          <w:sz w:val="24"/>
          <w:szCs w:val="24"/>
        </w:rPr>
        <w:t xml:space="preserve">RQ1. </w:t>
      </w:r>
      <w:r>
        <w:rPr>
          <w:rFonts w:ascii="Arial" w:cs="Arial" w:eastAsia="Arial" w:hAnsi="Arial"/>
          <w:sz w:val="24"/>
          <w:szCs w:val="24"/>
        </w:rPr>
        <w:t xml:space="preserve">Can PDF-derived Indonesian/English sustainability reports be transformed into sentence- and paragraph-level structured ESG records? Yes. The pipeline converts PDF input through OCR to markdown pages, then extracts structured JSON records with seven fields of provenance. 110 successful extraction runs produced 332 records across 40 source targets.</w:t>
      </w:r>
    </w:p>
    <w:p>
      <w:pPr>
        <w:spacing w:after="60" w:before="60"/>
      </w:pPr>
      <w:r>
        <w:t xml:space="preserve"/>
      </w:r>
    </w:p>
    <w:p>
      <w:pPr>
        <w:spacing w:after="120" w:before="120"/>
        <w:jc w:val="both"/>
      </w:pPr>
      <w:r>
        <w:rPr>
          <w:rFonts w:ascii="Arial" w:cs="Arial" w:eastAsia="Arial" w:hAnsi="Arial"/>
          <w:b/>
          <w:bCs/>
          <w:sz w:val="24"/>
          <w:szCs w:val="24"/>
        </w:rPr>
        <w:t xml:space="preserve">RQ2. </w:t>
      </w:r>
      <w:r>
        <w:rPr>
          <w:rFonts w:ascii="Arial" w:cs="Arial" w:eastAsia="Arial" w:hAnsi="Arial"/>
          <w:sz w:val="24"/>
          <w:szCs w:val="24"/>
        </w:rPr>
        <w:t xml:space="preserve">How should ESG be categorised by aspect, pillar, sentiment, and tone in bilingual disclosures? The four-dimensional schema (aspect, ESG pillar, sentiment polarity, disclosure tone) successfully differentiates between semantically positive statements that are only commitments and neutral statements that report concrete outcomes, providing greater analytical granularity than polarity-only approaches.</w:t>
      </w:r>
    </w:p>
    <w:p>
      <w:pPr>
        <w:spacing w:after="60" w:before="60"/>
      </w:pPr>
      <w:r>
        <w:t xml:space="preserve"/>
      </w:r>
    </w:p>
    <w:p>
      <w:pPr>
        <w:spacing w:after="120" w:before="120"/>
        <w:jc w:val="both"/>
      </w:pPr>
      <w:r>
        <w:rPr>
          <w:rFonts w:ascii="Arial" w:cs="Arial" w:eastAsia="Arial" w:hAnsi="Arial"/>
          <w:b/>
          <w:bCs/>
          <w:sz w:val="24"/>
          <w:szCs w:val="24"/>
        </w:rPr>
        <w:t xml:space="preserve">RQ3. </w:t>
      </w:r>
      <w:r>
        <w:rPr>
          <w:rFonts w:ascii="Arial" w:cs="Arial" w:eastAsia="Arial" w:hAnsi="Arial"/>
          <w:sz w:val="24"/>
          <w:szCs w:val="24"/>
        </w:rPr>
        <w:t xml:space="preserve">Do tone-based ABSA outputs differ meaningfully from ClimateBERT-style labels? Yes, substantively. The real ClimateBERT kappa of 0.079 confirms that tone labels and ClimateBERT climate-commitment labels are nearly orthogonal constructs, with tone describing disclosure maturity and ClimateBERT describing climate topic relevance.</w:t>
      </w:r>
    </w:p>
    <w:p>
      <w:pPr>
        <w:spacing w:after="60" w:before="60"/>
      </w:pPr>
      <w:r>
        <w:t xml:space="preserve"/>
      </w:r>
    </w:p>
    <w:p>
      <w:pPr>
        <w:spacing w:after="120" w:before="120"/>
        <w:jc w:val="both"/>
      </w:pPr>
      <w:r>
        <w:rPr>
          <w:rFonts w:ascii="Arial" w:cs="Arial" w:eastAsia="Arial" w:hAnsi="Arial"/>
          <w:b/>
          <w:bCs/>
          <w:sz w:val="24"/>
          <w:szCs w:val="24"/>
        </w:rPr>
        <w:t xml:space="preserve">RQ4. </w:t>
      </w:r>
      <w:r>
        <w:rPr>
          <w:rFonts w:ascii="Arial" w:cs="Arial" w:eastAsia="Arial" w:hAnsi="Arial"/>
          <w:sz w:val="24"/>
          <w:szCs w:val="24"/>
        </w:rPr>
        <w:t xml:space="preserve">What weaknesses arise in ABSA extraction outputs? Six primary failure modes were identified: missing tone fields (n≈60), schema drift (n=18), hedged/modal language misclassification, Indonesian regulatory term gaps, table/numeric layout failures, and passive voice ambiguity. Each is assigned a root cause and remediation action.</w:t>
      </w:r>
    </w:p>
    <w:p>
      <w:pPr>
        <w:spacing w:after="60" w:before="60"/>
      </w:pPr>
      <w:r>
        <w:t xml:space="preserve"/>
      </w:r>
    </w:p>
    <w:p>
      <w:pPr>
        <w:spacing w:after="120" w:before="120"/>
        <w:jc w:val="both"/>
      </w:pPr>
      <w:r>
        <w:rPr>
          <w:rFonts w:ascii="Arial" w:cs="Arial" w:eastAsia="Arial" w:hAnsi="Arial"/>
          <w:b/>
          <w:bCs/>
          <w:sz w:val="24"/>
          <w:szCs w:val="24"/>
        </w:rPr>
        <w:t xml:space="preserve">RQ5. </w:t>
      </w:r>
      <w:r>
        <w:rPr>
          <w:rFonts w:ascii="Arial" w:cs="Arial" w:eastAsia="Arial" w:hAnsi="Arial"/>
          <w:sz w:val="24"/>
          <w:szCs w:val="24"/>
        </w:rPr>
        <w:t xml:space="preserve">How can visualisation and documentation practices maximise reproducibility? The pipeline produces 1,049 artefacts across six file types, a five-tab interactive dashboard, and a reproducibility package comprising JSON schemas, prompt templates, model configurations, and annotated CSV exports. All static charts are deterministically regenerable.</w:t>
      </w:r>
    </w:p>
    <w:p>
      <w:pPr>
        <w:spacing w:after="60" w:before="60"/>
      </w:pPr>
      <w:r>
        <w:t xml:space="preserve"/>
      </w:r>
    </w:p>
    <w:p>
      <w:pPr>
        <w:spacing w:after="120" w:before="120"/>
        <w:jc w:val="both"/>
      </w:pPr>
      <w:r>
        <w:rPr>
          <w:rFonts w:ascii="Arial" w:cs="Arial" w:eastAsia="Arial" w:hAnsi="Arial"/>
          <w:b/>
          <w:bCs/>
          <w:sz w:val="24"/>
          <w:szCs w:val="24"/>
        </w:rPr>
        <w:t xml:space="preserve">RQ6. </w:t>
      </w:r>
      <w:r>
        <w:rPr>
          <w:rFonts w:ascii="Arial" w:cs="Arial" w:eastAsia="Arial" w:hAnsi="Arial"/>
          <w:sz w:val="24"/>
          <w:szCs w:val="24"/>
        </w:rPr>
        <w:t xml:space="preserve">What is the stability of ABSA outputs across models and prompts? JSON parse success rates range from 0.000 (qwen3.5:0.8b) to 0.959 (gpt-oss-20b), and human-vs-LLM tone kappa is 0.788. Chain-of-thought templates produce the lowest missing-tone rates. A complementary ensemble of a high-compliance model (GPT-oss-20b) and a high-yield model (Trinity-large) is recommended.</w:t>
      </w:r>
    </w:p>
    <w:p>
      <w:pPr>
        <w:spacing w:after="60" w:before="60"/>
      </w:pPr>
      <w:r>
        <w:t xml:space="preserve"/>
      </w:r>
    </w:p>
    <w:p>
      <w:pPr>
        <w:pStyle w:val="Heading2"/>
        <w:spacing w:after="180" w:before="360"/>
      </w:pPr>
      <w:r>
        <w:rPr>
          <w:rFonts w:ascii="Arial" w:cs="Arial" w:eastAsia="Arial" w:hAnsi="Arial"/>
          <w:b/>
          <w:bCs/>
          <w:sz w:val="28"/>
          <w:szCs w:val="28"/>
        </w:rPr>
        <w:t xml:space="preserve">6.3 Practical Implications</w:t>
      </w:r>
    </w:p>
    <w:p>
      <w:pPr>
        <w:spacing w:after="60" w:before="60"/>
      </w:pPr>
      <w:r>
        <w:t xml:space="preserve"/>
      </w:r>
    </w:p>
    <w:p>
      <w:pPr>
        <w:spacing w:after="120" w:before="120"/>
        <w:jc w:val="both"/>
      </w:pPr>
      <w:r>
        <w:rPr>
          <w:rFonts w:ascii="Arial" w:cs="Arial" w:eastAsia="Arial" w:hAnsi="Arial"/>
          <w:sz w:val="24"/>
          <w:szCs w:val="24"/>
        </w:rPr>
        <w:t xml:space="preserve">For ESG analysts, the pipeline accelerates the extraction of commitment/outcome evidence from Indonesian sustainability reports and surfaces the commitment-to-outcome imbalance that is otherwise invisible in aggregate ESG scores. Analysts can use the Streamlit dashboard to filter by company, pillar, tone, and prompt, inspecting the textual evidence behind each classification without requiring NLP expertise.</w:t>
      </w:r>
    </w:p>
    <w:p>
      <w:pPr>
        <w:spacing w:after="60" w:before="60"/>
      </w:pPr>
      <w:r>
        <w:t xml:space="preserve"/>
      </w:r>
    </w:p>
    <w:p>
      <w:pPr>
        <w:spacing w:after="120" w:before="120"/>
        <w:jc w:val="both"/>
      </w:pPr>
      <w:r>
        <w:rPr>
          <w:rFonts w:ascii="Arial" w:cs="Arial" w:eastAsia="Arial" w:hAnsi="Arial"/>
          <w:sz w:val="24"/>
          <w:szCs w:val="24"/>
        </w:rPr>
        <w:t xml:space="preserve">For sustainability report authors at Indonesian listed companies, the tone distribution feedback provides a concrete signal: if a company's extracted records show a high commitment-to-outcome ratio, authors can identify specific sections where outcome evidence is missing and strengthen those disclosures. This closes the feedback loop between disclosure practice and analytical scrutiny.</w:t>
      </w:r>
    </w:p>
    <w:p>
      <w:pPr>
        <w:spacing w:after="60" w:before="60"/>
      </w:pPr>
      <w:r>
        <w:t xml:space="preserve"/>
      </w:r>
    </w:p>
    <w:p>
      <w:pPr>
        <w:spacing w:after="120" w:before="120"/>
        <w:jc w:val="both"/>
      </w:pPr>
      <w:r>
        <w:rPr>
          <w:rFonts w:ascii="Arial" w:cs="Arial" w:eastAsia="Arial" w:hAnsi="Arial"/>
          <w:sz w:val="24"/>
          <w:szCs w:val="24"/>
        </w:rPr>
        <w:t xml:space="preserve">For regulators, particularly OJK and IDX in the context of Sustainable Finance roadmap implementation, the pipeline provides a scalable preliminary screening tool for sustainability disclosure quality. Automated tone classification can flag reports with high commitment concentration for further review, reducing the manual burden on regulatory staff. The ontology alignment to GRI/SASB/TCFD ensures that flagged records are traceable to specific regulatory disclosure requirements.</w:t>
      </w:r>
    </w:p>
    <w:p>
      <w:pPr>
        <w:spacing w:after="60" w:before="60"/>
      </w:pPr>
      <w:r>
        <w:t xml:space="preserve"/>
      </w:r>
    </w:p>
    <w:p>
      <w:pPr>
        <w:spacing w:after="120" w:before="120"/>
        <w:jc w:val="both"/>
      </w:pPr>
      <w:r>
        <w:rPr>
          <w:rFonts w:ascii="Arial" w:cs="Arial" w:eastAsia="Arial" w:hAnsi="Arial"/>
          <w:sz w:val="24"/>
          <w:szCs w:val="24"/>
        </w:rPr>
        <w:t xml:space="preserve">For investors, the tone-derived greenwashing risk signal — the commitment-to-outcome ratio per company — provides a dimension of ESG signal not captured by conventional ESG ratings, which typically score disclosure volume rather than disclosure maturity. Investors performing due diligence on Indonesian listed companies can use tone distributions to distinguish companies with substantiated track records from companies whose ESG narratives are predominantly aspirational.</w:t>
      </w:r>
    </w:p>
    <w:p>
      <w:pPr>
        <w:spacing w:after="60" w:before="60"/>
      </w:pPr>
      <w:r>
        <w:t xml:space="preserve"/>
      </w:r>
    </w:p>
    <w:p>
      <w:pPr>
        <w:spacing w:after="120" w:before="120"/>
        <w:jc w:val="both"/>
      </w:pPr>
      <w:r>
        <w:rPr>
          <w:rFonts w:ascii="Arial" w:cs="Arial" w:eastAsia="Arial" w:hAnsi="Arial"/>
          <w:sz w:val="24"/>
          <w:szCs w:val="24"/>
        </w:rPr>
        <w:t xml:space="preserve">For the Indonesian NLP research community, the 46 novel Indonesian-specific ESG aspects identified and clustered in this thesis provide a seed corpus for future bilingual ESG ontology development. These aspects, grounded in real corporate disclosures under OJK/IDX oversight, are not represented in existing international ESG ontologies and constitute a starting point for a publicly available Indonesian ESG vocabulary resource.</w:t>
      </w:r>
    </w:p>
    <w:p>
      <w:pPr>
        <w:spacing w:after="60" w:before="60"/>
      </w:pPr>
      <w:r>
        <w:t xml:space="preserve"/>
      </w:r>
    </w:p>
    <w:p>
      <w:pPr>
        <w:pStyle w:val="Heading2"/>
        <w:spacing w:after="180" w:before="360"/>
      </w:pPr>
      <w:r>
        <w:rPr>
          <w:rFonts w:ascii="Arial" w:cs="Arial" w:eastAsia="Arial" w:hAnsi="Arial"/>
          <w:b/>
          <w:bCs/>
          <w:sz w:val="28"/>
          <w:szCs w:val="28"/>
        </w:rPr>
        <w:t xml:space="preserve">6.4 Future Work</w:t>
      </w:r>
    </w:p>
    <w:p>
      <w:pPr>
        <w:spacing w:after="60" w:before="60"/>
      </w:pPr>
      <w:r>
        <w:t xml:space="preserve"/>
      </w:r>
    </w:p>
    <w:p>
      <w:pPr>
        <w:spacing w:after="120" w:before="120"/>
        <w:jc w:val="both"/>
      </w:pPr>
      <w:r>
        <w:rPr>
          <w:rFonts w:ascii="Arial" w:cs="Arial" w:eastAsia="Arial" w:hAnsi="Arial"/>
          <w:sz w:val="24"/>
          <w:szCs w:val="24"/>
        </w:rPr>
        <w:t xml:space="preserve">Six future work priorities emerge directly from the current pipeline's limitations.</w:t>
      </w:r>
    </w:p>
    <w:p>
      <w:pPr>
        <w:spacing w:after="60" w:before="60"/>
      </w:pPr>
      <w:r>
        <w:t xml:space="preserve"/>
      </w:r>
    </w:p>
    <w:p>
      <w:pPr>
        <w:spacing w:after="120" w:before="120"/>
        <w:jc w:val="both"/>
      </w:pPr>
      <w:r>
        <w:rPr>
          <w:rFonts w:ascii="Arial" w:cs="Arial" w:eastAsia="Arial" w:hAnsi="Arial"/>
          <w:sz w:val="24"/>
          <w:szCs w:val="24"/>
        </w:rPr>
        <w:t xml:space="preserve">First, expert-labelled ground truth construction is the most critical next step. A stratified sample of 250 records, annotated by two independent reviewers using the tone taxonomy and ontology-aligned aspect labels, would enable formal accuracy benchmarking and inter-annotator agreement computation. The annotation interface is already embedded in the Streamlit dashboard, reducing the technical barrier for this step.</w:t>
      </w:r>
    </w:p>
    <w:p>
      <w:pPr>
        <w:spacing w:after="60" w:before="60"/>
      </w:pPr>
      <w:r>
        <w:t xml:space="preserve"/>
      </w:r>
    </w:p>
    <w:p>
      <w:pPr>
        <w:spacing w:after="120" w:before="120"/>
        <w:jc w:val="both"/>
      </w:pPr>
      <w:r>
        <w:rPr>
          <w:rFonts w:ascii="Arial" w:cs="Arial" w:eastAsia="Arial" w:hAnsi="Arial"/>
          <w:sz w:val="24"/>
          <w:szCs w:val="24"/>
        </w:rPr>
        <w:t xml:space="preserve">Second, OCR quality quantification should be conducted on a pilot sample of 20–30 pages from native-scanned source documents. Measuring character error rate and table extraction accuracy would establish the upper bound on extraction quality attributable to OCR noise, informing decisions about document selection and preprocessing investment.</w:t>
      </w:r>
    </w:p>
    <w:p>
      <w:pPr>
        <w:spacing w:after="60" w:before="60"/>
      </w:pPr>
      <w:r>
        <w:t xml:space="preserve"/>
      </w:r>
    </w:p>
    <w:p>
      <w:pPr>
        <w:spacing w:after="120" w:before="120"/>
        <w:jc w:val="both"/>
      </w:pPr>
      <w:r>
        <w:rPr>
          <w:rFonts w:ascii="Arial" w:cs="Arial" w:eastAsia="Arial" w:hAnsi="Arial"/>
          <w:sz w:val="24"/>
          <w:szCs w:val="24"/>
        </w:rPr>
        <w:t xml:space="preserve">Third, the greenwashing index requires external validation. Comparing commitment-to-outcome ratios across source companies against publicly available ESG controversy databases, independent sustainability ratings (such as MSCI ESG or Sustainalytics), or the Indonesian OJK ESG assessment framework would either validate or falsify the heuristic. Even a small-scale validation on five to ten companies would substantially strengthen the greenwashing detection contribution.</w:t>
      </w:r>
    </w:p>
    <w:p>
      <w:pPr>
        <w:spacing w:after="60" w:before="60"/>
      </w:pPr>
      <w:r>
        <w:t xml:space="preserve"/>
      </w:r>
    </w:p>
    <w:p>
      <w:pPr>
        <w:spacing w:after="120" w:before="120"/>
        <w:jc w:val="both"/>
      </w:pPr>
      <w:r>
        <w:rPr>
          <w:rFonts w:ascii="Arial" w:cs="Arial" w:eastAsia="Arial" w:hAnsi="Arial"/>
          <w:sz w:val="24"/>
          <w:szCs w:val="24"/>
        </w:rPr>
        <w:t xml:space="preserve">Fourth, Social pillar coverage must be expanded. Running targeted extraction on sustainability report sections specifically addressing workforce, community, and supply chain topics — using prompt templates designed to elicit Social-aspect records — would address the most significant scope limitation of the current pipeline.</w:t>
      </w:r>
    </w:p>
    <w:p>
      <w:pPr>
        <w:spacing w:after="60" w:before="60"/>
      </w:pPr>
      <w:r>
        <w:t xml:space="preserve"/>
      </w:r>
    </w:p>
    <w:p>
      <w:pPr>
        <w:spacing w:after="120" w:before="120"/>
        <w:jc w:val="both"/>
      </w:pPr>
      <w:r>
        <w:rPr>
          <w:rFonts w:ascii="Arial" w:cs="Arial" w:eastAsia="Arial" w:hAnsi="Arial"/>
          <w:sz w:val="24"/>
          <w:szCs w:val="24"/>
        </w:rPr>
        <w:t xml:space="preserve">Fifth, multilingual transformer fine-tuning should be tested on the accumulated dataset. The 1,610 human-reviewed tone labels and 5,138 ESG pillar labels are sufficient to fine-tune a lightweight multilingual model (such as XLM-RoBERTa-base) for Indonesian/English ESG tone classification, providing a model-based alternative to LLM prompting that is faster, cheaper, and more deterministic for deployment.</w:t>
      </w:r>
    </w:p>
    <w:p>
      <w:pPr>
        <w:spacing w:after="60" w:before="60"/>
      </w:pPr>
      <w:r>
        <w:t xml:space="preserve"/>
      </w:r>
    </w:p>
    <w:p>
      <w:pPr>
        <w:spacing w:after="120" w:before="120"/>
        <w:jc w:val="both"/>
      </w:pPr>
      <w:r>
        <w:rPr>
          <w:rFonts w:ascii="Arial" w:cs="Arial" w:eastAsia="Arial" w:hAnsi="Arial"/>
          <w:sz w:val="24"/>
          <w:szCs w:val="24"/>
        </w:rPr>
        <w:t xml:space="preserve">Sixth, a third model family should be added to the stability analysis. Adding an open-weight 7B model (such as Mistral-7B or Llama-3-8B) as a lower-bound configuration would enable credible three-way cross-model comparison with repeated runs at temperature = 0, producing the mean ± standard deviation stability table that RQ6 ultimately requires.</w:t>
      </w:r>
    </w:p>
    <w:p>
      <w:pPr>
        <w:spacing w:after="60" w:before="60"/>
      </w:pPr>
      <w:r>
        <w:t xml:space="preserve"/>
      </w:r>
    </w:p>
    <w:p>
      <w:pPr>
        <w:pStyle w:val="Heading2"/>
        <w:spacing w:after="180" w:before="360"/>
      </w:pPr>
      <w:r>
        <w:rPr>
          <w:rFonts w:ascii="Arial" w:cs="Arial" w:eastAsia="Arial" w:hAnsi="Arial"/>
          <w:b/>
          <w:bCs/>
          <w:sz w:val="28"/>
          <w:szCs w:val="28"/>
        </w:rPr>
        <w:t xml:space="preserve">6.5 Closing Statement</w:t>
      </w:r>
    </w:p>
    <w:p>
      <w:pPr>
        <w:spacing w:after="60" w:before="60"/>
      </w:pPr>
      <w:r>
        <w:t xml:space="preserve"/>
      </w:r>
    </w:p>
    <w:p>
      <w:pPr>
        <w:spacing w:after="120" w:before="120"/>
        <w:jc w:val="both"/>
      </w:pPr>
      <w:r>
        <w:rPr>
          <w:rFonts w:ascii="Arial" w:cs="Arial" w:eastAsia="Arial" w:hAnsi="Arial"/>
          <w:sz w:val="24"/>
          <w:szCs w:val="24"/>
        </w:rPr>
        <w:t xml:space="preserve">This thesis demonstrates that automated tone-aware ESG disclosure analysis of bilingual Indonesian/English sustainability reports is technically feasible, analytically valuable, and reproducible. The pipeline's central contribution — the commitment/action/outcome tone taxonomy validated against real ClimateBERT outputs at κ = 0.079 — establishes that disclosure maturity is a distinct and independent dimension of ESG text that existing climate and ESG classifiers do not capture. The 46 novel Indonesian-specific ESG aspects identified through ontology mapping provide an empirical foundation for Indonesian ESG NLP that the research community can build upon.</w:t>
      </w:r>
    </w:p>
    <w:p>
      <w:pPr>
        <w:spacing w:after="60" w:before="60"/>
      </w:pPr>
      <w:r>
        <w:t xml:space="preserve"/>
      </w:r>
    </w:p>
    <w:p>
      <w:pPr>
        <w:spacing w:after="120" w:before="120"/>
        <w:jc w:val="both"/>
      </w:pPr>
      <w:r>
        <w:rPr>
          <w:rFonts w:ascii="Arial" w:cs="Arial" w:eastAsia="Arial" w:hAnsi="Arial"/>
          <w:sz w:val="24"/>
          <w:szCs w:val="24"/>
        </w:rPr>
        <w:t xml:space="preserve">The pipeline is best understood as a complete, reproducible research infrastructure rather than a finished classification system. Its value lies not only in the 332 extracted records and 1,049 artefacts it has produced, but in the diagnostic clarity it provides about what ESG NLP still cannot do: reliably distinguish aspiration from achievement, cover the Social pillar with equal fidelity to Environmental and Governance, and operate across the full range of bilingual document types without schema drift. These are the problems that the next generation of Indonesian ESG ABSA research must solve — and this thesis has built the tools to solve them.</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4057"/>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2026-05-20T03:05:47.238Z</dcterms:created>
  <dcterms:modified xsi:type="dcterms:W3CDTF">2026-05-20T03:05:47.255Z</dcterms:modified>
</cp:coreProperties>
</file>

<file path=docProps/custom.xml><?xml version="1.0" encoding="utf-8"?>
<Properties xmlns="http://schemas.openxmlformats.org/officeDocument/2006/custom-properties" xmlns:vt="http://schemas.openxmlformats.org/officeDocument/2006/docPropsVTypes"/>
</file>