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ablation studies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resolving LaTeX formatting issues, and structuring tabular data.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disclosures—such as ISO or PROPER—over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bookmarkEnd w:id="32"/>
    <w:bookmarkEnd w:id="33"/>
    <w:bookmarkStart w:id="34" w:name="state-of-the-art-esg-sentiment-and-absa"/>
    <w:p>
      <w:pPr>
        <w:pStyle w:val="Heading2"/>
      </w:pPr>
      <w:r>
        <w:t xml:space="preserve">State-of-the-Art: ESG Sentiment and ABSA</w:t>
      </w:r>
    </w:p>
    <w:p>
      <w:pPr>
        <w:pStyle w:val="FirstParagraph"/>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4"/>
    <w:bookmarkStart w:id="37"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5"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5"/>
    <w:bookmarkStart w:id="36"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6"/>
    <w:bookmarkEnd w:id="37"/>
    <w:bookmarkStart w:id="40"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8"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selection—whether random or based on similarity—significantly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8"/>
    <w:bookmarkStart w:id="39"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9"/>
    <w:bookmarkEnd w:id="40"/>
    <w:bookmarkStart w:id="42"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"hallucinations"—the generation of factually incorrect or ungrounded outputs—as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1"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1"/>
    <w:bookmarkEnd w:id="42"/>
    <w:bookmarkStart w:id="45"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3"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verification—the process of validating corporate claims against public evidence—Pavlova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3"/>
    <w:bookmarkStart w:id="44"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4"/>
    <w:bookmarkEnd w:id="45"/>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6"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reporting—particularly regarding greenhouse gas emissions—are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p>
      <w:pPr>
        <w:pStyle w:val="FirstParagraph"/>
      </w:pPr>
      <w:r>
        <w:t xml:space="preserve">The Role of Benchmark Datasets in ESG NLP</w:t>
      </w:r>
    </w:p>
    <w:p>
      <w:pPr>
        <w:pStyle w:val="BodyText"/>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datasets—such as those developed by Schimanski et al.</w:t>
      </w:r>
      <w:r>
        <w:t xml:space="preserve"> </w:t>
      </w:r>
      <w:r>
        <w:t xml:space="preserve">(T. S. A. C. C. S. A. G. G. A. J. N. A. T. Y. A. M. Leippold 2024)</w:t>
      </w:r>
      <w:r>
        <w:t xml:space="preserve">—provide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 commitment</w:t>
      </w:r>
      <w:r>
        <w:t xml:space="preserve"> </w:t>
      </w:r>
      <w:r>
        <w:t xml:space="preserve">vs</w:t>
      </w:r>
      <w:r>
        <w:t xml:space="preserve"> </w:t>
      </w:r>
      <w:r>
        <w:rPr>
          <w:rStyle w:val="VerbatimChar"/>
        </w:rPr>
        <w:t xml:space="preserve">climate_commitment 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 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2667000"/>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 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 gpt-oss-120b:free</w:t>
      </w:r>
      <w:r>
        <w:t xml:space="preserve"> </w:t>
      </w:r>
      <w:r>
        <w:t xml:space="preserve">&amp; 20 &amp; 100.0% &amp; 3.00 &amp; 100.0% &amp; 42.5% &amp; Formally parseable but practically unusable for tone analysis</w:t>
      </w:r>
      <w:r>
        <w:br/>
      </w:r>
      <w:r>
        <w:rPr>
          <w:rStyle w:val="VerbatimChar"/>
        </w:rPr>
        <w:t xml:space="preserve">arcee-ai/ trinity-large-thinking:free</w:t>
      </w:r>
      <w:r>
        <w:t xml:space="preserve"> </w:t>
      </w:r>
      <w:r>
        <w:t xml:space="preserve">&amp; 89 &amp; 89.9% &amp; 12.52 &amp; 0.0% &amp; 0.0% &amp; Very high extraction yield, but lower formal stability than the preview model</w:t>
      </w:r>
      <w:r>
        <w:br/>
      </w:r>
      <w:r>
        <w:rPr>
          <w:rStyle w:val="VerbatimChar"/>
        </w:rPr>
        <w:t xml:space="preserve">minimax/ minimax-m2.5:free</w:t>
      </w:r>
      <w:r>
        <w:t xml:space="preserve"> </w:t>
      </w:r>
      <w:r>
        <w:t xml:space="preserve">&amp; 776 &amp; 56.6% &amp; 4.94 &amp; 0.05% &amp; 0.26% &amp; High-volume live usage with weak parse reliability</w:t>
      </w:r>
      <w:r>
        <w:br/>
      </w:r>
      <w:r>
        <w:rPr>
          <w:rStyle w:val="VerbatimChar"/>
        </w:rPr>
        <w:t xml:space="preserve">openai/ 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4.5, Figure 4.6</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4.7, Figure 4.8</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Oleksandr Yurchenko AND Olena Hryhorevska AND Yevhen Neseniuk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2026-06-09T22:14:01Z</dcterms:created>
  <dcterms:modified xsi:type="dcterms:W3CDTF">2026-06-09T22:14:01Z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