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customXml/itemProps1.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Toward an Executable ESG Aspect-Based Sentiment Analysis Framework for Indonesian Sustainability Reports</w:t>
      </w:r>
    </w:p>
    <w:p>
      <w:r>
        <w:rPr>
          <w:b/>
          <w:bCs/>
          <w:i w:val="false"/>
          <w:iCs w:val="false"/>
          <w:color w:val="000000"/>
        </w:rPr>
        <w:t xml:space="preserve">A thesis-style research paper draft based on the current ESG Streamlit evidence pipeline</w:t>
      </w:r>
    </w:p>
    <w:p>
      <w:r>
        <w:rPr>
          <w:b w:val="false"/>
          <w:bCs w:val="false"/>
          <w:i w:val="false"/>
          <w:iCs w:val="false"/>
          <w:color w:val="000000"/>
        </w:rPr>
        <w:t xml:space="preserve">Author: Daris Dzakwan Hoesien</w:t>
      </w:r>
      <w:r>
        <w:br/>
      </w:r>
      <w:r>
        <w:rPr>
          <w:b w:val="false"/>
          <w:bCs w:val="false"/>
          <w:i w:val="false"/>
          <w:iCs w:val="false"/>
          <w:color w:val="000000"/>
        </w:rPr>
        <w:t xml:space="preserve">Program: ESG / Sustainable Finance / Applied AI Research</w:t>
      </w:r>
      <w:r>
        <w:br/>
      </w:r>
      <w:r>
        <w:rPr>
          <w:b w:val="false"/>
          <w:bCs w:val="false"/>
          <w:i w:val="false"/>
          <w:iCs w:val="false"/>
          <w:color w:val="000000"/>
        </w:rPr>
        <w:t xml:space="preserve">Draft version: 0.1</w:t>
      </w:r>
      <w:r>
        <w:br/>
      </w:r>
      <w:r>
        <w:rPr>
          <w:b w:val="false"/>
          <w:bCs w:val="false"/>
          <w:i w:val="false"/>
          <w:iCs w:val="false"/>
          <w:color w:val="000000"/>
        </w:rPr>
        <w:t xml:space="preserve">Date: 2026-05-22</w:t>
      </w:r>
    </w:p>
    <w:p>
      <w:pPr>
        <w:pStyle w:val="Heading2"/>
      </w:pPr>
      <w:r>
        <w:rPr>
          <w:b w:val="false"/>
          <w:bCs w:val="false"/>
          <w:i w:val="false"/>
          <w:iCs w:val="false"/>
          <w:color w:val="000000"/>
        </w:rPr>
        <w:t xml:space="preserve">Abstract</w:t>
      </w:r>
    </w:p>
    <w:p>
      <w:r>
        <w:rPr>
          <w:b w:val="false"/>
          <w:bCs w:val="false"/>
          <w:i w:val="false"/>
          <w:iCs w:val="false"/>
          <w:color w:val="000000"/>
        </w:rPr>
        <w:t xml:space="preserve">Sustainability reports contain dense qualitative and quantitative disclosures about environmental, social, and governance (ESG) activities, yet much of this information remains difficult to compare across firms, years, languages, and disclosure styles. This thesis proposes an executable ESG Aspect-Based Sentiment Analysis (ABSA) framework for transforming Indonesian sustainability reports into structured evidence records. The framework combines OCR processing, large language model (LLM) extraction, ESG aspect classification, tone labeling, ClimateBERT-based comparison, ontology mapping, and interactive Streamlit dashboards. Unlike document-level ESG scoring, the proposed approach operates at the record level, </w:t>
      </w:r>
      <w:commentRangeStart w:id="9"/>
      <w:r>
        <w:rPr>
          <w:b w:val="false"/>
          <w:bCs w:val="false"/>
          <w:i w:val="false"/>
          <w:iCs w:val="false"/>
          <w:color w:val="000000"/>
        </w:rPr>
        <w:t xml:space="preserve">preserving source provenance, prompt/model metadata, ESG pillar labels, aspect labels, tone labels, and validation outputs.</w:t>
      </w:r>
      <w:commentRangeEnd w:id="9"/>
      <w:commentReference w:id="9"/>
    </w:p>
    <w:p>
      <w:r>
        <w:rPr>
          <w:b w:val="false"/>
          <w:bCs w:val="false"/>
          <w:i w:val="false"/>
          <w:iCs w:val="false"/>
          <w:color w:val="000000"/>
        </w:rPr>
        <w:t xml:space="preserve">The current implementation processes sustainability-report text into a 332-record structured ESG evidence table, supported by 2,074 T2 rows, 23 OCR documents, 40 tracked artifacts, model-stability outputs, prompt-stability outputs, ontology coverage summaries, and ClimateBERT agreement metrics. Initial validation shows 83.7% ClimateBERT proxy agreement and </w:t>
      </w:r>
      <w:commentRangeStart w:id="7"/>
      <w:r>
        <w:rPr>
          <w:b w:val="false"/>
          <w:bCs w:val="false"/>
          <w:i w:val="false"/>
          <w:iCs w:val="false"/>
          <w:color w:val="000000"/>
        </w:rPr>
        <w:t xml:space="preserve">Cohen's kappa of 0.645, indicating moderate alignment</w:t>
      </w:r>
      <w:commentRangeEnd w:id="7"/>
      <w:commentReference w:id="7"/>
      <w:r>
        <w:rPr>
          <w:b w:val="false"/>
          <w:bCs w:val="false"/>
          <w:i w:val="false"/>
          <w:iCs w:val="false"/>
          <w:color w:val="000000"/>
        </w:rPr>
        <w:t xml:space="preserve"> between ESG tone labels and climate-focused labels while also confirming that ESG tone and climate commitment are not identical constructs. The thesis contributes an executable research pipeline, a bilingual ESG ABSA schema, a reproducible artifact lineage, and </w:t>
      </w:r>
      <w:commentRangeStart w:id="8"/>
      <w:r>
        <w:rPr>
          <w:b w:val="false"/>
          <w:bCs w:val="false"/>
          <w:i w:val="false"/>
          <w:iCs w:val="false"/>
          <w:color w:val="000000"/>
        </w:rPr>
        <w:t xml:space="preserve">an ontology-oriented path for extending Indonesian ESG vocabulary into RDF, OWL, and Neo4j graph formats.</w:t>
      </w:r>
      <w:commentRangeEnd w:id="8"/>
      <w:commentReference w:id="8"/>
    </w:p>
    <w:p>
      <w:r>
        <w:rPr>
          <w:b w:val="false"/>
          <w:bCs w:val="false"/>
          <w:i w:val="false"/>
          <w:iCs w:val="false"/>
          <w:color w:val="000000"/>
        </w:rPr>
        <w:t xml:space="preserve">Keywords: ESG, sustainability reports, aspect-based sentiment analysis, ABSA, ClimateBERT, ontology, knowledge graph, Indonesian ESG, LLM extraction, Streamlit dashboard</w:t>
      </w:r>
    </w:p>
    <w:p>
      <w:pPr>
        <w:pStyle w:val="Heading2"/>
      </w:pPr>
      <w:r>
        <w:rPr>
          <w:b w:val="false"/>
          <w:bCs w:val="false"/>
          <w:i w:val="false"/>
          <w:iCs w:val="false"/>
          <w:color w:val="000000"/>
        </w:rPr>
        <w:t xml:space="preserve">Table Of Contents</w:t>
      </w:r>
    </w:p>
    <w:p>
      <w:pPr>
        <w:pStyle w:val="ListParagraph"/>
        <w:numPr>
          <w:ilvl w:val="0"/>
          <w:numId w:val="2"/>
        </w:numPr>
      </w:pPr>
      <w:r>
        <w:rPr>
          <w:b w:val="false"/>
          <w:bCs w:val="false"/>
          <w:i w:val="false"/>
          <w:iCs w:val="false"/>
          <w:color w:val="000000"/>
        </w:rPr>
        <w:t xml:space="preserve">Introduction</w:t>
      </w:r>
    </w:p>
    <w:p>
      <w:pPr>
        <w:pStyle w:val="ListParagraph"/>
        <w:numPr>
          <w:ilvl w:val="0"/>
          <w:numId w:val="2"/>
        </w:numPr>
      </w:pPr>
      <w:r>
        <w:rPr>
          <w:b w:val="false"/>
          <w:bCs w:val="false"/>
          <w:i w:val="false"/>
          <w:iCs w:val="false"/>
          <w:color w:val="000000"/>
        </w:rPr>
        <w:t xml:space="preserve">Related Work</w:t>
      </w:r>
    </w:p>
    <w:p>
      <w:pPr>
        <w:pStyle w:val="ListParagraph"/>
        <w:numPr>
          <w:ilvl w:val="0"/>
          <w:numId w:val="2"/>
        </w:numPr>
      </w:pPr>
      <w:r>
        <w:rPr>
          <w:b w:val="false"/>
          <w:bCs w:val="false"/>
          <w:i w:val="false"/>
          <w:iCs w:val="false"/>
          <w:color w:val="000000"/>
        </w:rPr>
        <w:t xml:space="preserve">Methodology</w:t>
      </w:r>
    </w:p>
    <w:p>
      <w:pPr>
        <w:pStyle w:val="ListParagraph"/>
        <w:numPr>
          <w:ilvl w:val="0"/>
          <w:numId w:val="2"/>
        </w:numPr>
      </w:pPr>
      <w:r>
        <w:rPr>
          <w:b w:val="false"/>
          <w:bCs w:val="false"/>
          <w:i w:val="false"/>
          <w:iCs w:val="false"/>
          <w:color w:val="000000"/>
        </w:rPr>
        <w:t xml:space="preserve">Experimental Setup and Results</w:t>
      </w:r>
    </w:p>
    <w:p>
      <w:pPr>
        <w:pStyle w:val="ListParagraph"/>
        <w:numPr>
          <w:ilvl w:val="0"/>
          <w:numId w:val="2"/>
        </w:numPr>
      </w:pPr>
      <w:r>
        <w:rPr>
          <w:b w:val="false"/>
          <w:bCs w:val="false"/>
          <w:i w:val="false"/>
          <w:iCs w:val="false"/>
          <w:color w:val="000000"/>
        </w:rPr>
        <w:t xml:space="preserve">Discussion</w:t>
      </w:r>
    </w:p>
    <w:p>
      <w:pPr>
        <w:pStyle w:val="ListParagraph"/>
        <w:numPr>
          <w:ilvl w:val="0"/>
          <w:numId w:val="2"/>
        </w:numPr>
      </w:pPr>
      <w:r>
        <w:rPr>
          <w:b w:val="false"/>
          <w:bCs w:val="false"/>
          <w:i w:val="false"/>
          <w:iCs w:val="false"/>
          <w:color w:val="000000"/>
        </w:rPr>
        <w:t xml:space="preserve">Conclusion</w:t>
      </w:r>
    </w:p>
    <w:p>
      <w:pPr>
        <w:pStyle w:val="ListParagraph"/>
        <w:numPr>
          <w:ilvl w:val="0"/>
          <w:numId w:val="2"/>
        </w:numPr>
      </w:pPr>
      <w:r>
        <w:rPr>
          <w:b w:val="false"/>
          <w:bCs w:val="false"/>
          <w:i w:val="false"/>
          <w:iCs w:val="false"/>
          <w:color w:val="000000"/>
        </w:rPr>
        <w:t xml:space="preserve">References</w:t>
      </w:r>
    </w:p>
    <w:p>
      <w:pPr>
        <w:pStyle w:val="ListParagraph"/>
        <w:numPr>
          <w:ilvl w:val="0"/>
          <w:numId w:val="2"/>
        </w:numPr>
      </w:pPr>
      <w:r>
        <w:rPr>
          <w:b w:val="false"/>
          <w:bCs w:val="false"/>
          <w:i w:val="false"/>
          <w:iCs w:val="false"/>
          <w:color w:val="000000"/>
        </w:rPr>
        <w:t xml:space="preserve">Appendix: Executable Artifacts And Streamlit Pages</w:t>
      </w:r>
    </w:p>
    <w:p>
      <w:pPr>
        <w:pStyle w:val="Heading1"/>
      </w:pPr>
      <w:r>
        <w:rPr>
          <w:b w:val="false"/>
          <w:bCs w:val="false"/>
          <w:i w:val="false"/>
          <w:iCs w:val="false"/>
          <w:color w:val="000000"/>
        </w:rPr>
        <w:t xml:space="preserve">1. Introduction</w:t>
      </w:r>
    </w:p>
    <w:p>
      <w:pPr>
        <w:pStyle w:val="Heading2"/>
      </w:pPr>
      <w:r>
        <w:rPr>
          <w:b w:val="false"/>
          <w:bCs w:val="false"/>
          <w:i w:val="false"/>
          <w:iCs w:val="false"/>
          <w:color w:val="000000"/>
        </w:rPr>
        <w:t xml:space="preserve">1.1 Motivation</w:t>
      </w:r>
    </w:p>
    <w:p>
      <w:r>
        <w:rPr>
          <w:b w:val="false"/>
          <w:bCs w:val="false"/>
          <w:i w:val="false"/>
          <w:iCs w:val="false"/>
          <w:color w:val="000000"/>
        </w:rPr>
        <w:t xml:space="preserve">ESG disclosure is increasingly used by investors, regulators, researchers, and companies to evaluate sustainability performance</w:t>
      </w:r>
      <w:sdt>
        <w:sdtPr>
          <w:tag w:val="CITATION ChristensenH21"/>
          <w:id w:val="1172620306"/>
          <w:citation/>
        </w:sdtPr>
        <w:sdtContent>
          <w:r>
            <w:fldChar w:fldCharType="begin"/>
          </w:r>
          <w:r>
            <w:instrText xml:space="preserve"> CITATION ChristensenH21 \p 1177 \l 1033 </w:instrText>
          </w:r>
          <w:r>
            <w:fldChar w:fldCharType="separate"/>
          </w:r>
          <w:r>
            <w:rPr>
              <w:noProof/>
            </w:rPr>
            <w:t xml:space="preserve">(Christensen et al., 2021)</w:t>
          </w:r>
          <w:r>
            <w:fldChar w:fldCharType="end"/>
          </w:r>
        </w:sdtContent>
      </w:sdt>
      <w:r>
        <w:rPr>
          <w:b w:val="false"/>
          <w:bCs w:val="false"/>
          <w:i w:val="false"/>
          <w:iCs w:val="false"/>
          <w:color w:val="000000"/>
        </w:rPr>
        <w:t xml:space="preserve">. However, sustainability reports are heterogeneous, varying in extent and format due to a lack of reporting standards, and often include forward-looking content and diverse narratives</w:t>
      </w:r>
      <w:sdt>
        <w:sdtPr>
          <w:tag w:val="CITATION AlShaerH21"/>
          <w:id w:val="2121612358"/>
          <w:citation/>
        </w:sdtPr>
        <w:sdtContent>
          <w:r>
            <w:fldChar w:fldCharType="begin"/>
          </w:r>
          <w:r>
            <w:instrText xml:space="preserve"> CITATION AlShaerH21 \p 738 \l 1033 </w:instrText>
          </w:r>
          <w:r>
            <w:fldChar w:fldCharType="separate"/>
          </w:r>
          <w:r>
            <w:rPr>
              <w:noProof/>
            </w:rPr>
            <w:t xml:space="preserve">(Al‐Shaer et al., 2021)</w:t>
          </w:r>
          <w:r>
            <w:fldChar w:fldCharType="end"/>
          </w:r>
        </w:sdtContent>
      </w:sdt>
      <w:r>
        <w:rPr>
          <w:b w:val="false"/>
          <w:bCs w:val="false"/>
          <w:i w:val="false"/>
          <w:iCs w:val="false"/>
          <w:color w:val="000000"/>
        </w:rPr>
        <w:t xml:space="preserve">. </w:t>
      </w:r>
      <w:commentRangeStart w:id="1"/>
      <w:r>
        <w:rPr>
          <w:b w:val="false"/>
          <w:bCs w:val="false"/>
          <w:i w:val="false"/>
          <w:iCs w:val="false"/>
          <w:color w:val="000000"/>
        </w:rPr>
        <w:t xml:space="preserve">For Indonesian-listed companies, this problem is amplified by bilingual disclosure patterns and low readability of reports</w:t>
      </w:r>
      <w:commentRangeEnd w:id="1"/>
      <w:commentReference w:id="1"/>
      <w:sdt>
        <w:sdtPr>
          <w:tag w:val="CITATION AdharianiD20"/>
          <w:id w:val="524932946"/>
          <w:citation/>
        </w:sdtPr>
        <w:sdtContent>
          <w:r>
            <w:fldChar w:fldCharType="begin"/>
          </w:r>
          <w:r>
            <w:instrText xml:space="preserve"> CITATION AdharianiD20 \p 621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w:t>
      </w:r>
      <w:sdt>
        <w:sdtPr>
          <w:tag w:val="CITATION Marsdenia23"/>
          <w:id w:val="878133470"/>
          <w:citation/>
        </w:sdtPr>
        <w:sdtContent>
          <w:r>
            <w:fldChar w:fldCharType="begin"/>
          </w:r>
          <w:r>
            <w:instrText xml:space="preserve"> CITATION Marsdenia23 \p 5 \l 1033 </w:instrText>
          </w:r>
          <w:r>
            <w:fldChar w:fldCharType="separate"/>
          </w:r>
          <w:r>
            <w:rPr>
              <w:noProof/>
            </w:rPr>
            <w:t xml:space="preserve">(Marsdenia &amp; Koestoer, 2023)</w:t>
          </w:r>
          <w:r>
            <w:fldChar w:fldCharType="end"/>
          </w:r>
        </w:sdtContent>
      </w:sdt>
      <w:r>
        <w:rPr>
          <w:b w:val="false"/>
          <w:bCs w:val="false"/>
          <w:i w:val="false"/>
          <w:iCs w:val="false"/>
          <w:color w:val="000000"/>
        </w:rPr>
        <w:t xml:space="preserve">.</w:t>
      </w:r>
    </w:p>
    <w:p>
      <w:r>
        <w:rPr>
          <w:b w:val="false"/>
          <w:bCs w:val="false"/>
          <w:i w:val="false"/>
          <w:iCs w:val="false"/>
          <w:color w:val="000000"/>
        </w:rPr>
        <w:t xml:space="preserve">Traditional document-level ESG analysis is insufficient for this setting due to the complexity and varied nature of ESG content, including issues like greenwashing and a lack of structured information</w:t>
      </w:r>
      <w:sdt>
        <w:sdtPr>
          <w:tag w:val="CITATION OngK25"/>
          <w:id w:val="1815133617"/>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sdt>
        <w:sdtPr>
          <w:tag w:val="CITATION OngK252"/>
          <w:id w:val="1557316917"/>
          <w:citation/>
        </w:sdtPr>
        <w:sdtContent>
          <w:r>
            <w:fldChar w:fldCharType="begin"/>
          </w:r>
          <w:r>
            <w:instrText xml:space="preserve"> CITATION OngK252 \p 3 \l 1033 </w:instrText>
          </w:r>
          <w:r>
            <w:fldChar w:fldCharType="separate"/>
          </w:r>
          <w:r>
            <w:rPr>
              <w:noProof/>
            </w:rPr>
            <w:t xml:space="preserve">(Ong et al., 2025)</w:t>
          </w:r>
          <w:r>
            <w:fldChar w:fldCharType="end"/>
          </w:r>
        </w:sdtContent>
      </w:sdt>
      <w:r>
        <w:rPr>
          <w:b w:val="false"/>
          <w:bCs w:val="false"/>
          <w:i w:val="false"/>
          <w:iCs w:val="false"/>
          <w:color w:val="000000"/>
        </w:rPr>
        <w:t xml:space="preserve">. One paragraph may describe an environmental commitment, another may report a completed social program, and another may mention governance compliance without measurable outcomes. Therefore, this thesis treats ESG disclosure as a record-level ABSA problem: each extracted statement is classified by aspect, ESG pillar, sentiment, tone, and provenance.</w:t>
      </w:r>
    </w:p>
    <w:p>
      <w:r>
        <w:rPr>
          <w:b w:val="false"/>
          <w:bCs w:val="false"/>
          <w:i w:val="false"/>
          <w:iCs w:val="false"/>
          <w:color w:val="000000"/>
        </w:rPr>
        <w:t xml:space="preserve">Raw data must be converted into aligned, inspectable, and evaluable computational artifacts. In the ESG setting, the raw input is a sustainability-report corpus rather than video, and the aligned signals are OCR text, extracted ESG records, LLM metadata, ClimateBERT labels, </w:t>
      </w:r>
      <w:commentRangeStart w:id="3"/>
      <w:r>
        <w:rPr>
          <w:b w:val="false"/>
          <w:bCs w:val="false"/>
          <w:i w:val="false"/>
          <w:iCs w:val="false"/>
          <w:color w:val="000000"/>
        </w:rPr>
        <w:t xml:space="preserve">human annotations</w:t>
      </w:r>
      <w:commentRangeEnd w:id="3"/>
      <w:commentReference w:id="3"/>
      <w:r>
        <w:rPr>
          <w:b w:val="false"/>
          <w:bCs w:val="false"/>
          <w:i w:val="false"/>
          <w:iCs w:val="false"/>
          <w:color w:val="000000"/>
        </w:rPr>
        <w:t xml:space="preserve">, ontology mappings, and dashboard visualizations.</w:t>
      </w:r>
    </w:p>
    <w:p>
      <w:pPr>
        <w:pStyle w:val="Heading2"/>
      </w:pPr>
      <w:r>
        <w:rPr>
          <w:b w:val="false"/>
          <w:bCs w:val="false"/>
          <w:i w:val="false"/>
          <w:iCs w:val="false"/>
          <w:color w:val="000000"/>
        </w:rPr>
        <w:t xml:space="preserve">1.2 Problem Statement</w:t>
      </w:r>
    </w:p>
    <w:p>
      <w:commentRangeStart w:id="2"/>
      <w:r>
        <w:rPr>
          <w:b w:val="false"/>
          <w:bCs w:val="false"/>
          <w:i w:val="false"/>
          <w:iCs w:val="false"/>
          <w:color w:val="000000"/>
        </w:rPr>
        <w:t xml:space="preserve">The central problem is how to design a reproducible ESG ABSA pipeline that transforms sustainability-report PDFs into structured, validated, and thesis-ready evidence records.</w:t>
      </w:r>
      <w:commentRangeEnd w:id="2"/>
      <w:commentReference w:id="2"/>
    </w:p>
    <w:p>
      <w:commentRangeStart w:id="0"/>
      <w:r>
        <w:rPr>
          <w:b w:val="false"/>
          <w:bCs w:val="false"/>
          <w:i w:val="false"/>
          <w:iCs w:val="false"/>
          <w:color w:val="000000"/>
        </w:rPr>
        <w:t xml:space="preserve">This requires solving six linked challenges:</w:t>
      </w:r>
      <w:commentRangeEnd w:id="0"/>
      <w:commentReference w:id="0"/>
    </w:p>
    <w:p>
      <w:pPr>
        <w:pStyle w:val="ListParagraph"/>
        <w:numPr>
          <w:ilvl w:val="0"/>
          <w:numId w:val="3"/>
        </w:numPr>
      </w:pPr>
      <w:r>
        <w:rPr>
          <w:b w:val="false"/>
          <w:bCs w:val="false"/>
          <w:i w:val="false"/>
          <w:iCs w:val="false"/>
          <w:color w:val="000000"/>
        </w:rPr>
        <w:t xml:space="preserve">Converting heterogeneous PDF reports into usable text while preserving document/page provenance.</w:t>
      </w:r>
    </w:p>
    <w:p>
      <w:pPr>
        <w:pStyle w:val="ListParagraph"/>
        <w:numPr>
          <w:ilvl w:val="0"/>
          <w:numId w:val="3"/>
        </w:numPr>
      </w:pPr>
      <w:r>
        <w:rPr>
          <w:b w:val="false"/>
          <w:bCs w:val="false"/>
          <w:i w:val="false"/>
          <w:iCs w:val="false"/>
          <w:color w:val="000000"/>
        </w:rPr>
        <w:t xml:space="preserve">Extracting ESG statements from report text using configurable LLM prompts and providers.</w:t>
      </w:r>
    </w:p>
    <w:p>
      <w:pPr>
        <w:pStyle w:val="ListParagraph"/>
        <w:numPr>
          <w:ilvl w:val="0"/>
          <w:numId w:val="3"/>
        </w:numPr>
      </w:pPr>
      <w:r>
        <w:rPr>
          <w:b w:val="false"/>
          <w:bCs w:val="false"/>
          <w:i w:val="false"/>
          <w:iCs w:val="false"/>
          <w:color w:val="000000"/>
        </w:rPr>
        <w:t xml:space="preserve">Assigning aspect, ESG pillar, sentiment, and tone labels to extracted records.</w:t>
      </w:r>
    </w:p>
    <w:p>
      <w:pPr>
        <w:pStyle w:val="ListParagraph"/>
        <w:numPr>
          <w:ilvl w:val="0"/>
          <w:numId w:val="3"/>
        </w:numPr>
      </w:pPr>
      <w:r>
        <w:rPr>
          <w:b w:val="false"/>
          <w:bCs w:val="false"/>
          <w:i w:val="false"/>
          <w:iCs w:val="false"/>
          <w:color w:val="000000"/>
        </w:rPr>
        <w:t xml:space="preserve">Comparing ESG tone labels with climate-specific model outputs such as ClimateBERT.</w:t>
      </w:r>
    </w:p>
    <w:p>
      <w:pPr>
        <w:pStyle w:val="ListParagraph"/>
        <w:numPr>
          <w:ilvl w:val="0"/>
          <w:numId w:val="3"/>
        </w:numPr>
      </w:pPr>
      <w:r>
        <w:rPr>
          <w:b w:val="false"/>
          <w:bCs w:val="false"/>
          <w:i w:val="false"/>
          <w:iCs w:val="false"/>
          <w:color w:val="000000"/>
        </w:rPr>
        <w:t xml:space="preserve">Auditing failures, schema drift, missing fields, and OCR-related loss.</w:t>
      </w:r>
    </w:p>
    <w:p>
      <w:pPr>
        <w:pStyle w:val="ListParagraph"/>
        <w:numPr>
          <w:ilvl w:val="0"/>
          <w:numId w:val="3"/>
        </w:numPr>
      </w:pPr>
      <w:r>
        <w:rPr>
          <w:b w:val="false"/>
          <w:bCs w:val="false"/>
          <w:i w:val="false"/>
          <w:iCs w:val="false"/>
          <w:color w:val="000000"/>
        </w:rPr>
        <w:t xml:space="preserve">Connecting every artifact to research questions, chapter claims, and reproducible dashboards.</w:t>
      </w:r>
    </w:p>
    <w:p>
      <w:pPr>
        <w:pStyle w:val="Heading2"/>
      </w:pPr>
      <w:r>
        <w:rPr>
          <w:b w:val="false"/>
          <w:bCs w:val="false"/>
          <w:i w:val="false"/>
          <w:iCs w:val="false"/>
          <w:color w:val="000000"/>
        </w:rPr>
        <w:t xml:space="preserve">1.3 Research Questions</w:t>
      </w:r>
    </w:p>
    <w:p>
      <w:r>
        <w:rPr>
          <w:b/>
          <w:bCs/>
          <w:i w:val="false"/>
          <w:iCs w:val="false"/>
          <w:color w:val="000000"/>
        </w:rPr>
        <w:t xml:space="preserve">RQ1. PDF-to-structured ESG transformation</w:t>
      </w:r>
      <w:r>
        <w:br/>
      </w:r>
      <w:r>
        <w:rPr>
          <w:b w:val="false"/>
          <w:bCs w:val="false"/>
          <w:i w:val="false"/>
          <w:iCs w:val="false"/>
          <w:color w:val="000000"/>
        </w:rPr>
        <w:t xml:space="preserve">How can sustainability-report PDFs be transformed into structured ESG evidence records while preserving provenance?</w:t>
      </w:r>
    </w:p>
    <w:p>
      <w:r>
        <w:rPr>
          <w:b/>
          <w:bCs/>
          <w:i w:val="false"/>
          <w:iCs w:val="false"/>
          <w:color w:val="000000"/>
        </w:rPr>
        <w:t xml:space="preserve">RQ2. ESG ABSA schema</w:t>
      </w:r>
      <w:r>
        <w:br/>
      </w:r>
      <w:r>
        <w:rPr>
          <w:b w:val="false"/>
          <w:bCs w:val="false"/>
          <w:i w:val="false"/>
          <w:iCs w:val="false"/>
          <w:color w:val="000000"/>
        </w:rPr>
        <w:t xml:space="preserve">How can ESG disclosures be represented using aspect, ESG pillar, sentiment, and tone labels at the record level?</w:t>
      </w:r>
    </w:p>
    <w:p>
      <w:r>
        <w:rPr>
          <w:b/>
          <w:bCs/>
          <w:i w:val="false"/>
          <w:iCs w:val="false"/>
          <w:color w:val="000000"/>
        </w:rPr>
        <w:t xml:space="preserve">RQ3. Tone versus ClimateBERT</w:t>
      </w:r>
      <w:r>
        <w:br/>
      </w:r>
      <w:commentRangeStart w:id="4"/>
      <w:r>
        <w:rPr>
          <w:b w:val="false"/>
          <w:bCs w:val="false"/>
          <w:i w:val="false"/>
          <w:iCs w:val="false"/>
          <w:color w:val="000000"/>
        </w:rPr>
        <w:t xml:space="preserve">How do ESG tone labels compare with ClimateBERT-style climate labels, and what does this reveal about construct validity?</w:t>
      </w:r>
      <w:commentRangeEnd w:id="4"/>
      <w:commentReference w:id="4"/>
    </w:p>
    <w:p>
      <w:r>
        <w:rPr>
          <w:b/>
          <w:bCs/>
          <w:i w:val="false"/>
          <w:iCs w:val="false"/>
          <w:color w:val="000000"/>
        </w:rPr>
        <w:t xml:space="preserve">RQ4. Diagnostics and ontology gaps</w:t>
      </w:r>
      <w:r>
        <w:br/>
      </w:r>
      <w:commentRangeStart w:id="5"/>
      <w:r>
        <w:rPr>
          <w:b w:val="false"/>
          <w:bCs w:val="false"/>
          <w:i w:val="false"/>
          <w:iCs w:val="false"/>
          <w:color w:val="000000"/>
        </w:rPr>
        <w:t xml:space="preserve">What failure modes, schema-drift patterns, OCR issues, and unmapped aspects appear in the extraction pipeline?</w:t>
      </w:r>
      <w:commentRangeEnd w:id="5"/>
      <w:commentReference w:id="5"/>
    </w:p>
    <w:p>
      <w:r>
        <w:rPr>
          <w:b/>
          <w:bCs/>
          <w:i w:val="false"/>
          <w:iCs w:val="false"/>
          <w:color w:val="000000"/>
        </w:rPr>
        <w:t xml:space="preserve">RQ5. Reproducibility and artifact lineage</w:t>
      </w:r>
      <w:r>
        <w:br/>
      </w:r>
      <w:commentRangeStart w:id="6"/>
      <w:r>
        <w:rPr>
          <w:b w:val="false"/>
          <w:bCs w:val="false"/>
          <w:i w:val="false"/>
          <w:iCs w:val="false"/>
          <w:color w:val="000000"/>
        </w:rPr>
        <w:t xml:space="preserve">How can LLM-based ESG extraction be made reproducible through job configs, logs, output files, dashboards, and graph exports?</w:t>
      </w:r>
      <w:commentRangeEnd w:id="6"/>
      <w:commentReference w:id="6"/>
    </w:p>
    <w:p>
      <w:r>
        <w:rPr>
          <w:b/>
          <w:bCs/>
          <w:i w:val="false"/>
          <w:iCs w:val="false"/>
          <w:color w:val="000000"/>
        </w:rPr>
        <w:t xml:space="preserve">RQ6. Model and prompt stability</w:t>
      </w:r>
      <w:r>
        <w:br/>
      </w:r>
      <w:r>
        <w:rPr>
          <w:b w:val="false"/>
          <w:bCs w:val="false"/>
          <w:i w:val="false"/>
          <w:iCs w:val="false"/>
          <w:color w:val="000000"/>
        </w:rPr>
        <w:t xml:space="preserve">How stable are the ESG extraction outputs across prompts, models, and providers?</w:t>
      </w:r>
    </w:p>
    <w:p>
      <w:pPr>
        <w:pStyle w:val="Heading2"/>
      </w:pPr>
      <w:r>
        <w:rPr>
          <w:b w:val="false"/>
          <w:bCs w:val="false"/>
          <w:i w:val="false"/>
          <w:iCs w:val="false"/>
          <w:color w:val="000000"/>
        </w:rPr>
        <w:t xml:space="preserve">1.4 Objectives and Contributions</w:t>
      </w:r>
    </w:p>
    <w:p>
      <w:r>
        <w:rPr>
          <w:b w:val="false"/>
          <w:bCs w:val="false"/>
          <w:i w:val="false"/>
          <w:iCs w:val="false"/>
          <w:color w:val="000000"/>
        </w:rPr>
        <w:t xml:space="preserve">The thesis has six objectives:</w:t>
      </w:r>
    </w:p>
    <w:p>
      <w:pPr>
        <w:pStyle w:val="ListParagraph"/>
        <w:numPr>
          <w:ilvl w:val="0"/>
          <w:numId w:val="4"/>
        </w:numPr>
      </w:pPr>
      <w:r>
        <w:rPr>
          <w:b w:val="false"/>
          <w:bCs w:val="false"/>
          <w:i w:val="false"/>
          <w:iCs w:val="false"/>
          <w:color w:val="000000"/>
        </w:rPr>
        <w:t xml:space="preserve">Build a reproducible OCR-to-ESG extraction pipeline.</w:t>
      </w:r>
    </w:p>
    <w:p>
      <w:pPr>
        <w:pStyle w:val="ListParagraph"/>
        <w:numPr>
          <w:ilvl w:val="0"/>
          <w:numId w:val="4"/>
        </w:numPr>
      </w:pPr>
      <w:r>
        <w:rPr>
          <w:b w:val="false"/>
          <w:bCs w:val="false"/>
          <w:i w:val="false"/>
          <w:iCs w:val="false"/>
          <w:color w:val="000000"/>
        </w:rPr>
        <w:t xml:space="preserve">Design a record-level ESG ABSA schema for sustainability disclosures.</w:t>
      </w:r>
    </w:p>
    <w:p>
      <w:pPr>
        <w:pStyle w:val="ListParagraph"/>
        <w:numPr>
          <w:ilvl w:val="0"/>
          <w:numId w:val="4"/>
        </w:numPr>
      </w:pPr>
      <w:r>
        <w:rPr>
          <w:b w:val="false"/>
          <w:bCs w:val="false"/>
          <w:i w:val="false"/>
          <w:iCs w:val="false"/>
          <w:color w:val="000000"/>
        </w:rPr>
        <w:t xml:space="preserve">Compare tone labels with ClimateBERT-style climate labels.</w:t>
      </w:r>
    </w:p>
    <w:p>
      <w:pPr>
        <w:pStyle w:val="ListParagraph"/>
        <w:numPr>
          <w:ilvl w:val="0"/>
          <w:numId w:val="4"/>
        </w:numPr>
      </w:pPr>
      <w:r>
        <w:rPr>
          <w:b w:val="false"/>
          <w:bCs w:val="false"/>
          <w:i w:val="false"/>
          <w:iCs w:val="false"/>
          <w:color w:val="000000"/>
        </w:rPr>
        <w:t xml:space="preserve">Create diagnostics for parsing failures, schema drift, OCR loss, and missing labels.</w:t>
      </w:r>
    </w:p>
    <w:p>
      <w:pPr>
        <w:pStyle w:val="ListParagraph"/>
        <w:numPr>
          <w:ilvl w:val="0"/>
          <w:numId w:val="4"/>
        </w:numPr>
      </w:pPr>
      <w:r>
        <w:rPr>
          <w:b w:val="false"/>
          <w:bCs w:val="false"/>
          <w:i w:val="false"/>
          <w:iCs w:val="false"/>
          <w:color w:val="000000"/>
        </w:rPr>
        <w:t xml:space="preserve">Map aspects to ESG ontology paths and identify Indonesian ESG vocabulary extensions.</w:t>
      </w:r>
    </w:p>
    <w:p>
      <w:pPr>
        <w:pStyle w:val="ListParagraph"/>
        <w:numPr>
          <w:ilvl w:val="0"/>
          <w:numId w:val="4"/>
        </w:numPr>
      </w:pPr>
      <w:r>
        <w:rPr>
          <w:b w:val="false"/>
          <w:bCs w:val="false"/>
          <w:i w:val="false"/>
          <w:iCs w:val="false"/>
          <w:color w:val="000000"/>
        </w:rPr>
        <w:t xml:space="preserve">Provide Streamlit dashboards and semantic exports for thesis evidence, RDF, OWL, and Neo4j.</w:t>
      </w:r>
    </w:p>
    <w:p>
      <w:r>
        <w:rPr>
          <w:b w:val="false"/>
          <w:bCs w:val="false"/>
          <w:i w:val="false"/>
          <w:iCs w:val="false"/>
          <w:color w:val="000000"/>
        </w:rPr>
        <w:t xml:space="preserve">The expected contributions are:</w:t>
      </w:r>
    </w:p>
    <w:p>
      <w:pPr>
        <w:pStyle w:val="ListParagraph"/>
        <w:numPr>
          <w:ilvl w:val="0"/>
          <w:numId w:val="1"/>
        </w:numPr>
      </w:pPr>
      <w:r>
        <w:rPr>
          <w:b w:val="false"/>
          <w:bCs w:val="false"/>
          <w:i w:val="false"/>
          <w:iCs w:val="false"/>
          <w:color w:val="000000"/>
        </w:rPr>
        <w:t xml:space="preserve">An executable ESG ABSA pipeline for sustainability reports.</w:t>
      </w:r>
    </w:p>
    <w:p>
      <w:pPr>
        <w:pStyle w:val="ListParagraph"/>
        <w:numPr>
          <w:ilvl w:val="0"/>
          <w:numId w:val="1"/>
        </w:numPr>
      </w:pPr>
      <w:r>
        <w:rPr>
          <w:b w:val="false"/>
          <w:bCs w:val="false"/>
          <w:i w:val="false"/>
          <w:iCs w:val="false"/>
          <w:color w:val="000000"/>
        </w:rPr>
        <w:t xml:space="preserve">A bilingual and record-level ESG annotation schema.</w:t>
      </w:r>
    </w:p>
    <w:p>
      <w:pPr>
        <w:pStyle w:val="ListParagraph"/>
        <w:numPr>
          <w:ilvl w:val="0"/>
          <w:numId w:val="1"/>
        </w:numPr>
      </w:pPr>
      <w:r>
        <w:rPr>
          <w:b w:val="false"/>
          <w:bCs w:val="false"/>
          <w:i w:val="false"/>
          <w:iCs w:val="false"/>
          <w:color w:val="000000"/>
        </w:rPr>
        <w:t xml:space="preserve">A thesis evidence layer linking raw reports, LLM outputs, validation tables, graphs, and chapter claims.</w:t>
      </w:r>
    </w:p>
    <w:p>
      <w:pPr>
        <w:pStyle w:val="ListParagraph"/>
        <w:numPr>
          <w:ilvl w:val="0"/>
          <w:numId w:val="1"/>
        </w:numPr>
      </w:pPr>
      <w:r>
        <w:rPr>
          <w:b w:val="false"/>
          <w:bCs w:val="false"/>
          <w:i w:val="false"/>
          <w:iCs w:val="false"/>
          <w:color w:val="000000"/>
        </w:rPr>
        <w:t xml:space="preserve">A reproducibility workflow for LLM prompt/model comparison.</w:t>
      </w:r>
    </w:p>
    <w:p>
      <w:pPr>
        <w:pStyle w:val="ListParagraph"/>
        <w:numPr>
          <w:ilvl w:val="0"/>
          <w:numId w:val="1"/>
        </w:numPr>
      </w:pPr>
      <w:r>
        <w:rPr>
          <w:b w:val="false"/>
          <w:bCs w:val="false"/>
          <w:i w:val="false"/>
          <w:iCs w:val="false"/>
          <w:color w:val="000000"/>
        </w:rPr>
        <w:t xml:space="preserve">A semantic graph export path for ESG evidence and ontology extension.</w:t>
      </w:r>
    </w:p>
    <w:p>
      <w:pPr>
        <w:pStyle w:val="ListParagraph"/>
        <w:numPr>
          <w:ilvl w:val="0"/>
          <w:numId w:val="1"/>
        </w:numPr>
      </w:pPr>
      <w:r>
        <w:rPr>
          <w:b w:val="false"/>
          <w:bCs w:val="false"/>
          <w:i w:val="false"/>
          <w:iCs w:val="false"/>
          <w:color w:val="000000"/>
        </w:rPr>
        <w:t xml:space="preserve">A discussion of why ESG disclosure tone and climate commitment labels are related but not interchangeable.</w:t>
      </w:r>
    </w:p>
    <w:p>
      <w:pPr>
        <w:pStyle w:val="Heading2"/>
      </w:pPr>
      <w:r>
        <w:rPr>
          <w:b w:val="false"/>
          <w:bCs w:val="false"/>
          <w:i w:val="false"/>
          <w:iCs w:val="false"/>
          <w:color w:val="000000"/>
        </w:rPr>
        <w:t xml:space="preserve">1.5 Thesis Structure</w:t>
      </w:r>
    </w:p>
    <w:p>
      <w:r>
        <w:rPr>
          <w:b w:val="false"/>
          <w:bCs w:val="false"/>
          <w:i w:val="false"/>
          <w:iCs w:val="false"/>
          <w:color w:val="000000"/>
        </w:rPr>
        <w:t xml:space="preserve">Chapter 1 introduces the motivation, problem statement, research questions, objectives, and contributions. Chapter 2 reviews ABSA, ESG NLP, ClimateBERT, LLM extraction, agreement metrics, and ontology-based ESG representation. Chapter 3 explains the methodology, including OCR, LLM extraction, ABSA labeling, ClimateBERT comparison, ontology mapping, and dashboard integration. Chapter 4 presents implementation results and live artifact summaries. Chapter 5 discusses interpretation, limitations, construct validity, and Indonesian ESG vocabulary extension. Chapter 6 concludes the thesis and proposes future research directions.</w:t>
      </w:r>
    </w:p>
    <w:p>
      <w:pPr>
        <w:pStyle w:val="Heading2"/>
      </w:pPr>
      <w:r>
        <w:rPr>
          <w:b w:val="false"/>
          <w:bCs w:val="false"/>
          <w:i w:val="false"/>
          <w:iCs w:val="false"/>
          <w:color w:val="000000"/>
        </w:rPr>
        <w:t xml:space="preserve">1.6 Author Contribution and Use of AI</w:t>
      </w:r>
    </w:p>
    <w:p>
      <w:r>
        <w:rPr>
          <w:b w:val="false"/>
          <w:bCs w:val="false"/>
          <w:i w:val="false"/>
          <w:iCs w:val="false"/>
          <w:color w:val="000000"/>
        </w:rPr>
        <w:t xml:space="preserve">The system uses LLMs as computational tools for extraction, prompting, summarization, code assistance, and dashboard generation. The author remains responsible for research design, annotation decisions, validation interpretation, thesis claims, and final academic judgment. AI-generated outputs are treated as artifacts that require inspection, source verification, and human review.</w:t>
      </w:r>
    </w:p>
    <w:p>
      <w:pPr>
        <w:pStyle w:val="Heading1"/>
      </w:pPr>
      <w:r>
        <w:rPr>
          <w:b w:val="false"/>
          <w:bCs w:val="false"/>
          <w:i w:val="false"/>
          <w:iCs w:val="false"/>
          <w:color w:val="000000"/>
        </w:rPr>
        <w:t xml:space="preserve">2. Related Work</w:t>
      </w:r>
    </w:p>
    <w:p>
      <w:pPr>
        <w:pStyle w:val="Heading2"/>
      </w:pPr>
      <w:r>
        <w:rPr>
          <w:b w:val="false"/>
          <w:bCs w:val="false"/>
          <w:i w:val="false"/>
          <w:iCs w:val="false"/>
          <w:color w:val="000000"/>
        </w:rPr>
        <w:t xml:space="preserve">2.1  Aspect-Based Sentiment Analysis</w:t>
      </w:r>
    </w:p>
    <w:p>
      <w:pPr>
        <w:pStyle w:val="Heading3"/>
      </w:pPr>
      <w:r>
        <w:rPr>
          <w:b w:val="false"/>
          <w:bCs w:val="false"/>
          <w:i/>
          <w:iCs/>
          <w:color w:val="000000"/>
        </w:rPr>
        <w:t xml:space="preserve">2.1.1  Definition and Task Formulation</w:t>
      </w:r>
    </w:p>
    <w:p>
      <w:r>
        <w:rPr>
          <w:b w:val="false"/>
          <w:bCs w:val="false"/>
          <w:i w:val="false"/>
          <w:iCs w:val="false"/>
          <w:color w:val="000000"/>
        </w:rPr>
        <w:t xml:space="preserve">Aspect-Based Sentiment Analysis (ABSA) is a fine-grained branch of opinion mining that decomposes a textual source into opinion targets and their associated sentiment polarities. Unlike document-level or sentence-level sentiment analysis, which assign a single polarity score to an entire text, ABSA recognizes that a single passage may simultaneously convey positive evaluations toward one aspect and negative evaluations toward another</w:t>
      </w:r>
      <w:sdt>
        <w:sdtPr>
          <w:tag w:val="CITATION BrauwersG21"/>
          <w:id w:val="412137007"/>
          <w:citation/>
        </w:sdtPr>
        <w:sdtContent>
          <w:r>
            <w:fldChar w:fldCharType="begin"/>
          </w:r>
          <w:r>
            <w:instrText xml:space="preserve"> CITATION BrauwersG21 \p 3 \l 1033 </w:instrText>
          </w:r>
          <w:r>
            <w:fldChar w:fldCharType="separate"/>
          </w:r>
          <w:r>
            <w:rPr>
              <w:noProof/>
            </w:rPr>
            <w:t xml:space="preserve">(Brauwers &amp; Frăsincar, 2021)</w:t>
          </w:r>
          <w:r>
            <w:fldChar w:fldCharType="end"/>
          </w:r>
        </w:sdtContent>
      </w:sdt>
      <w:r>
        <w:rPr>
          <w:b w:val="false"/>
          <w:bCs w:val="false"/>
          <w:i w:val="false"/>
          <w:iCs w:val="false"/>
          <w:color w:val="000000"/>
        </w:rPr>
        <w:t xml:space="preserve"> . A comprehensive survey by </w:t>
      </w:r>
      <w:sdt>
        <w:sdtPr>
          <w:tag w:val="CITATION ZhangW22"/>
          <w:id w:val="2013078391"/>
          <w:citation/>
        </w:sdtPr>
        <w:sdtContent>
          <w:r>
            <w:fldChar w:fldCharType="begin"/>
          </w:r>
          <w:r>
            <w:instrText xml:space="preserve"> CITATION ZhangW22 \p 11019 \l 1033 </w:instrText>
          </w:r>
          <w:r>
            <w:fldChar w:fldCharType="separate"/>
          </w:r>
          <w:r>
            <w:rPr>
              <w:noProof/>
            </w:rPr>
            <w:t xml:space="preserve">(Zhang et al., 2022)</w:t>
          </w:r>
          <w:r>
            <w:fldChar w:fldCharType="end"/>
          </w:r>
        </w:sdtContent>
      </w:sdt>
      <w:r>
        <w:rPr>
          <w:b w:val="false"/>
          <w:bCs w:val="false"/>
          <w:i w:val="false"/>
          <w:iCs w:val="false"/>
          <w:color w:val="000000"/>
        </w:rPr>
        <w:t xml:space="preserve"> frames ABSA as a family of interrelated subtasks: </w:t>
      </w:r>
      <w:r>
        <w:rPr>
          <w:b w:val="false"/>
          <w:bCs w:val="false"/>
          <w:i/>
          <w:iCs/>
          <w:color w:val="000000"/>
        </w:rPr>
        <w:t xml:space="preserve">aspect term extraction</w:t>
      </w:r>
      <w:r>
        <w:rPr>
          <w:b w:val="false"/>
          <w:bCs w:val="false"/>
          <w:i w:val="false"/>
          <w:iCs w:val="false"/>
          <w:color w:val="000000"/>
        </w:rPr>
        <w:t xml:space="preserve"> (ATE), which identifies the specific textual span describing the opinion target; </w:t>
      </w:r>
      <w:r>
        <w:rPr>
          <w:b w:val="false"/>
          <w:bCs w:val="false"/>
          <w:i/>
          <w:iCs/>
          <w:color w:val="000000"/>
        </w:rPr>
        <w:t xml:space="preserve">aspect category detection</w:t>
      </w:r>
      <w:r>
        <w:rPr>
          <w:b w:val="false"/>
          <w:bCs w:val="false"/>
          <w:i w:val="false"/>
          <w:iCs w:val="false"/>
          <w:color w:val="000000"/>
        </w:rPr>
        <w:t xml:space="preserve"> (ACD), which assigns the span to a predefined category (e.g., </w:t>
      </w:r>
      <w:r>
        <w:rPr>
          <w:b w:val="false"/>
          <w:bCs w:val="false"/>
          <w:i/>
          <w:iCs/>
          <w:color w:val="000000"/>
        </w:rPr>
        <w:t xml:space="preserve">service quality</w:t>
      </w:r>
      <w:r>
        <w:rPr>
          <w:b w:val="false"/>
          <w:bCs w:val="false"/>
          <w:i w:val="false"/>
          <w:iCs w:val="false"/>
          <w:color w:val="000000"/>
        </w:rPr>
        <w:t xml:space="preserve">, </w:t>
      </w:r>
      <w:r>
        <w:rPr>
          <w:b w:val="false"/>
          <w:bCs w:val="false"/>
          <w:i/>
          <w:iCs/>
          <w:color w:val="000000"/>
        </w:rPr>
        <w:t xml:space="preserve">environmental commitment</w:t>
      </w:r>
      <w:r>
        <w:rPr>
          <w:b w:val="false"/>
          <w:bCs w:val="false"/>
          <w:i w:val="false"/>
          <w:iCs w:val="false"/>
          <w:color w:val="000000"/>
        </w:rPr>
        <w:t xml:space="preserve">); </w:t>
      </w:r>
      <w:r>
        <w:rPr>
          <w:b w:val="false"/>
          <w:bCs w:val="false"/>
          <w:i/>
          <w:iCs/>
          <w:color w:val="000000"/>
        </w:rPr>
        <w:t xml:space="preserve">opinion term extraction</w:t>
      </w:r>
      <w:r>
        <w:rPr>
          <w:b w:val="false"/>
          <w:bCs w:val="false"/>
          <w:i w:val="false"/>
          <w:iCs w:val="false"/>
          <w:color w:val="000000"/>
        </w:rPr>
        <w:t xml:space="preserve"> (OTE), which locates the evaluative expression; and </w:t>
      </w:r>
      <w:r>
        <w:rPr>
          <w:b w:val="false"/>
          <w:bCs w:val="false"/>
          <w:i/>
          <w:iCs/>
          <w:color w:val="000000"/>
        </w:rPr>
        <w:t xml:space="preserve">sentiment classification</w:t>
      </w:r>
      <w:r>
        <w:rPr>
          <w:b w:val="false"/>
          <w:bCs w:val="false"/>
          <w:i w:val="false"/>
          <w:iCs w:val="false"/>
          <w:color w:val="000000"/>
        </w:rPr>
        <w:t xml:space="preserve"> (SC), which assigns a polarity label (positive, negative, or neutral). More recent formulations unify these into </w:t>
      </w:r>
      <w:r>
        <w:rPr>
          <w:b w:val="false"/>
          <w:bCs w:val="false"/>
          <w:i/>
          <w:iCs/>
          <w:color w:val="000000"/>
        </w:rPr>
        <w:t xml:space="preserve">Aspect Sentiment Quad Prediction</w:t>
      </w:r>
      <w:r>
        <w:rPr>
          <w:b w:val="false"/>
          <w:bCs w:val="false"/>
          <w:i w:val="false"/>
          <w:iCs w:val="false"/>
          <w:color w:val="000000"/>
        </w:rPr>
        <w:t xml:space="preserve"> (ASQP), which extracts four-tuples of (aspect category, aspect term, opinion term, sentiment polarity) in a single pass </w:t>
      </w:r>
      <w:sdt>
        <w:sdtPr>
          <w:tag w:val="CITATION ZhangW21"/>
          <w:id w:val="1735117583"/>
          <w:citation/>
        </w:sdtPr>
        <w:sdtContent>
          <w:r>
            <w:fldChar w:fldCharType="begin"/>
          </w:r>
          <w:r>
            <w:instrText xml:space="preserve"> CITATION ZhangW21 \p 1 \l 1033 </w:instrText>
          </w:r>
          <w:r>
            <w:fldChar w:fldCharType="separate"/>
          </w:r>
          <w:r>
            <w:rPr>
              <w:noProof/>
            </w:rPr>
            <w:t xml:space="preserve">(Zhang et al., 2021)</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necessity of Aspect-Based Sentiment Analysis (ABSA) in the domain of sustainability reporting is pronounced</w:t>
      </w:r>
      <w:sdt>
        <w:sdtPr>
          <w:tag w:val="CITATION BalajiK24"/>
          <w:id w:val="1182582765"/>
          <w:citation/>
        </w:sdtPr>
        <w:sdtContent>
          <w:r>
            <w:fldChar w:fldCharType="begin"/>
          </w:r>
          <w:r>
            <w:instrText xml:space="preserve"> CITATION BalajiK24 \m KangH22 \l 1033 </w:instrText>
          </w:r>
          <w:r>
            <w:fldChar w:fldCharType="separate"/>
          </w:r>
          <w:r>
            <w:rPr>
              <w:noProof/>
            </w:rPr>
            <w:t xml:space="preserve">(Balaji, 2024; Kang &amp; Kim, 2022)</w:t>
          </w:r>
          <w:r>
            <w:fldChar w:fldCharType="end"/>
          </w:r>
        </w:sdtContent>
      </w:sdt>
      <w:r>
        <w:rPr>
          <w:b w:val="false"/>
          <w:bCs w:val="false"/>
          <w:i w:val="false"/>
          <w:iCs w:val="false"/>
          <w:color w:val="000000"/>
        </w:rPr>
        <w:t xml:space="preserve">. </w:t>
      </w:r>
      <w:commentRangeStart w:id="10"/>
      <w:r>
        <w:rPr>
          <w:b w:val="false"/>
          <w:bCs w:val="false"/>
          <w:i w:val="false"/>
          <w:iCs w:val="false"/>
          <w:color w:val="000000"/>
        </w:rPr>
        <w:t xml:space="preserve">Sustainability disclosures are inherently complex, often containing a mixture of conflicting tonal registers: positive commitments to renewable energy, neutral governance compliance, and negative risk disclosures regarding unmet emissions targets</w:t>
      </w:r>
      <w:sdt>
        <w:sdtPr>
          <w:tag w:val="CITATION VilliersC14"/>
          <w:id w:val="734626134"/>
          <w:citation/>
        </w:sdtPr>
        <w:sdtContent>
          <w:r>
            <w:fldChar w:fldCharType="begin"/>
          </w:r>
          <w:r>
            <w:instrText xml:space="preserve"> CITATION VilliersC14 \m OngK24 \p 64 \l 1033 </w:instrText>
          </w:r>
          <w:r>
            <w:fldChar w:fldCharType="separate"/>
          </w:r>
          <w:r>
            <w:rPr>
              <w:noProof/>
            </w:rPr>
            <w:t xml:space="preserve">(Ong et al., 2024; Villiers et al., 2014)</w:t>
          </w:r>
          <w:r>
            <w:fldChar w:fldCharType="end"/>
          </w:r>
        </w:sdtContent>
      </w:sdt>
      <w:r>
        <w:rPr>
          <w:b w:val="false"/>
          <w:bCs w:val="false"/>
          <w:i w:val="false"/>
          <w:iCs w:val="false"/>
          <w:color w:val="000000"/>
        </w:rPr>
        <w:t xml:space="preserve">.</w:t>
      </w:r>
      <w:commentRangeEnd w:id="10"/>
      <w:commentReference w:id="10"/>
      <w:r>
        <w:rPr>
          <w:b w:val="false"/>
          <w:bCs w:val="false"/>
          <w:i w:val="false"/>
          <w:iCs w:val="false"/>
          <w:color w:val="000000"/>
        </w:rPr>
        <w:t xml:space="preserve"> Reliance on document-level sentiment scoring is fundamentally reductive, as it collapses these distinct dimensions into a singular value—effectively masking the nuanced contradictions and hedged language that often characterize greenwashing </w:t>
      </w:r>
      <w:sdt>
        <w:sdtPr>
          <w:tag w:val="CITATION OngK24"/>
          <w:id w:val="355801056"/>
          <w:citation/>
        </w:sdtPr>
        <w:sdtContent>
          <w:r>
            <w:fldChar w:fldCharType="begin"/>
          </w:r>
          <w:r>
            <w:instrText xml:space="preserve"> CITATION OngK24 \p 102731 \l 1033 </w:instrText>
          </w:r>
          <w:r>
            <w:fldChar w:fldCharType="separate"/>
          </w:r>
          <w:r>
            <w:rPr>
              <w:noProof/>
            </w:rPr>
            <w:t xml:space="preserve">(Ong et al., 2024)</w:t>
          </w:r>
          <w:r>
            <w:fldChar w:fldCharType="end"/>
          </w:r>
        </w:sdtContent>
      </w:sdt>
      <w:r>
        <w:rPr>
          <w:b w:val="false"/>
          <w:bCs w:val="false"/>
          <w:i w:val="false"/>
          <w:iCs w:val="false"/>
          <w:color w:val="000000"/>
        </w:rPr>
        <w:t xml:space="preserve">. By tethering sentiment to specific aspect anchors—such as environmental initiatives or social governance metrics—ABSA facilitates a more granular, diagnostic approach that allows for the isolation of deceptive or overly optimistic rhetoric within otherwise standardized reporting frameworks </w:t>
      </w:r>
      <w:sdt>
        <w:sdtPr>
          <w:tag w:val="CITATION OngK253"/>
          <w:id w:val="1806880259"/>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Heading3"/>
      </w:pPr>
      <w:r>
        <w:rPr>
          <w:b w:val="false"/>
          <w:bCs w:val="false"/>
          <w:i/>
          <w:iCs/>
          <w:color w:val="000000"/>
        </w:rPr>
        <w:t xml:space="preserve">2.1.2  Benchmark Datasets</w:t>
      </w:r>
    </w:p>
    <w:p>
      <w:commentRangeStart w:id="11"/>
      <w:r>
        <w:rPr>
          <w:b w:val="false"/>
          <w:bCs w:val="false"/>
          <w:i w:val="false"/>
          <w:iCs w:val="false"/>
          <w:color w:val="000000"/>
        </w:rPr>
        <w:t xml:space="preserve">The dominant benchmark family in ABSA research is the SemEval shared-task series</w:t>
      </w:r>
      <w:commentRangeEnd w:id="11"/>
      <w:commentReference w:id="11"/>
      <w:sdt>
        <w:sdtPr>
          <w:tag w:val="CITATION ZhangW22"/>
          <w:id w:val="2126480459"/>
          <w:citation/>
        </w:sdtPr>
        <w:sdtContent>
          <w:r>
            <w:fldChar w:fldCharType="begin"/>
          </w:r>
          <w:r>
            <w:instrText xml:space="preserve"> CITATION ZhangW22 \p 11023 \l 1033 </w:instrText>
          </w:r>
          <w:r>
            <w:fldChar w:fldCharType="separate"/>
          </w:r>
          <w:r>
            <w:rPr>
              <w:noProof/>
            </w:rPr>
            <w:t xml:space="preserve">(Zhang et al., 2022)</w:t>
          </w:r>
          <w:r>
            <w:fldChar w:fldCharType="end"/>
          </w:r>
        </w:sdtContent>
      </w:sdt>
      <w:r>
        <w:rPr>
          <w:b w:val="false"/>
          <w:bCs w:val="false"/>
          <w:i w:val="false"/>
          <w:iCs w:val="false"/>
          <w:color w:val="000000"/>
        </w:rPr>
        <w:t xml:space="preserve">. SemEval-2014 Task 4 </w:t>
      </w:r>
      <w:sdt>
        <w:sdtPr>
          <w:tag w:val="CITATION PontikiM14"/>
          <w:id w:val="57727008"/>
          <w:citation/>
        </w:sdtPr>
        <w:sdtContent>
          <w:r>
            <w:fldChar w:fldCharType="begin"/>
          </w:r>
          <w:r>
            <w:instrText xml:space="preserve"> CITATION PontikiM14 \l 1033 </w:instrText>
          </w:r>
          <w:r>
            <w:fldChar w:fldCharType="separate"/>
          </w:r>
          <w:r>
            <w:rPr>
              <w:noProof/>
            </w:rPr>
            <w:t xml:space="preserve">(Pontiki et al., 2014)</w:t>
          </w:r>
          <w:r>
            <w:fldChar w:fldCharType="end"/>
          </w:r>
        </w:sdtContent>
      </w:sdt>
      <w:r>
        <w:rPr>
          <w:b w:val="false"/>
          <w:bCs w:val="false"/>
          <w:i w:val="false"/>
          <w:iCs w:val="false"/>
          <w:color w:val="000000"/>
        </w:rPr>
        <w:t xml:space="preserve"> introduced the first widely-used ABSA corpora, covering laptop and restaurant reviews. Subsequent iterations extended coverage to hotels, cameras, and mobile phones, and added multilingual tracks for Arabic, Russian, Chinese, French, Dutch, Spanish, and Turkish</w:t>
      </w:r>
      <w:sdt>
        <w:sdtPr>
          <w:tag w:val="CITATION PontikiM16"/>
          <w:id w:val="797361320"/>
          <w:citation/>
        </w:sdtPr>
        <w:sdtContent>
          <w:r>
            <w:fldChar w:fldCharType="begin"/>
          </w:r>
          <w:r>
            <w:instrText xml:space="preserve"> CITATION PontikiM16 \p 3 \l 1033 </w:instrText>
          </w:r>
          <w:r>
            <w:fldChar w:fldCharType="separate"/>
          </w:r>
          <w:r>
            <w:rPr>
              <w:noProof/>
            </w:rPr>
            <w:t xml:space="preserve">(Pontiki et al., 2016)</w:t>
          </w:r>
          <w:r>
            <w:fldChar w:fldCharType="end"/>
          </w:r>
        </w:sdtContent>
      </w:sdt>
      <w:r>
        <w:rPr>
          <w:b w:val="false"/>
          <w:bCs w:val="false"/>
          <w:i w:val="false"/>
          <w:iCs w:val="false"/>
          <w:color w:val="000000"/>
        </w:rPr>
        <w:t xml:space="preserve">. These datasets independently measure aspect term extraction, aspect category detection, and sentiment polarity, providing a modular evaluation harness that has anchored the field for over a decade</w:t>
      </w:r>
      <w:sdt>
        <w:sdtPr>
          <w:tag w:val="CITATION ZhangW22"/>
          <w:id w:val="2132376984"/>
          <w:citation/>
        </w:sdtPr>
        <w:sdtContent>
          <w:r>
            <w:fldChar w:fldCharType="begin"/>
          </w:r>
          <w:r>
            <w:instrText xml:space="preserve"> CITATION ZhangW22 \p 11023 \l 1033 </w:instrText>
          </w:r>
          <w:r>
            <w:fldChar w:fldCharType="separate"/>
          </w:r>
          <w:r>
            <w:rPr>
              <w:noProof/>
            </w:rPr>
            <w:t xml:space="preserve">(Zhang et al., 2022)</w:t>
          </w:r>
          <w:r>
            <w:fldChar w:fldCharType="end"/>
          </w:r>
        </w:sdtContent>
      </w:sdt>
    </w:p>
    <w:p>
      <w:r>
        <w:rPr>
          <w:b w:val="false"/>
          <w:bCs w:val="false"/>
          <w:i w:val="false"/>
          <w:iCs w:val="false"/>
          <w:color w:val="000000"/>
        </w:rPr>
        <w:t xml:space="preserve">A notable limitation of the SemEval benchmarks is their domain specificity: product reviews from consumer electronics and hospitality sectors dominate, and the sentiment vocabulary is largely lexically transparent</w:t>
      </w:r>
      <w:sdt>
        <w:sdtPr>
          <w:tag w:val="CITATION PanditT25"/>
          <w:id w:val="1789383125"/>
          <w:citation/>
        </w:sdtPr>
        <w:sdtContent>
          <w:r>
            <w:fldChar w:fldCharType="begin"/>
          </w:r>
          <w:r>
            <w:instrText xml:space="preserve"> CITATION PanditT25 \p 2 \l 1033 </w:instrText>
          </w:r>
          <w:r>
            <w:fldChar w:fldCharType="separate"/>
          </w:r>
          <w:r>
            <w:rPr>
              <w:noProof/>
            </w:rPr>
            <w:t xml:space="preserve">(Pandit et al., 2025)</w:t>
          </w:r>
          <w:r>
            <w:fldChar w:fldCharType="end"/>
          </w:r>
        </w:sdtContent>
      </w:sdt>
      <w:r>
        <w:rPr>
          <w:b w:val="false"/>
          <w:bCs w:val="false"/>
          <w:i w:val="false"/>
          <w:iCs w:val="false"/>
          <w:color w:val="000000"/>
        </w:rPr>
        <w:t xml:space="preserve">. Sustainability reports present a qualitatively different challenge: the language is technical, hedged, and often deliberately vague; the aspect ontology must be domain-constructed rather than pre-given; and the annotated gold standard must itself be created as part of the research</w:t>
      </w:r>
      <w:sdt>
        <w:sdtPr>
          <w:tag w:val="CITATION OngK253"/>
          <w:id w:val="1069863608"/>
          <w:citation/>
        </w:sdtPr>
        <w:sdtContent>
          <w:r>
            <w:fldChar w:fldCharType="begin"/>
          </w:r>
          <w:r>
            <w:instrText xml:space="preserve"> CITATION OngK253 \l 1033 </w:instrText>
          </w:r>
          <w:r>
            <w:fldChar w:fldCharType="separate"/>
          </w:r>
          <w:r>
            <w:rPr>
              <w:noProof/>
            </w:rPr>
            <w:t xml:space="preserve">(Ong et al., 2025)</w:t>
          </w:r>
          <w:r>
            <w:fldChar w:fldCharType="end"/>
          </w:r>
        </w:sdtContent>
      </w:sdt>
      <w:r>
        <w:rPr>
          <w:b w:val="false"/>
          <w:bCs w:val="false"/>
          <w:i w:val="false"/>
          <w:iCs w:val="false"/>
          <w:color w:val="000000"/>
        </w:rPr>
        <w:t xml:space="preserve"> </w:t>
      </w:r>
      <w:commentRangeStart w:id="12"/>
      <w:r>
        <w:rPr>
          <w:b w:val="false"/>
          <w:bCs w:val="false"/>
          <w:i w:val="false"/>
          <w:iCs w:val="false"/>
          <w:color w:val="000000"/>
        </w:rPr>
        <w:t xml:space="preserve">This thesis therefore belongs to the growing tradition of </w:t>
      </w:r>
      <w:r>
        <w:rPr>
          <w:b w:val="false"/>
          <w:bCs w:val="false"/>
          <w:i/>
          <w:iCs/>
          <w:color w:val="000000"/>
        </w:rPr>
        <w:t xml:space="preserve">domain-adapted ABSA</w:t>
      </w:r>
      <w:r>
        <w:rPr>
          <w:b w:val="false"/>
          <w:bCs w:val="false"/>
          <w:i w:val="false"/>
          <w:iCs w:val="false"/>
          <w:color w:val="000000"/>
        </w:rPr>
        <w:t xml:space="preserve">, in which the benchmark is constructed for the target domain rather than borrowed from an existing shared task.</w:t>
      </w:r>
      <w:commentRangeEnd w:id="12"/>
      <w:commentReference w:id="12"/>
    </w:p>
    <w:p>
      <w:pPr>
        <w:pStyle w:val="Heading3"/>
      </w:pPr>
      <w:r>
        <w:rPr>
          <w:b w:val="false"/>
          <w:bCs w:val="false"/>
          <w:i/>
          <w:iCs/>
          <w:color w:val="000000"/>
        </w:rPr>
        <w:t xml:space="preserve">2.1.3  Modelling Approaches: From BERT to LLM-era ABSA</w:t>
      </w:r>
    </w:p>
    <w:p>
      <w:r>
        <w:rPr>
          <w:b w:val="false"/>
          <w:bCs w:val="false"/>
          <w:i w:val="false"/>
          <w:iCs w:val="false"/>
          <w:color w:val="000000"/>
        </w:rPr>
        <w:t xml:space="preserve">Historically, ABSA systems were constrained by rigid, feature-engineered pipelines that relied on disjoint dependency parsers and manually curated lexicons. This fragmented architecture frequently led to cascading error propagation, where inaccuracies in upstream tasks—such as aspect extraction—severely degraded downstream sentiment classification performance</w:t>
      </w:r>
      <w:sdt>
        <w:sdtPr>
          <w:tag w:val="CITATION ZhangW22"/>
          <w:id w:val="1083039534"/>
          <w:citation/>
        </w:sdtPr>
        <w:sdtContent>
          <w:r>
            <w:fldChar w:fldCharType="begin"/>
          </w:r>
          <w:r>
            <w:instrText xml:space="preserve"> CITATION ZhangW22 \p 11023 \l 1033 </w:instrText>
          </w:r>
          <w:r>
            <w:fldChar w:fldCharType="separate"/>
          </w:r>
          <w:r>
            <w:rPr>
              <w:noProof/>
            </w:rPr>
            <w:t xml:space="preserve">(Zhang et al., 2022)</w:t>
          </w:r>
          <w:r>
            <w:fldChar w:fldCharType="end"/>
          </w:r>
        </w:sdtContent>
      </w:sdt>
      <w:r>
        <w:rPr>
          <w:b w:val="false"/>
          <w:bCs w:val="false"/>
          <w:i w:val="false"/>
          <w:iCs w:val="false"/>
          <w:color w:val="000000"/>
        </w:rPr>
        <w:t xml:space="preserve">. The advent of BERT transformed this landscape by facilitating end-to-end fine-tuning, which replaced fragile manual feature engineering with robust, deep contextual embeddings</w:t>
      </w:r>
      <w:sdt>
        <w:sdtPr>
          <w:tag w:val="CITATION HuaY23"/>
          <w:id w:val="184471019"/>
          <w:citation/>
        </w:sdtPr>
        <w:sdtContent>
          <w:r>
            <w:fldChar w:fldCharType="begin"/>
          </w:r>
          <w:r>
            <w:instrText xml:space="preserve"> CITATION HuaY23 \p 16 \l 1033 </w:instrText>
          </w:r>
          <w:r>
            <w:fldChar w:fldCharType="separate"/>
          </w:r>
          <w:r>
            <w:rPr>
              <w:noProof/>
            </w:rPr>
            <w:t xml:space="preserve">(Hua et al., 2023)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This evolution toward integrated architectures continued with the reformulation of ABSA as a machine reading comprehension task; the "BERT-pair" approach, for instance, proved pivotal in capturing complex dependencies between aspect terms and sentiment polarities </w:t>
      </w:r>
      <w:sdt>
        <w:sdtPr>
          <w:tag w:val="CITATION YangS24"/>
          <w:id w:val="2084373359"/>
          <w:citation/>
        </w:sdtPr>
        <w:sdtContent>
          <w:r>
            <w:fldChar w:fldCharType="begin"/>
          </w:r>
          <w:r>
            <w:instrText xml:space="preserve"> CITATION YangS24 \p 3 \l 1033 </w:instrText>
          </w:r>
          <w:r>
            <w:fldChar w:fldCharType="separate"/>
          </w:r>
          <w:r>
            <w:rPr>
              <w:noProof/>
            </w:rPr>
            <w:t xml:space="preserve">(Yang &amp; Cho, 2024)</w:t>
          </w:r>
          <w:r>
            <w:fldChar w:fldCharType="end"/>
          </w:r>
        </w:sdtContent>
      </w:sdt>
      <w:r>
        <w:rPr>
          <w:b w:val="false"/>
          <w:bCs w:val="false"/>
          <w:i w:val="false"/>
          <w:iCs w:val="false"/>
          <w:color w:val="000000"/>
        </w:rPr>
        <w:t xml:space="preserve">. More recently, the emergence of Large Language Models has further shifted the paradigm from task-specific fine-tuning toward generative approaches that leverage vast pre-trained knowledge to perform complex reasoning over aspect-based elements</w:t>
      </w:r>
      <w:sdt>
        <w:sdtPr>
          <w:tag w:val="CITATION ZhangW24"/>
          <w:id w:val="314786492"/>
          <w:citation/>
        </w:sdtPr>
        <w:sdtContent>
          <w:r>
            <w:fldChar w:fldCharType="begin"/>
          </w:r>
          <w:r>
            <w:instrText xml:space="preserve"> CITATION ZhangW24 \p 4 \l 1033 </w:instrText>
          </w:r>
          <w:r>
            <w:fldChar w:fldCharType="separate"/>
          </w:r>
          <w:r>
            <w:rPr>
              <w:noProof/>
            </w:rPr>
            <w:t xml:space="preserve">(Zhang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More recently, the field has gravitated toward generative architectures; the Generative ABSA framework, pioneered by Zhang et al. </w:t>
      </w:r>
      <w:sdt>
        <w:sdtPr>
          <w:tag w:val="CITATION ZhangW21"/>
          <w:id w:val="1936485045"/>
          <w:citation/>
        </w:sdtPr>
        <w:sdtContent>
          <w:r>
            <w:fldChar w:fldCharType="begin"/>
          </w:r>
          <w:r>
            <w:instrText xml:space="preserve"> CITATION ZhangW21 \p 1 \l 1033 </w:instrText>
          </w:r>
          <w:r>
            <w:fldChar w:fldCharType="separate"/>
          </w:r>
          <w:r>
            <w:rPr>
              <w:noProof/>
            </w:rPr>
            <w:t xml:space="preserve">(Zhang et al., 2021)</w:t>
          </w:r>
          <w:r>
            <w:fldChar w:fldCharType="end"/>
          </w:r>
        </w:sdtContent>
      </w:sdt>
      <w:r>
        <w:rPr>
          <w:b w:val="false"/>
          <w:bCs w:val="false"/>
          <w:i w:val="false"/>
          <w:iCs w:val="false"/>
          <w:color w:val="000000"/>
        </w:rPr>
        <w:t xml:space="preserve">, represents a decisive evolution by recasting Aspect Sentiment Quad Prediction as a unified text-to-text generation problem. </w:t>
      </w:r>
    </w:p>
    <w:p>
      <w:r>
        <w:rPr>
          <w:b w:val="false"/>
          <w:bCs w:val="false"/>
          <w:i w:val="false"/>
          <w:iCs w:val="false"/>
          <w:color w:val="000000"/>
        </w:rPr>
        <w:t xml:space="preserve">By synthesizing aspect categories, aspect terms, opinion terms, and sentiment polarities into a single decoding pass, this unified generative approach mitigates the structural fragmentation and cascading error propagation that historically characterized pipeline-based systems </w:t>
      </w:r>
      <w:sdt>
        <w:sdtPr>
          <w:tag w:val="CITATION DengY23"/>
          <w:id w:val="926645804"/>
          <w:citation/>
        </w:sdtPr>
        <w:sdtContent>
          <w:r>
            <w:fldChar w:fldCharType="begin"/>
          </w:r>
          <w:r>
            <w:instrText xml:space="preserve"> CITATION DengY23 \m ZhouC24 \p 1 \l 1033 </w:instrText>
          </w:r>
          <w:r>
            <w:fldChar w:fldCharType="separate"/>
          </w:r>
          <w:r>
            <w:rPr>
              <w:noProof/>
            </w:rPr>
            <w:t xml:space="preserve">(Deng et al., 2023; Zhou et al., 2024)</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This paradigm shift has been further accelerated by the adaptation of large foundation models, which leverage emergent capabilities to bypass task-specific architecture constraints in favor of versatile, zero- or few-shot inference </w:t>
      </w:r>
      <w:sdt>
        <w:sdtPr>
          <w:tag w:val="CITATION VorakitphanV24"/>
          <w:id w:val="830465067"/>
          <w:citation/>
        </w:sdtPr>
        <w:sdtContent>
          <w:r>
            <w:fldChar w:fldCharType="begin"/>
          </w:r>
          <w:r>
            <w:instrText xml:space="preserve"> CITATION VorakitphanV24 \p 1 \l 1033 </w:instrText>
          </w:r>
          <w:r>
            <w:fldChar w:fldCharType="separate"/>
          </w:r>
          <w:r>
            <w:rPr>
              <w:noProof/>
            </w:rPr>
            <w:t xml:space="preserve">(Vorakitphan et al., 2024)</w:t>
          </w:r>
          <w:r>
            <w:fldChar w:fldCharType="end"/>
          </w:r>
        </w:sdtContent>
      </w:sdt>
      <w:r>
        <w:rPr>
          <w:b w:val="false"/>
          <w:bCs w:val="false"/>
          <w:i w:val="false"/>
          <w:iCs w:val="false"/>
          <w:color w:val="000000"/>
        </w:rPr>
        <w:t xml:space="preserve">. These generative methodologies often employ encoder-decoder architectures like T5 or BART, which utilize pointer mechanisms or direct sequence generation to unify previously disjointed subtasks into a single, cohesive framework </w:t>
      </w:r>
      <w:sdt>
        <w:sdtPr>
          <w:tag w:val="CITATION YangS24"/>
          <w:id w:val="734292706"/>
          <w:citation/>
        </w:sdtPr>
        <w:sdtContent>
          <w:r>
            <w:fldChar w:fldCharType="begin"/>
          </w:r>
          <w:r>
            <w:instrText xml:space="preserve"> CITATION YangS24 \m ZhouC24 \p 3 \l 1033 </w:instrText>
          </w:r>
          <w:r>
            <w:fldChar w:fldCharType="separate"/>
          </w:r>
          <w:r>
            <w:rPr>
              <w:noProof/>
            </w:rPr>
            <w:t xml:space="preserve">(Yang &amp; Cho, 2024; Zhou et al., 2024)</w:t>
          </w:r>
          <w:r>
            <w:fldChar w:fldCharType="end"/>
          </w:r>
        </w:sdtContent>
      </w:sdt>
      <w:r>
        <w:rPr>
          <w:b w:val="false"/>
          <w:bCs w:val="false"/>
          <w:i w:val="false"/>
          <w:iCs w:val="false"/>
          <w:color w:val="000000"/>
        </w:rPr>
        <w:t xml:space="preserve">. By reformulating these objectives as sequence-to-sequence challenges, researchers can circumvent the need for complex, task-specific modules and avoid the dependency on external opinion lexicons </w:t>
      </w:r>
      <w:sdt>
        <w:sdtPr>
          <w:tag w:val="CITATION DengY23"/>
          <w:id w:val="1590014136"/>
          <w:citation/>
        </w:sdtPr>
        <w:sdtContent>
          <w:r>
            <w:fldChar w:fldCharType="begin"/>
          </w:r>
          <w:r>
            <w:instrText xml:space="preserve"> CITATION DengY23 \p 1 \l 1033 </w:instrText>
          </w:r>
          <w:r>
            <w:fldChar w:fldCharType="separate"/>
          </w:r>
          <w:r>
            <w:rPr>
              <w:noProof/>
            </w:rPr>
            <w:t xml:space="preserve">(Deng et al., 2023)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The emergence of large language models has catalyzed a paradigm shift in ABSA research. Empirical evaluations conducted by Simmering and Huoviala systematically compared GPT-3.5 and GPT-4 across zero-shot, few-shot, and fine-tuned configurations on the SemEval-2014 Task 4 benchmark </w:t>
      </w:r>
      <w:sdt>
        <w:sdtPr>
          <w:tag w:val="CITATION FS23"/>
          <w:id w:val="626437348"/>
          <w:citation/>
        </w:sdtPr>
        <w:sdtContent>
          <w:r>
            <w:fldChar w:fldCharType="begin"/>
          </w:r>
          <w:r>
            <w:instrText xml:space="preserve"> CITATION FS23 \l 1033 </w:instrText>
          </w:r>
          <w:r>
            <w:fldChar w:fldCharType="separate"/>
          </w:r>
          <w:r>
            <w:rPr>
              <w:noProof/>
            </w:rPr>
            <w:t xml:space="preserve">(F. &amp; Huoviala, 2023)</w:t>
          </w:r>
          <w:r>
            <w:fldChar w:fldCharType="end"/>
          </w:r>
        </w:sdtContent>
      </w:sdt>
      <w:r>
        <w:rPr>
          <w:b w:val="false"/>
          <w:bCs w:val="false"/>
          <w:i w:val="false"/>
          <w:iCs w:val="false"/>
          <w:color w:val="000000"/>
        </w:rPr>
        <w:t xml:space="preserve">. Their results indicate that fine-tuned GPT-3.5 achieves an F1 score of 83.8 on joint aspect term extraction and polarity classification, outperforming the InstructABSA baseline by 5.7 percentage points, albeit at the cost of a 1000-fold increase in parameter count </w:t>
      </w:r>
      <w:sdt>
        <w:sdtPr>
          <w:tag w:val="CITATION FS23"/>
          <w:id w:val="1645703892"/>
          <w:citation/>
        </w:sdtPr>
        <w:sdtContent>
          <w:r>
            <w:fldChar w:fldCharType="begin"/>
          </w:r>
          <w:r>
            <w:instrText xml:space="preserve"> CITATION FS23 \l 1033 </w:instrText>
          </w:r>
          <w:r>
            <w:fldChar w:fldCharType="separate"/>
          </w:r>
          <w:r>
            <w:rPr>
              <w:noProof/>
            </w:rPr>
            <w:t xml:space="preserve">(F. &amp; Huoviala, 2023)</w:t>
          </w:r>
          <w:r>
            <w:fldChar w:fldCharType="end"/>
          </w:r>
        </w:sdtContent>
      </w:sdt>
      <w:r>
        <w:rPr>
          <w:b w:val="false"/>
          <w:bCs w:val="false"/>
          <w:i w:val="false"/>
          <w:iCs w:val="false"/>
          <w:color w:val="000000"/>
        </w:rPr>
        <w:t xml:space="preserve">.</w:t>
      </w:r>
    </w:p>
    <w:p>
      <w:r>
        <w:rPr>
          <w:b w:val="false"/>
          <w:bCs w:val="false"/>
          <w:i w:val="false"/>
          <w:iCs w:val="false"/>
          <w:color w:val="000000"/>
        </w:rPr>
        <w:t xml:space="preserve">Significantly, the study demonstrates that while detailed prompts are instrumental for enhancing zero-shot performance, they are unnecessary for fine-tuned models—a result with direct, actionable implications for pipeline design in the low-annotation-budget settings characteristic of this thesis </w:t>
      </w:r>
      <w:sdt>
        <w:sdtPr>
          <w:tag w:val="CITATION FS23"/>
          <w:id w:val="1066531074"/>
          <w:citation/>
        </w:sdtPr>
        <w:sdtContent>
          <w:r>
            <w:fldChar w:fldCharType="begin"/>
          </w:r>
          <w:r>
            <w:instrText xml:space="preserve"> CITATION FS23 \l 1033 </w:instrText>
          </w:r>
          <w:r>
            <w:fldChar w:fldCharType="separate"/>
          </w:r>
          <w:r>
            <w:rPr>
              <w:noProof/>
            </w:rPr>
            <w:t xml:space="preserve">(F. &amp; Huoviala, 2023)</w:t>
          </w:r>
          <w:r>
            <w:fldChar w:fldCharType="end"/>
          </w:r>
        </w:sdtContent>
      </w:sdt>
      <w:r>
        <w:rPr>
          <w:b w:val="false"/>
          <w:bCs w:val="false"/>
          <w:i w:val="false"/>
          <w:iCs w:val="false"/>
          <w:color w:val="000000"/>
        </w:rPr>
        <w:t xml:space="preserve">.</w:t>
      </w:r>
    </w:p>
    <w:p>
      <w:r>
        <w:rPr>
          <w:b w:val="false"/>
          <w:bCs w:val="false"/>
          <w:i w:val="false"/>
          <w:iCs w:val="false"/>
          <w:color w:val="000000"/>
        </w:rPr>
        <w:t xml:space="preserve">Multilingual evaluation of LLM-based ABSA has also been addressed recently. A comprehensive evaluation across nine models—including Llama-3.1, Gemma-2, Qwen-2.5, GPT-4o, and Claude 3.5—on SemEval-2016 found that zero-shot LLMs generally fall short of fine-tuned task-specific models, with simpler prompts often outperforming more complex strategies such as chain-of-thought and self-consistency, particularly in high-resource languages </w:t>
      </w:r>
      <w:sdt>
        <w:sdtPr>
          <w:tag w:val="CITATION WuC24"/>
          <w:id w:val="1152610605"/>
          <w:citation/>
        </w:sdtPr>
        <w:sdtContent>
          <w:r>
            <w:fldChar w:fldCharType="begin"/>
          </w:r>
          <w:r>
            <w:instrText xml:space="preserve"> CITATION WuC24 \p 1 \l 1033 </w:instrText>
          </w:r>
          <w:r>
            <w:fldChar w:fldCharType="separate"/>
          </w:r>
          <w:r>
            <w:rPr>
              <w:noProof/>
            </w:rPr>
            <w:t xml:space="preserve">(Wu et al., 2024)</w:t>
          </w:r>
          <w:r>
            <w:fldChar w:fldCharType="end"/>
          </w:r>
        </w:sdtContent>
      </w:sdt>
      <w:r>
        <w:rPr>
          <w:b w:val="false"/>
          <w:bCs w:val="false"/>
          <w:i w:val="false"/>
          <w:iCs w:val="false"/>
          <w:color w:val="000000"/>
        </w:rPr>
        <w:t xml:space="preserve">. The most recent state-of-the-art results come from reasoning-infused encoder-decoder architectures: a system combining a 395M-parameter encoder with an 8B-parameter decoder set new SemEval-2014 records and outperformed GPT-4o and Claude 3.5 Sonnet by up to 10 percentage points, while simultaneously introducing ABSA-mix, a large-scale benchmark aggregating 17 public ABSA datasets across 92 domains </w:t>
      </w:r>
      <w:sdt>
        <w:sdtPr>
          <w:tag w:val="CITATION LiskowskiP26"/>
          <w:id w:val="130655738"/>
          <w:citation/>
        </w:sdtPr>
        <w:sdtContent>
          <w:r>
            <w:fldChar w:fldCharType="begin"/>
          </w:r>
          <w:r>
            <w:instrText xml:space="preserve"> CITATION LiskowskiP26 \l 1033 </w:instrText>
          </w:r>
          <w:r>
            <w:fldChar w:fldCharType="separate"/>
          </w:r>
          <w:r>
            <w:rPr>
              <w:noProof/>
            </w:rPr>
            <w:t xml:space="preserve">(Liskowski &amp; Jankowski, 2026)</w:t>
          </w:r>
          <w:r>
            <w:fldChar w:fldCharType="end"/>
          </w:r>
        </w:sdtContent>
      </w:sdt>
      <w:r>
        <w:rPr>
          <w:b w:val="false"/>
          <w:bCs w:val="false"/>
          <w:i w:val="false"/>
          <w:iCs w:val="false"/>
          <w:color w:val="000000"/>
        </w:rPr>
        <w:t xml:space="preserve">. Table 2.1 summarizes key ABSA performance milestones on SemEval-2014.</w:t>
      </w:r>
    </w:p>
    <w:p/>
    <w:p/>
    <w:p>
      <w:r>
        <w:rPr>
          <w:b/>
          <w:bCs/>
          <w:i/>
          <w:iCs/>
          <w:color w:val="000000"/>
        </w:rPr>
        <w:t xml:space="preserve">Table 2.1. Representative ABSA Performance on SemEval-2014 Task 4 (ATE+SC, F1)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4E7"/>
          </w:tcPr>
          <w:p/>
          <w:p>
            <w:r>
              <w:rPr>
                <w:b/>
                <w:bCs/>
                <w:i w:val="false"/>
                <w:iCs w:val="false"/>
                <w:color w:val="000000"/>
              </w:rPr>
              <w:t xml:space="preserve">Model / Appro</w:t>
            </w:r>
            <w:commentRangeEnd w:id="15"/>
            <w:commentReference w:id="15"/>
            <w:r>
              <w:rPr>
                <w:b/>
                <w:bCs/>
                <w:i w:val="false"/>
                <w:iCs w:val="false"/>
                <w:color w:val="000000"/>
              </w:rPr>
              <w:t xml:space="preserve">ach</w:t>
            </w:r>
          </w:p>
        </w:tc>
        <w:tc>
          <w:tcPr>
            <w:shd w:fill="E4E4E7"/>
          </w:tcPr>
          <w:p>
            <w:r>
              <w:rPr>
                <w:b/>
                <w:bCs/>
                <w:i w:val="false"/>
                <w:iCs w:val="false"/>
                <w:color w:val="000000"/>
              </w:rPr>
              <w:t xml:space="preserve">Paradigm</w:t>
            </w:r>
          </w:p>
        </w:tc>
        <w:tc>
          <w:tcPr>
            <w:shd w:fill="E4E4E7"/>
          </w:tcPr>
          <w:p>
            <w:r>
              <w:rPr>
                <w:b/>
                <w:bCs/>
                <w:i w:val="false"/>
                <w:iCs w:val="false"/>
                <w:color w:val="000000"/>
              </w:rPr>
              <w:t xml:space="preserve">F1 (Rest14)</w:t>
            </w:r>
          </w:p>
        </w:tc>
        <w:tc>
          <w:tcPr>
            <w:shd w:fill="E4E4E7"/>
          </w:tcPr>
          <w:p>
            <w:r>
              <w:rPr>
                <w:b/>
                <w:bCs/>
                <w:i w:val="false"/>
                <w:iCs w:val="false"/>
                <w:color w:val="000000"/>
              </w:rPr>
              <w:t xml:space="preserve">Reference</w:t>
            </w:r>
          </w:p>
        </w:tc>
      </w:tr>
      <w:tr>
        <w:tc>
          <w:tcPr>
            <w:shd w:fill="E4E4E7"/>
          </w:tcPr>
          <w:p>
            <w:r>
              <w:rPr>
                <w:b w:val="false"/>
                <w:bCs w:val="false"/>
                <w:i w:val="false"/>
                <w:iCs w:val="false"/>
                <w:color w:val="000000"/>
              </w:rPr>
              <w:t xml:space="preserve">SVM + CRF baseline</w:t>
            </w:r>
          </w:p>
        </w:tc>
        <w:tc>
          <w:tcPr>
            <w:shd w:fill="E4E4E7"/>
          </w:tcPr>
          <w:p>
            <w:r>
              <w:rPr>
                <w:b w:val="false"/>
                <w:bCs w:val="false"/>
                <w:i w:val="false"/>
                <w:iCs w:val="false"/>
                <w:color w:val="000000"/>
              </w:rPr>
              <w:t xml:space="preserve">Feature-engineered</w:t>
            </w:r>
          </w:p>
        </w:tc>
        <w:tc>
          <w:tcPr>
            <w:shd w:fill="E4E4E7"/>
          </w:tcPr>
          <w:p>
            <w:r>
              <w:rPr>
                <w:b w:val="false"/>
                <w:bCs w:val="false"/>
                <w:i w:val="false"/>
                <w:iCs w:val="false"/>
                <w:color w:val="000000"/>
              </w:rPr>
              <w:t xml:space="preserve">~68</w:t>
            </w:r>
          </w:p>
        </w:tc>
        <w:tc>
          <w:tcPr>
            <w:shd w:fill="E4E4E7"/>
          </w:tcPr>
          <w:p>
            <w:r>
              <w:rPr>
                <w:b w:val="false"/>
                <w:bCs w:val="false"/>
                <w:i w:val="false"/>
                <w:iCs w:val="false"/>
                <w:color w:val="000000"/>
              </w:rPr>
              <w:t xml:space="preserve">Pontiki et al. (2014)</w:t>
            </w:r>
          </w:p>
        </w:tc>
      </w:tr>
      <w:tr>
        <w:tc>
          <w:tcPr>
            <w:shd w:fill="E4E4E7"/>
          </w:tcPr>
          <w:p>
            <w:r>
              <w:rPr>
                <w:b w:val="false"/>
                <w:bCs w:val="false"/>
                <w:i w:val="false"/>
                <w:iCs w:val="false"/>
                <w:color w:val="000000"/>
              </w:rPr>
              <w:t xml:space="preserve">BERT-pair</w:t>
            </w:r>
          </w:p>
        </w:tc>
        <w:tc>
          <w:tcPr>
            <w:shd w:fill="E4E4E7"/>
          </w:tcPr>
          <w:p>
            <w:r>
              <w:rPr>
                <w:b w:val="false"/>
                <w:bCs w:val="false"/>
                <w:i w:val="false"/>
                <w:iCs w:val="false"/>
                <w:color w:val="000000"/>
              </w:rPr>
              <w:t xml:space="preserve">Fine-tuned BERT</w:t>
            </w:r>
          </w:p>
        </w:tc>
        <w:tc>
          <w:tcPr>
            <w:shd w:fill="E4E4E7"/>
          </w:tcPr>
          <w:p>
            <w:r>
              <w:rPr>
                <w:b w:val="false"/>
                <w:bCs w:val="false"/>
                <w:i w:val="false"/>
                <w:iCs w:val="false"/>
                <w:color w:val="000000"/>
              </w:rPr>
              <w:t xml:space="preserve">~75</w:t>
            </w:r>
          </w:p>
        </w:tc>
        <w:tc>
          <w:tcPr>
            <w:shd w:fill="E4E4E7"/>
          </w:tcPr>
          <w:p>
            <w:r>
              <w:rPr>
                <w:b w:val="false"/>
                <w:bCs w:val="false"/>
                <w:i w:val="false"/>
                <w:iCs w:val="false"/>
                <w:color w:val="000000"/>
              </w:rPr>
              <w:t xml:space="preserve">Sun et al. (2019)</w:t>
            </w:r>
          </w:p>
        </w:tc>
      </w:tr>
      <w:tr>
        <w:tc>
          <w:tcPr>
            <w:shd w:fill="E4E4E7"/>
          </w:tcPr>
          <w:p>
            <w:r>
              <w:rPr>
                <w:b w:val="false"/>
                <w:bCs w:val="false"/>
                <w:i w:val="false"/>
                <w:iCs w:val="false"/>
                <w:color w:val="000000"/>
              </w:rPr>
              <w:t xml:space="preserve">GAS (T5 generative)</w:t>
            </w:r>
          </w:p>
        </w:tc>
        <w:tc>
          <w:tcPr>
            <w:shd w:fill="E4E4E7"/>
          </w:tcPr>
          <w:p>
            <w:r>
              <w:rPr>
                <w:b w:val="false"/>
                <w:bCs w:val="false"/>
                <w:i w:val="false"/>
                <w:iCs w:val="false"/>
                <w:color w:val="000000"/>
              </w:rPr>
              <w:t xml:space="preserve">Seq2Seq</w:t>
            </w:r>
          </w:p>
        </w:tc>
        <w:tc>
          <w:tcPr>
            <w:shd w:fill="E4E4E7"/>
          </w:tcPr>
          <w:p>
            <w:r>
              <w:rPr>
                <w:b w:val="false"/>
                <w:bCs w:val="false"/>
                <w:i w:val="false"/>
                <w:iCs w:val="false"/>
                <w:color w:val="000000"/>
              </w:rPr>
              <w:t xml:space="preserve">~78</w:t>
            </w:r>
          </w:p>
        </w:tc>
        <w:tc>
          <w:tcPr>
            <w:shd w:fill="E4E4E7"/>
          </w:tcPr>
          <w:p>
            <w:r>
              <w:rPr>
                <w:b w:val="false"/>
                <w:bCs w:val="false"/>
                <w:i w:val="false"/>
                <w:iCs w:val="false"/>
                <w:color w:val="000000"/>
              </w:rPr>
              <w:t xml:space="preserve">Zhang et al. (2021)</w:t>
            </w:r>
          </w:p>
        </w:tc>
      </w:tr>
      <w:tr>
        <w:tc>
          <w:tcPr>
            <w:shd w:fill="E4E4E7"/>
          </w:tcPr>
          <w:p>
            <w:r>
              <w:rPr>
                <w:b w:val="false"/>
                <w:bCs w:val="false"/>
                <w:i w:val="false"/>
                <w:iCs w:val="false"/>
                <w:color w:val="000000"/>
              </w:rPr>
              <w:t xml:space="preserve">InstructABSA</w:t>
            </w:r>
          </w:p>
        </w:tc>
        <w:tc>
          <w:tcPr>
            <w:shd w:fill="E4E4E7"/>
          </w:tcPr>
          <w:p>
            <w:r>
              <w:rPr>
                <w:b w:val="false"/>
                <w:bCs w:val="false"/>
                <w:i w:val="false"/>
                <w:iCs w:val="false"/>
                <w:color w:val="000000"/>
              </w:rPr>
              <w:t xml:space="preserve">Instruction-tuned LLM</w:t>
            </w:r>
          </w:p>
        </w:tc>
        <w:tc>
          <w:tcPr>
            <w:shd w:fill="E4E4E7"/>
          </w:tcPr>
          <w:p>
            <w:r>
              <w:rPr>
                <w:b w:val="false"/>
                <w:bCs w:val="false"/>
                <w:i w:val="false"/>
                <w:iCs w:val="false"/>
                <w:color w:val="000000"/>
              </w:rPr>
              <w:t xml:space="preserve">78.1</w:t>
            </w:r>
          </w:p>
        </w:tc>
        <w:tc>
          <w:tcPr>
            <w:shd w:fill="E4E4E7"/>
          </w:tcPr>
          <w:p>
            <w:r>
              <w:rPr>
                <w:b w:val="false"/>
                <w:bCs w:val="false"/>
                <w:i w:val="false"/>
                <w:iCs w:val="false"/>
                <w:color w:val="000000"/>
              </w:rPr>
              <w:t xml:space="preserve">Scaria et al. (2023)</w:t>
            </w:r>
          </w:p>
        </w:tc>
      </w:tr>
      <w:tr>
        <w:tc>
          <w:tcPr>
            <w:shd w:fill="E4E4E7"/>
          </w:tcPr>
          <w:p>
            <w:r>
              <w:rPr>
                <w:b w:val="false"/>
                <w:bCs w:val="false"/>
                <w:i w:val="false"/>
                <w:iCs w:val="false"/>
                <w:color w:val="000000"/>
              </w:rPr>
              <w:t xml:space="preserve">GPT-3.5 fine-tuned</w:t>
            </w:r>
          </w:p>
        </w:tc>
        <w:tc>
          <w:tcPr>
            <w:shd w:fill="E4E4E7"/>
          </w:tcPr>
          <w:p>
            <w:r>
              <w:rPr>
                <w:b w:val="false"/>
                <w:bCs w:val="false"/>
                <w:i w:val="false"/>
                <w:iCs w:val="false"/>
                <w:color w:val="000000"/>
              </w:rPr>
              <w:t xml:space="preserve">LLM fine-tuned</w:t>
            </w:r>
          </w:p>
        </w:tc>
        <w:tc>
          <w:tcPr>
            <w:shd w:fill="E4E4E7"/>
          </w:tcPr>
          <w:p>
            <w:r>
              <w:rPr>
                <w:b w:val="false"/>
                <w:bCs w:val="false"/>
                <w:i w:val="false"/>
                <w:iCs w:val="false"/>
                <w:color w:val="000000"/>
              </w:rPr>
              <w:t xml:space="preserve">83.8</w:t>
            </w:r>
          </w:p>
        </w:tc>
        <w:tc>
          <w:tcPr>
            <w:shd w:fill="E4E4E7"/>
          </w:tcPr>
          <w:p>
            <w:r>
              <w:rPr>
                <w:b w:val="false"/>
                <w:bCs w:val="false"/>
                <w:i w:val="false"/>
                <w:iCs w:val="false"/>
                <w:color w:val="000000"/>
              </w:rPr>
              <w:t xml:space="preserve">Simmering &amp; Huoviala (2023)</w:t>
            </w:r>
          </w:p>
        </w:tc>
      </w:tr>
      <w:tr>
        <w:tc>
          <w:tcPr>
            <w:shd w:fill="E4E4E7"/>
          </w:tcPr>
          <w:p>
            <w:r>
              <w:rPr>
                <w:b w:val="false"/>
                <w:bCs w:val="false"/>
                <w:i w:val="false"/>
                <w:iCs w:val="false"/>
                <w:color w:val="000000"/>
              </w:rPr>
              <w:t xml:space="preserve">Reasoning-infused 395M + 8B</w:t>
            </w:r>
          </w:p>
        </w:tc>
        <w:tc>
          <w:tcPr>
            <w:shd w:fill="E4E4E7"/>
          </w:tcPr>
          <w:p>
            <w:r>
              <w:rPr>
                <w:b w:val="false"/>
                <w:bCs w:val="false"/>
                <w:i w:val="false"/>
                <w:iCs w:val="false"/>
                <w:color w:val="000000"/>
              </w:rPr>
              <w:t xml:space="preserve">Encoder-decoder LLM</w:t>
            </w:r>
          </w:p>
        </w:tc>
        <w:tc>
          <w:tcPr>
            <w:shd w:fill="E4E4E7"/>
          </w:tcPr>
          <w:p>
            <w:r>
              <w:rPr>
                <w:b w:val="false"/>
                <w:bCs w:val="false"/>
                <w:i w:val="false"/>
                <w:iCs w:val="false"/>
                <w:color w:val="000000"/>
              </w:rPr>
              <w:t xml:space="preserve">SOTA (+10pp vs. GPT-4o)</w:t>
            </w:r>
            <w:commentRangeEnd w:id="16"/>
            <w:commentReference w:id="16"/>
          </w:p>
        </w:tc>
        <w:tc>
          <w:tcPr>
            <w:shd w:fill="E4E4E7"/>
          </w:tcPr>
          <w:p>
            <w:r>
              <w:rPr>
                <w:b w:val="false"/>
                <w:bCs w:val="false"/>
                <w:i w:val="false"/>
                <w:iCs w:val="false"/>
                <w:color w:val="000000"/>
              </w:rPr>
              <w:t xml:space="preserve">Vamvas et al. (2025)</w:t>
            </w:r>
          </w:p>
        </w:tc>
      </w:tr>
    </w:tbl>
    <w:p>
      <w:r>
        <w:rPr>
          <w:b w:val="false"/>
          <w:bCs w:val="false"/>
          <w:i w:val="false"/>
          <w:iCs w:val="false"/>
          <w:color w:val="000000"/>
        </w:rPr>
        <w:t xml:space="preserve">| Model / Approach | Paradigm | F1 | Reference |</w:t>
      </w:r>
    </w:p>
    <w:p>
      <w:r>
        <w:rPr>
          <w:b w:val="false"/>
          <w:bCs w:val="false"/>
          <w:i w:val="false"/>
          <w:iCs w:val="false"/>
          <w:color w:val="000000"/>
        </w:rPr>
        <w:t xml:space="preserve">| :--- | :--- | :--- | :--- |</w:t>
      </w:r>
    </w:p>
    <w:p>
      <w:r>
        <w:rPr>
          <w:b w:val="false"/>
          <w:bCs w:val="false"/>
          <w:i w:val="false"/>
          <w:iCs w:val="false"/>
          <w:color w:val="000000"/>
        </w:rPr>
        <w:t xml:space="preserve">| SVM + CRF baseline | Feature-engineered | ~68 |</w:t>
      </w:r>
    </w:p>
    <w:p>
      <w:r>
        <w:rPr>
          <w:b w:val="false"/>
          <w:bCs w:val="false"/>
          <w:i w:val="false"/>
          <w:iCs w:val="false"/>
          <w:color w:val="000000"/>
        </w:rPr>
        <w:t xml:space="preserve">| BERT-pair | Fine-tuned BERT | ~75 | Sun et al. |</w:t>
      </w:r>
    </w:p>
    <w:p>
      <w:r>
        <w:rPr>
          <w:b w:val="false"/>
          <w:bCs w:val="false"/>
          <w:i w:val="false"/>
          <w:iCs w:val="false"/>
          <w:color w:val="000000"/>
        </w:rPr>
        <w:t xml:space="preserve">| GAS | Seq2Seq | ~78 | Zhang et al. |</w:t>
      </w:r>
    </w:p>
    <w:p>
      <w:r>
        <w:rPr>
          <w:b w:val="false"/>
          <w:bCs w:val="false"/>
          <w:i w:val="false"/>
          <w:iCs w:val="false"/>
          <w:color w:val="000000"/>
        </w:rPr>
        <w:t xml:space="preserve">| InstructABSA | Instruction-tuned LLM | 78.1 | Scaria et al. |</w:t>
      </w:r>
    </w:p>
    <w:p>
      <w:r>
        <w:rPr>
          <w:b w:val="false"/>
          <w:bCs w:val="false"/>
          <w:i w:val="false"/>
          <w:iCs w:val="false"/>
          <w:color w:val="000000"/>
        </w:rPr>
        <w:t xml:space="preserve">| GPT-3.5 fine-tuned | LLM fine-tuned | 83.8 | Simmering &amp; Huoviala</w:t>
      </w:r>
      <w:sdt>
        <w:sdtPr>
          <w:tag w:val="CITATION FS23"/>
          <w:id w:val="1244947473"/>
          <w:citation/>
        </w:sdtPr>
        <w:sdtContent>
          <w:r>
            <w:fldChar w:fldCharType="begin"/>
          </w:r>
          <w:r>
            <w:instrText xml:space="preserve"> CITATION FS23 \l 1033 </w:instrText>
          </w:r>
          <w:r>
            <w:fldChar w:fldCharType="separate"/>
          </w:r>
          <w:r>
            <w:rPr>
              <w:noProof/>
            </w:rPr>
            <w:t xml:space="preserve">(F. &amp; Huoviala, 2023)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 Reasoning-infused 395M + 8B | Encoder-decoder LLM | SOTA | Liskowski &amp; Jankowski </w:t>
      </w:r>
      <w:sdt>
        <w:sdtPr>
          <w:tag w:val="CITATION LiskowskiP26"/>
          <w:id w:val="1230538764"/>
          <w:citation/>
        </w:sdtPr>
        <w:sdtContent>
          <w:r>
            <w:fldChar w:fldCharType="begin"/>
          </w:r>
          <w:r>
            <w:instrText xml:space="preserve"> CITATION LiskowskiP26 \l 1033 </w:instrText>
          </w:r>
          <w:r>
            <w:fldChar w:fldCharType="separate"/>
          </w:r>
          <w:r>
            <w:rPr>
              <w:noProof/>
            </w:rPr>
            <w:t xml:space="preserve">(Liskowski &amp; Jankowski, 2026)</w:t>
          </w:r>
          <w:r>
            <w:fldChar w:fldCharType="end"/>
          </w:r>
        </w:sdtContent>
      </w:sdt>
      <w:r>
        <w:rPr>
          <w:b w:val="false"/>
          <w:bCs w:val="false"/>
          <w:i w:val="false"/>
          <w:iCs w:val="false"/>
          <w:color w:val="000000"/>
        </w:rPr>
        <w:t xml:space="preserve"> |</w:t>
      </w:r>
    </w:p>
    <w:p/>
    <w:p>
      <w:r>
        <w:rPr>
          <w:b w:val="false"/>
          <w:bCs w:val="false"/>
          <w:i w:val="false"/>
          <w:iCs w:val="false"/>
          <w:color w:val="000000"/>
        </w:rPr>
        <w:t xml:space="preserve">These results highlight that while instruction-tuned LLMs represent a versatile baseline, fine-tuning remains the most effective strategy for bridging performance gaps in resource-scarce scenarios</w:t>
      </w:r>
      <w:sdt>
        <w:sdtPr>
          <w:tag w:val="CITATION FehleJ26"/>
          <w:id w:val="1167255416"/>
          <w:citation/>
        </w:sdtPr>
        <w:sdtContent>
          <w:r>
            <w:fldChar w:fldCharType="begin"/>
          </w:r>
          <w:r>
            <w:instrText xml:space="preserve"> CITATION FehleJ26 \l 1033 </w:instrText>
          </w:r>
          <w:r>
            <w:fldChar w:fldCharType="separate"/>
          </w:r>
          <w:r>
            <w:rPr>
              <w:noProof/>
            </w:rPr>
            <w:t xml:space="preserve">(Fehle et al., 2026)</w:t>
          </w:r>
          <w:r>
            <w:fldChar w:fldCharType="end"/>
          </w:r>
        </w:sdtContent>
      </w:sdt>
      <w:r>
        <w:rPr>
          <w:b w:val="false"/>
          <w:bCs w:val="false"/>
          <w:i w:val="false"/>
          <w:iCs w:val="false"/>
          <w:color w:val="000000"/>
        </w:rPr>
        <w:t xml:space="preserve">. Note: F1 scores are approximate where originally reported across sub-task variants. Rest14 = SemEval-2014 restaurant domain.</w:t>
      </w:r>
    </w:p>
    <w:p>
      <w:pPr>
        <w:pStyle w:val="Heading3"/>
      </w:pPr>
      <w:r>
        <w:rPr>
          <w:b w:val="false"/>
          <w:bCs w:val="false"/>
          <w:i/>
          <w:iCs/>
          <w:color w:val="000000"/>
        </w:rPr>
        <w:t xml:space="preserve">2.1.4  </w:t>
      </w:r>
      <w:commentRangeStart w:id="14"/>
      <w:r>
        <w:rPr>
          <w:b w:val="false"/>
          <w:bCs w:val="false"/>
          <w:i/>
          <w:iCs/>
          <w:color w:val="000000"/>
        </w:rPr>
        <w:t xml:space="preserve">ABSA in Non-Consumer Domains</w:t>
      </w:r>
      <w:commentRangeEnd w:id="14"/>
      <w:commentReference w:id="14"/>
    </w:p>
    <w:p>
      <w:r>
        <w:rPr>
          <w:b w:val="false"/>
          <w:bCs w:val="false"/>
          <w:i w:val="false"/>
          <w:iCs w:val="false"/>
          <w:color w:val="000000"/>
        </w:rPr>
        <w:t xml:space="preserve">The application of ABSA beyond the consumer-review paradigm has expanded substantially, driven by the distinct linguistic and structural complexities of specialized, domain-specific corpora where general-purpose models routinely falter </w:t>
      </w:r>
      <w:sdt>
        <w:sdtPr>
          <w:tag w:val="CITATION ParkerM24"/>
          <w:id w:val="939845752"/>
          <w:citation/>
        </w:sdtPr>
        <w:sdtContent>
          <w:r>
            <w:fldChar w:fldCharType="begin"/>
          </w:r>
          <w:r>
            <w:instrText xml:space="preserve"> CITATION ParkerM24 \p 7 \l 1033 </w:instrText>
          </w:r>
          <w:r>
            <w:fldChar w:fldCharType="separate"/>
          </w:r>
          <w:r>
            <w:rPr>
              <w:noProof/>
            </w:rPr>
            <w:t xml:space="preserve">(Parker et al., 2024)</w:t>
          </w:r>
          <w:r>
            <w:fldChar w:fldCharType="end"/>
          </w:r>
        </w:sdtContent>
      </w:sdt>
      <w:r>
        <w:rPr>
          <w:b w:val="false"/>
          <w:bCs w:val="false"/>
          <w:i w:val="false"/>
          <w:iCs w:val="false"/>
          <w:color w:val="000000"/>
        </w:rPr>
        <w:t xml:space="preserve">. Because these models are typically pre-trained on broad datasets like Wikipedia, they frequently fail to capture the domain-specific vocabulary, unique writing conventions, and technical semantics essential for accurate sentiment extraction in specialized contexts </w:t>
      </w:r>
      <w:sdt>
        <w:sdtPr>
          <w:tag w:val="CITATION ParkerM24"/>
          <w:id w:val="2047979536"/>
          <w:citation/>
        </w:sdtPr>
        <w:sdtContent>
          <w:r>
            <w:fldChar w:fldCharType="begin"/>
          </w:r>
          <w:r>
            <w:instrText xml:space="preserve"> CITATION ParkerM24 \p 7 \l 1033 </w:instrText>
          </w:r>
          <w:r>
            <w:fldChar w:fldCharType="separate"/>
          </w:r>
          <w:r>
            <w:rPr>
              <w:noProof/>
            </w:rPr>
            <w:t xml:space="preserve">(Parker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Rink et al. provided empirical validation for this transition by deploying ABSA within Dutch open-ended employee satisfaction surveys, demonstrating that deriving domain-specific aspects via response clustering and rigorous expert judgment is essential for overcoming the semantic misalignment typical of general-purpose models in specialized professional contexts </w:t>
      </w:r>
      <w:sdt>
        <w:sdtPr>
          <w:tag w:val="CITATION ParkerM24"/>
          <w:id w:val="1910031263"/>
          <w:citation/>
        </w:sdtPr>
        <w:sdtContent>
          <w:r>
            <w:fldChar w:fldCharType="begin"/>
          </w:r>
          <w:r>
            <w:instrText xml:space="preserve"> CITATION ParkerM24 \p 7 \l 1033 </w:instrText>
          </w:r>
          <w:r>
            <w:fldChar w:fldCharType="separate"/>
          </w:r>
          <w:r>
            <w:rPr>
              <w:noProof/>
            </w:rPr>
            <w:t xml:space="preserve">(Parker et al., 2024)</w:t>
          </w:r>
          <w:r>
            <w:fldChar w:fldCharType="end"/>
          </w:r>
        </w:sdtContent>
      </w:sdt>
      <w:r>
        <w:rPr>
          <w:b w:val="false"/>
          <w:bCs w:val="false"/>
          <w:i w:val="false"/>
          <w:iCs w:val="false"/>
          <w:color w:val="000000"/>
        </w:rPr>
        <w:t xml:space="preserve">. Similarly, research into legislative and biomedical texts reveals that specialized fine-tuning is required to mitigate the performance degradation caused by domain shifts </w:t>
      </w:r>
      <w:sdt>
        <w:sdtPr>
          <w:tag w:val="CITATION KumariN25"/>
          <w:id w:val="1838655274"/>
          <w:citation/>
        </w:sdtPr>
        <w:sdtContent>
          <w:r>
            <w:fldChar w:fldCharType="begin"/>
          </w:r>
          <w:r>
            <w:instrText xml:space="preserve"> CITATION KumariN25 \p 6108 \l 1033 </w:instrText>
          </w:r>
          <w:r>
            <w:fldChar w:fldCharType="separate"/>
          </w:r>
          <w:r>
            <w:rPr>
              <w:noProof/>
            </w:rPr>
            <w:t xml:space="preserve">(Kumari, 2025)</w:t>
          </w:r>
          <w:r>
            <w:fldChar w:fldCharType="end"/>
          </w:r>
        </w:sdtContent>
      </w:sdt>
      <w:r>
        <w:rPr>
          <w:b w:val="false"/>
          <w:bCs w:val="false"/>
          <w:i w:val="false"/>
          <w:iCs w:val="false"/>
          <w:color w:val="000000"/>
        </w:rPr>
        <w:t xml:space="preserve">. Furthermore, cross-domain generalizations remain a persistent challenge, as the structural nuances of technical domains often defy the heuristic-based extraction patterns learned during generic training </w:t>
      </w:r>
      <w:sdt>
        <w:sdtPr>
          <w:tag w:val="CITATION ZhangH24"/>
          <w:id w:val="698375258"/>
          <w:citation/>
        </w:sdtPr>
        <w:sdtContent>
          <w:r>
            <w:fldChar w:fldCharType="begin"/>
          </w:r>
          <w:r>
            <w:instrText xml:space="preserve"> CITATION ZhangH24 \p 36 \l 1033 </w:instrText>
          </w:r>
          <w:r>
            <w:fldChar w:fldCharType="separate"/>
          </w:r>
          <w:r>
            <w:rPr>
              <w:noProof/>
            </w:rPr>
            <w:t xml:space="preserve">(Zhang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Their findings—demonstrating that few-shot, domain-adapted BERT models consistently outperform bag-of-words and zero-shot baselines—underscore the structural imperative for domain-specific architectures in specialized, low-resource settings </w:t>
      </w:r>
      <w:sdt>
        <w:sdtPr>
          <w:tag w:val="CITATION ParkerM24"/>
          <w:id w:val="428650682"/>
          <w:citation/>
        </w:sdtPr>
        <w:sdtContent>
          <w:r>
            <w:fldChar w:fldCharType="begin"/>
          </w:r>
          <w:r>
            <w:instrText xml:space="preserve"> CITATION ParkerM24 \p 7 \l 1033 </w:instrText>
          </w:r>
          <w:r>
            <w:fldChar w:fldCharType="separate"/>
          </w:r>
          <w:r>
            <w:rPr>
              <w:noProof/>
            </w:rPr>
            <w:t xml:space="preserve">(Parker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Complementary investigations into multilingual ABSA demonstrate that reliance on English-centric, general-purpose benchmarks is inadequate for non-review domains. Consequently, rigorous, expert-validated annotation standards are indispensable to capture the domain-specific linguistic nuances and technical semantics essential for reliable sentiment extraction in non-English, specialized professional contexts </w:t>
      </w:r>
      <w:sdt>
        <w:sdtPr>
          <w:tag w:val="CITATION MutuviS22"/>
          <w:id w:val="78989441"/>
          <w:citation/>
        </w:sdtPr>
        <w:sdtContent>
          <w:r>
            <w:fldChar w:fldCharType="begin"/>
          </w:r>
          <w:r>
            <w:instrText xml:space="preserve"> CITATION MutuviS22 \m ParkerM24 \p 107 \l 1033 </w:instrText>
          </w:r>
          <w:r>
            <w:fldChar w:fldCharType="separate"/>
          </w:r>
          <w:r>
            <w:rPr>
              <w:noProof/>
            </w:rPr>
            <w:t xml:space="preserve">(Mutuvi, 2022; Parker et al., 2024)</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These studies reveal that the efficacy of general-purpose generative models remains fundamentally constrained by the misalignment between their pre-training corpora and the technical nuances of professional domains </w:t>
      </w:r>
      <w:sdt>
        <w:sdtPr>
          <w:tag w:val="CITATION ParkerM24"/>
          <w:id w:val="261736613"/>
          <w:citation/>
        </w:sdtPr>
        <w:sdtContent>
          <w:r>
            <w:fldChar w:fldCharType="begin"/>
          </w:r>
          <w:r>
            <w:instrText xml:space="preserve"> CITATION ParkerM24 \p 7 \l 1033 </w:instrText>
          </w:r>
          <w:r>
            <w:fldChar w:fldCharType="separate"/>
          </w:r>
          <w:r>
            <w:rPr>
              <w:noProof/>
            </w:rPr>
            <w:t xml:space="preserve">(Parker et al., 2024)</w:t>
          </w:r>
          <w:r>
            <w:fldChar w:fldCharType="end"/>
          </w:r>
        </w:sdtContent>
      </w:sdt>
      <w:r>
        <w:rPr>
          <w:b w:val="false"/>
          <w:bCs w:val="false"/>
          <w:i w:val="false"/>
          <w:iCs w:val="false"/>
          <w:color w:val="000000"/>
        </w:rPr>
        <w:t xml:space="preserve">. In resource-scarce settings, this limitation is exacerbated by the labor-intensive nature of domain-expert annotation, which poses a significant bottleneck to scalability </w:t>
      </w:r>
      <w:sdt>
        <w:sdtPr>
          <w:tag w:val="CITATION MutuviS22"/>
          <w:id w:val="610923854"/>
          <w:citation/>
        </w:sdtPr>
        <w:sdtContent>
          <w:r>
            <w:fldChar w:fldCharType="begin"/>
          </w:r>
          <w:r>
            <w:instrText xml:space="preserve"> CITATION MutuviS22 \p 107 \l 1033 </w:instrText>
          </w:r>
          <w:r>
            <w:fldChar w:fldCharType="separate"/>
          </w:r>
          <w:r>
            <w:rPr>
              <w:noProof/>
            </w:rPr>
            <w:t xml:space="preserve">(Mutuvi, 2022)</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Consequently, researchers are increasingly pivoting from generic instruction-tuning toward hybrid methodologies that integrate domain-specific knowledge—such as domain-adaptive pre-training and targeted supervised fine-tuning—to bridge the semantic divide and mitigate the catastrophic forgetting inherent in adapting general-purpose LLMs to niche, technical vocabularies </w:t>
      </w:r>
      <w:sdt>
        <w:sdtPr>
          <w:tag w:val="CITATION DengJ25"/>
          <w:id w:val="607284064"/>
          <w:citation/>
        </w:sdtPr>
        <w:sdtContent>
          <w:r>
            <w:fldChar w:fldCharType="begin"/>
          </w:r>
          <w:r>
            <w:instrText xml:space="preserve"> CITATION DengJ25 \l 1033 </w:instrText>
          </w:r>
          <w:r>
            <w:fldChar w:fldCharType="separate"/>
          </w:r>
          <w:r>
            <w:rPr>
              <w:noProof/>
            </w:rPr>
            <w:t xml:space="preserve">(Deng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Furthermore, the adoption of network-based approaches and graph-based representations is proving vital for capturing the intricate, domain-specific dependencies between sentiment-bearing elements that standard transformer architectures often overlook </w:t>
      </w:r>
      <w:sdt>
        <w:sdtPr>
          <w:tag w:val="CITATION ChenX24"/>
          <w:id w:val="63626247"/>
          <w:citation/>
        </w:sdtPr>
        <w:sdtContent>
          <w:r>
            <w:fldChar w:fldCharType="begin"/>
          </w:r>
          <w:r>
            <w:instrText xml:space="preserve"> CITATION ChenX24 \p 3536 \l 1033 </w:instrText>
          </w:r>
          <w:r>
            <w:fldChar w:fldCharType="separate"/>
          </w:r>
          <w:r>
            <w:rPr>
              <w:noProof/>
            </w:rPr>
            <w:t xml:space="preserve">(Chen et al., 2024)</w:t>
          </w:r>
          <w:r>
            <w:fldChar w:fldCharType="end"/>
          </w:r>
        </w:sdtContent>
      </w:sdt>
      <w:r>
        <w:rPr>
          <w:b w:val="false"/>
          <w:bCs w:val="false"/>
          <w:i w:val="false"/>
          <w:iCs w:val="false"/>
          <w:color w:val="000000"/>
        </w:rPr>
        <w:t xml:space="preserve">. These structural techniques, such as incorporating global semantic features or abstract meaning representations, provide a robust mechanism for denoising contextual information that otherwise confounds sentiment polarity detection </w:t>
      </w:r>
      <w:sdt>
        <w:sdtPr>
          <w:tag w:val="CITATION NeveditsinN25"/>
          <w:id w:val="1124759368"/>
          <w:citation/>
        </w:sdtPr>
        <w:sdtContent>
          <w:r>
            <w:fldChar w:fldCharType="begin"/>
          </w:r>
          <w:r>
            <w:instrText xml:space="preserve"> CITATION NeveditsinN25 \p 1 \l 1033 </w:instrText>
          </w:r>
          <w:r>
            <w:fldChar w:fldCharType="separate"/>
          </w:r>
          <w:r>
            <w:rPr>
              <w:noProof/>
            </w:rPr>
            <w:t xml:space="preserve">(Neveditsin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Collectively, these applications confirm a pivotal paradigm shift: effective domain-adapted ABSA relies less on borrowing existing, generic datasets and more on developing bespoke schemas and expert-validated annotation pipelines—a methodology this thesis adopts. By integrating domain-specific knowledge into the training objectives, these specialized models mitigate the "catastrophic forgetting" often observed when adapting general-purpose LLMs to niche, technical vocabularies</w:t>
      </w:r>
      <w:sdt>
        <w:sdtPr>
          <w:tag w:val="CITATION DengJ25"/>
          <w:id w:val="1724243150"/>
          <w:citation/>
        </w:sdtPr>
        <w:sdtContent>
          <w:r>
            <w:fldChar w:fldCharType="begin"/>
          </w:r>
          <w:r>
            <w:instrText xml:space="preserve"> CITATION DengJ25 \l 1033 </w:instrText>
          </w:r>
          <w:r>
            <w:fldChar w:fldCharType="separate"/>
          </w:r>
          <w:r>
            <w:rPr>
              <w:noProof/>
            </w:rPr>
            <w:t xml:space="preserve">(Deng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By integrating these bespoke annotation strategies with semi-supervised learning techniques, this research effectively mitigates the scarcity of high-quality, domain-specific labeled data inherent in technical HR survey responses</w:t>
      </w:r>
      <w:sdt>
        <w:sdtPr>
          <w:tag w:val="CITATION MutuviS22"/>
          <w:id w:val="1149230426"/>
          <w:citation/>
        </w:sdtPr>
        <w:sdtContent>
          <w:r>
            <w:fldChar w:fldCharType="begin"/>
          </w:r>
          <w:r>
            <w:instrText xml:space="preserve"> CITATION MutuviS22 \p 107 \l 1033 </w:instrText>
          </w:r>
          <w:r>
            <w:fldChar w:fldCharType="separate"/>
          </w:r>
          <w:r>
            <w:rPr>
              <w:noProof/>
            </w:rPr>
            <w:t xml:space="preserve">(Mutuvi, 2022)</w:t>
          </w:r>
          <w:r>
            <w:fldChar w:fldCharType="end"/>
          </w:r>
        </w:sdtContent>
      </w:sdt>
      <w:r>
        <w:rPr>
          <w:b w:val="false"/>
          <w:bCs w:val="false"/>
          <w:i w:val="false"/>
          <w:iCs w:val="false"/>
          <w:color w:val="000000"/>
        </w:rPr>
        <w:t xml:space="preserve">. This approach is strongly validated by emerging research emphasizing the potential of combining structural domain knowledge with modern synthetic data generation to overcome the persistent limitations of domain-specificity and label scarcity </w:t>
      </w:r>
      <w:sdt>
        <w:sdtPr>
          <w:tag w:val="CITATION LiskowskiP262"/>
          <w:id w:val="616723087"/>
          <w:citation/>
        </w:sdtPr>
        <w:sdtContent>
          <w:r>
            <w:fldChar w:fldCharType="begin"/>
          </w:r>
          <w:r>
            <w:instrText xml:space="preserve"> CITATION LiskowskiP262 \l 1033 </w:instrText>
          </w:r>
          <w:r>
            <w:fldChar w:fldCharType="separate"/>
          </w:r>
          <w:r>
            <w:rPr>
              <w:noProof/>
            </w:rPr>
            <w:t xml:space="preserve">(Liskowski &amp; Jankowski, 2026)</w:t>
          </w:r>
          <w:r>
            <w:fldChar w:fldCharType="end"/>
          </w:r>
        </w:sdtContent>
      </w:sdt>
      <w:r>
        <w:rPr>
          <w:b w:val="false"/>
          <w:bCs w:val="false"/>
          <w:i w:val="false"/>
          <w:iCs w:val="false"/>
          <w:color w:val="000000"/>
        </w:rPr>
        <w:t xml:space="preserve">. Consequently, this work bolsters the growing consensus that evaluation frameworks must expand beyond traditional review-based benchmarks to ensure robust, cross-domain applicability </w:t>
      </w:r>
      <w:sdt>
        <w:sdtPr>
          <w:tag w:val="CITATION CheboluS23"/>
          <w:id w:val="1571143676"/>
          <w:citation/>
        </w:sdtPr>
        <w:sdtContent>
          <w:r>
            <w:fldChar w:fldCharType="begin"/>
          </w:r>
          <w:r>
            <w:instrText xml:space="preserve"> CITATION CheboluS23 \p 619 \l 1033 </w:instrText>
          </w:r>
          <w:r>
            <w:fldChar w:fldCharType="separate"/>
          </w:r>
          <w:r>
            <w:rPr>
              <w:noProof/>
            </w:rPr>
            <w:t xml:space="preserve">(Chebolu et al., 2023)</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2.2  ESG and Climate-Related NLP</w:t>
      </w:r>
    </w:p>
    <w:p>
      <w:pPr>
        <w:pStyle w:val="Heading3"/>
      </w:pPr>
      <w:r>
        <w:rPr>
          <w:b w:val="false"/>
          <w:bCs w:val="false"/>
          <w:i/>
          <w:iCs/>
          <w:color w:val="000000"/>
        </w:rPr>
        <w:t xml:space="preserve">2.2.1  ClimateBERT and Domain-Specific Pretraining</w:t>
      </w:r>
    </w:p>
    <w:p>
      <w:r>
        <w:rPr>
          <w:b w:val="false"/>
          <w:bCs w:val="false"/>
          <w:i w:val="false"/>
          <w:iCs w:val="false"/>
          <w:color w:val="000000"/>
        </w:rPr>
        <w:t xml:space="preserve">ClimateBERT, a RoBERTa-based language model pre-trained on a comprehensive corpus of climate-centric texts—including academic literature, policy documentation, corporate sustainability reports, and news media—serves as the de-facto domain-specific baseline for climate-related NLP </w:t>
      </w:r>
      <w:sdt>
        <w:sdtPr>
          <w:tag w:val="CITATION MoodaleyW23"/>
          <w:id w:val="200041177"/>
          <w:citation/>
        </w:sdtPr>
        <w:sdtContent>
          <w:r>
            <w:fldChar w:fldCharType="begin"/>
          </w:r>
          <w:r>
            <w:instrText xml:space="preserve"> CITATION MoodaleyW23 \m ChenS23 \p 323 \l 1033 </w:instrText>
          </w:r>
          <w:r>
            <w:fldChar w:fldCharType="separate"/>
          </w:r>
          <w:r>
            <w:rPr>
              <w:noProof/>
            </w:rPr>
            <w:t xml:space="preserve">(Chen et al., 2023; Moodaley &amp; Telukdarie, 2023)</w:t>
          </w:r>
          <w:r>
            <w:fldChar w:fldCharType="end"/>
          </w:r>
        </w:sdtContent>
      </w:sdt>
      <w:r>
        <w:rPr>
          <w:b w:val="false"/>
          <w:bCs w:val="false"/>
          <w:i w:val="false"/>
          <w:iCs w:val="false"/>
          <w:color w:val="000000"/>
        </w:rPr>
        <w:t xml:space="preserve">. Its validated superiority over general-purpose architectures in climate-specific classification tasks underscores its utility as an essential starting point for rigorous domain-specific sustainability research </w:t>
      </w:r>
      <w:sdt>
        <w:sdtPr>
          <w:tag w:val="CITATION MoodaleyW23"/>
          <w:id w:val="1835533184"/>
          <w:citation/>
        </w:sdtPr>
        <w:sdtContent>
          <w:r>
            <w:fldChar w:fldCharType="begin"/>
          </w:r>
          <w:r>
            <w:instrText xml:space="preserve"> CITATION MoodaleyW23 \p 323 \l 1033 </w:instrText>
          </w:r>
          <w:r>
            <w:fldChar w:fldCharType="separate"/>
          </w:r>
          <w:r>
            <w:rPr>
              <w:noProof/>
            </w:rPr>
            <w:t xml:space="preserve">(Moodaley &amp; Telukdarie, 2023)</w:t>
          </w:r>
          <w:r>
            <w:fldChar w:fldCharType="end"/>
          </w:r>
        </w:sdtContent>
      </w:sdt>
      <w:r>
        <w:rPr>
          <w:b w:val="false"/>
          <w:bCs w:val="false"/>
          <w:i w:val="false"/>
          <w:iCs w:val="false"/>
          <w:color w:val="000000"/>
        </w:rPr>
        <w:t xml:space="preserve">. By leveraging such pre-trained architectures, researchers can effectively parse complex, unstructured sustainability documents to detect nuanced patterns like greenwashing or shifting stakeholder sentiment </w:t>
      </w:r>
      <w:sdt>
        <w:sdtPr>
          <w:tag w:val="CITATION SchimanskiT24"/>
          <w:id w:val="821380894"/>
          <w:citation/>
        </w:sdtPr>
        <w:sdtContent>
          <w:r>
            <w:fldChar w:fldCharType="begin"/>
          </w:r>
          <w:r>
            <w:instrText xml:space="preserve"> CITATION SchimanskiT24 \p 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This performance gain is primarily attributed to its exposure to specialized terminology and thematic contexts that are otherwise absent or underrepresented in general-domain corpora, which typically rely on broader, less technical datasets like Wikipedia </w:t>
      </w:r>
      <w:sdt>
        <w:sdtPr>
          <w:tag w:val="CITATION ParkerM24"/>
          <w:id w:val="267423526"/>
          <w:citation/>
        </w:sdtPr>
        <w:sdtContent>
          <w:r>
            <w:fldChar w:fldCharType="begin"/>
          </w:r>
          <w:r>
            <w:instrText xml:space="preserve"> CITATION ParkerM24 \p 7 \l 1033 </w:instrText>
          </w:r>
          <w:r>
            <w:fldChar w:fldCharType="separate"/>
          </w:r>
          <w:r>
            <w:rPr>
              <w:noProof/>
            </w:rPr>
            <w:t xml:space="preserve">(Parker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 The ClimateBERT ecosystem features a diverse suite of fine-tuned classifiers addressing critical tasks such as climate-related text detection, the differentiation of commitment and action-related content, the distinction of specific from non-specific climate-related text, and assigning climate-related content to one of four categories as per TCFD recommendations</w:t>
      </w:r>
      <w:sdt>
        <w:sdtPr>
          <w:tag w:val="CITATION ChenS23"/>
          <w:id w:val="107499632"/>
          <w:citation/>
        </w:sdtPr>
        <w:sdtContent>
          <w:r>
            <w:fldChar w:fldCharType="begin"/>
          </w:r>
          <w:r>
            <w:instrText xml:space="preserve"> CITATION ChenS23 \p 18 \l 1033 </w:instrText>
          </w:r>
          <w:r>
            <w:fldChar w:fldCharType="separate"/>
          </w:r>
          <w:r>
            <w:rPr>
              <w:noProof/>
            </w:rPr>
            <w:t xml:space="preserve">(Chen et al., 2023)</w:t>
          </w:r>
          <w:r>
            <w:fldChar w:fldCharType="end"/>
          </w:r>
        </w:sdtContent>
      </w:sdt>
      <w:r>
        <w:rPr>
          <w:b w:val="false"/>
          <w:bCs w:val="false"/>
          <w:i w:val="false"/>
          <w:iCs w:val="false"/>
          <w:color w:val="000000"/>
        </w:rPr>
        <w:t xml:space="preserve">. This efficacy is mirrored in broader sustainability domains where specialized pre-training, such as the development of Climate QA, enables models to effectively parse and interpret complex financial disclosures </w:t>
      </w:r>
      <w:sdt>
        <w:sdtPr>
          <w:tag w:val="CITATION MoodaleyW23"/>
          <w:id w:val="300568358"/>
          <w:citation/>
        </w:sdtPr>
        <w:sdtContent>
          <w:r>
            <w:fldChar w:fldCharType="begin"/>
          </w:r>
          <w:r>
            <w:instrText xml:space="preserve"> CITATION MoodaleyW23 \p 323 \l 1033 </w:instrText>
          </w:r>
          <w:r>
            <w:fldChar w:fldCharType="separate"/>
          </w:r>
          <w:r>
            <w:rPr>
              <w:noProof/>
            </w:rPr>
            <w:t xml:space="preserve">(Moodaley &amp; Telukdarie, 2023)</w:t>
          </w:r>
          <w:r>
            <w:fldChar w:fldCharType="end"/>
          </w:r>
        </w:sdtContent>
      </w:sdt>
      <w:r>
        <w:rPr>
          <w:b w:val="false"/>
          <w:bCs w:val="false"/>
          <w:i w:val="false"/>
          <w:iCs w:val="false"/>
          <w:color w:val="000000"/>
        </w:rPr>
        <w:t xml:space="preserve">. </w:t>
      </w:r>
    </w:p>
    <w:p>
      <w:commentRangeStart w:id="13"/>
      <w:r>
        <w:rPr>
          <w:b w:val="false"/>
          <w:bCs w:val="false"/>
          <w:i w:val="false"/>
          <w:iCs w:val="false"/>
          <w:color w:val="000000"/>
        </w:rPr>
        <w:t xml:space="preserve">For greenwashing detection specifically, Vinella et al. (2023) fine-tuned ClimateBERT on a custom greenwashing corpus, achieving an average accuracy of 86.34% and an F1 score of 0.67 on a test set of sustainability reports</w:t>
      </w:r>
      <w:commentRangeEnd w:id="13"/>
      <w:commentReference w:id="13"/>
      <w:sdt>
        <w:sdtPr>
          <w:tag w:val="CITATION VinellaA23"/>
          <w:id w:val="1136503439"/>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 This work introduced a mathematical formulation of greenwashing risk that combines the NLP-derived commitment score with actual disclosed emissions data, creating a discourse-action gap metric</w:t>
      </w:r>
      <w:sdt>
        <w:sdtPr>
          <w:tag w:val="CITATION VinellaA23"/>
          <w:id w:val="897983497"/>
          <w:citation/>
        </w:sdtPr>
        <w:sdtContent>
          <w:r>
            <w:fldChar w:fldCharType="begin"/>
          </w:r>
          <w:r>
            <w:instrText xml:space="preserve"> CITATION VinellaA23 \l 1033 </w:instrText>
          </w:r>
          <w:r>
            <w:fldChar w:fldCharType="separate"/>
          </w:r>
          <w:r>
            <w:rPr>
              <w:noProof/>
            </w:rPr>
            <w:t xml:space="preserve">(Vinella et al., 2023)</w:t>
          </w:r>
          <w:r>
            <w:fldChar w:fldCharType="end"/>
          </w:r>
        </w:sdtContent>
      </w:sdt>
      <w:r>
        <w:rPr>
          <w:b w:val="false"/>
          <w:bCs w:val="false"/>
          <w:i w:val="false"/>
          <w:iCs w:val="false"/>
          <w:color w:val="000000"/>
        </w:rPr>
        <w:t xml:space="preserve">. A subsequent comprehensive framework by Wilson et al. (2026) integrates ClimateBERT text risk scores with XGBoost-based quantitative performance divergence scores, producing a composite greenwashing risk index with four severity tiers</w:t>
      </w:r>
      <w:sdt>
        <w:sdtPr>
          <w:tag w:val="CITATION WilsonB26"/>
          <w:id w:val="1680328675"/>
          <w:citation/>
        </w:sdtPr>
        <w:sdtContent>
          <w:r>
            <w:fldChar w:fldCharType="begin"/>
          </w:r>
          <w:r>
            <w:instrText xml:space="preserve"> CITATION WilsonB26 \l 1033 </w:instrText>
          </w:r>
          <w:r>
            <w:fldChar w:fldCharType="separate"/>
          </w:r>
          <w:r>
            <w:rPr>
              <w:noProof/>
            </w:rPr>
            <w:t xml:space="preserve">(Wilson et al., 2026)</w:t>
          </w:r>
          <w:r>
            <w:fldChar w:fldCharType="end"/>
          </w:r>
        </w:sdtContent>
      </w:sdt>
      <w:r>
        <w:rPr>
          <w:b w:val="false"/>
          <w:bCs w:val="false"/>
          <w:i w:val="false"/>
          <w:iCs w:val="false"/>
          <w:color w:val="000000"/>
        </w:rPr>
        <w:t xml:space="preserve">.</w:t>
      </w:r>
    </w:p>
    <w:p>
      <w:r>
        <w:rPr>
          <w:b w:val="false"/>
          <w:bCs w:val="false"/>
          <w:i w:val="false"/>
          <w:iCs w:val="false"/>
          <w:color w:val="000000"/>
        </w:rPr>
        <w:t xml:space="preserve">A fundamental limitation of ClimateBERT for the purposes of this thesis is its restrictive domain scope. Pre-trained on climate-related texts, ClimateBERT is primarily domain-specific to environmental aspects, which can limit its effectiveness for topics outside its training corpus, such as governance quality, labor practices, community engagement, or complex social dimensions</w:t>
      </w:r>
      <w:sdt>
        <w:sdtPr>
          <w:tag w:val="CITATION CalamaiT25"/>
          <w:id w:val="1131869668"/>
          <w:citation/>
        </w:sdtPr>
        <w:sdtContent>
          <w:r>
            <w:fldChar w:fldCharType="begin"/>
          </w:r>
          <w:r>
            <w:instrText xml:space="preserve"> CITATION CalamaiT25 \p 6 \l 1033 </w:instrText>
          </w:r>
          <w:r>
            <w:fldChar w:fldCharType="separate"/>
          </w:r>
          <w:r>
            <w:rPr>
              <w:noProof/>
            </w:rPr>
            <w:t xml:space="preserve">(Calamai et al., 2025)</w:t>
          </w:r>
          <w:r>
            <w:fldChar w:fldCharType="end"/>
          </w:r>
        </w:sdtContent>
      </w:sdt>
      <w:r>
        <w:rPr>
          <w:b w:val="false"/>
          <w:bCs w:val="false"/>
          <w:i w:val="false"/>
          <w:iCs w:val="false"/>
          <w:color w:val="000000"/>
        </w:rPr>
        <w:t xml:space="preserve">. While research into corporate greenwashing confirms that models fine-tuned on annotated human datasets can achieve near-perfect performance on in-domain data, these models demonstrate substantial performance degradation when confronted with lexically similar but conceptually distinct topics, particularly when evaluating social or governance aspects absent from their original training distributions</w:t>
      </w:r>
      <w:sdt>
        <w:sdtPr>
          <w:tag w:val="CITATION ZiemsC23"/>
          <w:id w:val="71896261"/>
          <w:citation/>
        </w:sdtPr>
        <w:sdtContent>
          <w:r>
            <w:fldChar w:fldCharType="begin"/>
          </w:r>
          <w:r>
            <w:instrText xml:space="preserve"> CITATION ZiemsC23 \p 259 \l 1033 </w:instrText>
          </w:r>
          <w:r>
            <w:fldChar w:fldCharType="separate"/>
          </w:r>
          <w:r>
            <w:rPr>
              <w:noProof/>
            </w:rPr>
            <w:t xml:space="preserve">(Ziems et al., 2023)</w:t>
          </w:r>
          <w:r>
            <w:fldChar w:fldCharType="end"/>
          </w:r>
        </w:sdtContent>
      </w:sdt>
      <w:r>
        <w:rPr>
          <w:b w:val="false"/>
          <w:bCs w:val="false"/>
          <w:i w:val="false"/>
          <w:iCs w:val="false"/>
          <w:color w:val="000000"/>
        </w:rPr>
        <w:t xml:space="preserve">. This systemic sensitivity—where model efficacy is tethered to the narrow bounds of the pre-training corpus—highlights a critical domain-specificity trap </w:t>
      </w:r>
      <w:sdt>
        <w:sdtPr>
          <w:tag w:val="CITATION MughalN24"/>
          <w:id w:val="492483417"/>
          <w:citation/>
        </w:sdtPr>
        <w:sdtContent>
          <w:r>
            <w:fldChar w:fldCharType="begin"/>
          </w:r>
          <w:r>
            <w:instrText xml:space="preserve"> CITATION MughalN24 \l 1033 </w:instrText>
          </w:r>
          <w:r>
            <w:fldChar w:fldCharType="separate"/>
          </w:r>
          <w:r>
            <w:rPr>
              <w:noProof/>
            </w:rPr>
            <w:t xml:space="preserve">(Mughal et al., 2024)</w:t>
          </w:r>
          <w:r>
            <w:fldChar w:fldCharType="end"/>
          </w:r>
        </w:sdtContent>
      </w:sdt>
      <w:r>
        <w:rPr>
          <w:b w:val="false"/>
          <w:bCs w:val="false"/>
          <w:i w:val="false"/>
          <w:iCs w:val="false"/>
          <w:color w:val="000000"/>
        </w:rPr>
        <w:t xml:space="preserve">. Consequently, this thesis treats ClimateBERT as a constrained comparison baseline rather than a substitute for a comprehensive ESG-ABSA schema, which necessitates the structural domain knowledge and expert-validated annotation pipelines required to capture the full spectrum of ESG materiality</w:t>
      </w:r>
      <w:sdt>
        <w:sdtPr>
          <w:tag w:val="CITATION PavlovaM24"/>
          <w:id w:val="1120588371"/>
          <w:citation/>
        </w:sdtPr>
        <w:sdtContent>
          <w:r>
            <w:fldChar w:fldCharType="begin"/>
          </w:r>
          <w:r>
            <w:instrText xml:space="preserve"> CITATION PavlovaM24 \p 1 \l 1033 </w:instrText>
          </w:r>
          <w:r>
            <w:fldChar w:fldCharType="separate"/>
          </w:r>
          <w:r>
            <w:rPr>
              <w:noProof/>
            </w:rPr>
            <w:t xml:space="preserve">(Pavlova et al., 2024)</w:t>
          </w:r>
          <w:r>
            <w:fldChar w:fldCharType="end"/>
          </w:r>
        </w:sdtContent>
      </w:sdt>
      <w:r>
        <w:rPr>
          <w:b w:val="false"/>
          <w:bCs w:val="false"/>
          <w:i w:val="false"/>
          <w:iCs w:val="false"/>
          <w:color w:val="000000"/>
        </w:rPr>
        <w:t xml:space="preserve">.</w:t>
      </w:r>
    </w:p>
    <w:p>
      <w:pPr>
        <w:pStyle w:val="Heading3"/>
      </w:pPr>
      <w:r>
        <w:rPr>
          <w:b w:val="false"/>
          <w:bCs w:val="false"/>
          <w:i/>
          <w:iCs/>
          <w:color w:val="000000"/>
        </w:rPr>
        <w:t xml:space="preserve">2.2.2  ESG NLP Benchmarks and Datasets</w:t>
      </w:r>
    </w:p>
    <w:p>
      <w:r>
        <w:rPr>
          <w:b w:val="false"/>
          <w:bCs w:val="false"/>
          <w:i w:val="false"/>
          <w:iCs w:val="false"/>
          <w:color w:val="000000"/>
        </w:rPr>
        <w:t xml:space="preserve">The 2023–2025 period has seen a marked proliferation of ESG-specific NLP benchmarks, signaling a decisive pivot from general-purpose LLM evaluation toward domain-specific fidelity. Initiatives such as ESGenius provide a comprehensive question-answering framework aligned with IFRS-ISSB, TCFD, and CDP standards to assess LLM sustainability knowledge across ESG pillars</w:t>
      </w:r>
      <w:sdt>
        <w:sdtPr>
          <w:tag w:val="CITATION HeC25"/>
          <w:id w:val="1397161899"/>
          <w:citation/>
        </w:sdtPr>
        <w:sdtContent>
          <w:r>
            <w:fldChar w:fldCharType="begin"/>
          </w:r>
          <w:r>
            <w:instrText xml:space="preserve"> CITATION HeC25 \p 2 \l 1033 </w:instrText>
          </w:r>
          <w:r>
            <w:fldChar w:fldCharType="separate"/>
          </w:r>
          <w:r>
            <w:rPr>
              <w:noProof/>
            </w:rPr>
            <w:t xml:space="preserve">(He et al., 2025)</w:t>
          </w:r>
          <w:r>
            <w:fldChar w:fldCharType="end"/>
          </w:r>
        </w:sdtContent>
      </w:sdt>
      <w:r>
        <w:rPr>
          <w:b w:val="false"/>
          <w:bCs w:val="false"/>
          <w:i w:val="false"/>
          <w:iCs w:val="false"/>
          <w:color w:val="000000"/>
        </w:rPr>
        <w:t xml:space="preserve">. Similarly, the introduction of specialized datasets, such as the ESG-FTSE corpus, addresses the persistent scarcity of labeled examples for fine-tuning, allowing researchers to evaluate model performance against standardized, expert-annotated labels</w:t>
      </w:r>
      <w:sdt>
        <w:sdtPr>
          <w:tag w:val="CITATION PavlovaM24"/>
          <w:id w:val="1941401285"/>
          <w:citation/>
        </w:sdtPr>
        <w:sdtContent>
          <w:r>
            <w:fldChar w:fldCharType="begin"/>
          </w:r>
          <w:r>
            <w:instrText xml:space="preserve"> CITATION PavlovaM24 \p 3 \l 1033 </w:instrText>
          </w:r>
          <w:r>
            <w:fldChar w:fldCharType="separate"/>
          </w:r>
          <w:r>
            <w:rPr>
              <w:noProof/>
            </w:rPr>
            <w:t xml:space="preserve">(Pavlova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Complementing this, ESGBench prioritizes interpretability, offering a public pipeline that integrates PDF ingestion, chunked indexing, and automated QA generation with verbatim evidentiary support, while employing a rigorous evaluation suite that reports exact match, token F1, and unit-aware numeric accuracy</w:t>
      </w:r>
      <w:sdt>
        <w:sdtPr>
          <w:tag w:val="CITATION GeorgeS25"/>
          <w:id w:val="1211659695"/>
          <w:citation/>
        </w:sdtPr>
        <w:sdtContent>
          <w:r>
            <w:fldChar w:fldCharType="begin"/>
          </w:r>
          <w:r>
            <w:instrText xml:space="preserve"> CITATION GeorgeS25 \l 1033 </w:instrText>
          </w:r>
          <w:r>
            <w:fldChar w:fldCharType="separate"/>
          </w:r>
          <w:r>
            <w:rPr>
              <w:noProof/>
            </w:rPr>
            <w:t xml:space="preserve">(George &amp; Saji, 2025)</w:t>
          </w:r>
          <w:r>
            <w:fldChar w:fldCharType="end"/>
          </w:r>
        </w:sdtContent>
      </w:sdt>
      <w:r>
        <w:rPr>
          <w:b w:val="false"/>
          <w:bCs w:val="false"/>
          <w:i w:val="false"/>
          <w:iCs w:val="false"/>
          <w:color w:val="000000"/>
        </w:rPr>
        <w:t xml:space="preserve">. Furthermore, recent advancements have expanded the scope of these models by leveraging diverse data sources, such as the 13.8 million documents utilized to develop specialized ESG models that enhance the transparency and accuracy of sustainability quantification </w:t>
      </w:r>
      <w:sdt>
        <w:sdtPr>
          <w:tag w:val="CITATION SchimanskiT242"/>
          <w:id w:val="788893226"/>
          <w:citation/>
        </w:sdtPr>
        <w:sdtContent>
          <w:r>
            <w:fldChar w:fldCharType="begin"/>
          </w:r>
          <w:r>
            <w:instrText xml:space="preserve"> CITATION SchimanskiT242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Critically, however, baseline Retrieval-Augmented Generation experiments on these datasets expose a persistent failure mode: even state-of-the-art models consistently falter in the reliable interpretation of numeric KPIs and the grounding of answers within complex table structures—failures that directly undermine the analytical precision required for corporate sustainability assessment. To address these structural limitations, recent initiatives like ESG-CID utilize disclosure content indexes as weak supervision to better map complex regulatory requirements to specific report segments </w:t>
      </w:r>
      <w:sdt>
        <w:sdtPr>
          <w:tag w:val="CITATION AhmedS25"/>
          <w:id w:val="1479865056"/>
          <w:citation/>
        </w:sdtPr>
        <w:sdtContent>
          <w:r>
            <w:fldChar w:fldCharType="begin"/>
          </w:r>
          <w:r>
            <w:instrText xml:space="preserve"> CITATION AhmedS25 \l 1033 </w:instrText>
          </w:r>
          <w:r>
            <w:fldChar w:fldCharType="separate"/>
          </w:r>
          <w:r>
            <w:rPr>
              <w:noProof/>
            </w:rPr>
            <w:t xml:space="preserve">(Ahmed et al., 2025)</w:t>
          </w:r>
          <w:r>
            <w:fldChar w:fldCharType="end"/>
          </w:r>
        </w:sdtContent>
      </w:sdt>
      <w:r>
        <w:rPr>
          <w:b w:val="false"/>
          <w:bCs w:val="false"/>
          <w:i w:val="false"/>
          <w:iCs w:val="false"/>
          <w:color w:val="000000"/>
        </w:rPr>
        <w:t xml:space="preserve">. These methodological advancements are further bolstered by hierarchical multi-agent architectures, such as ESGAgent, which integrate retrieval augmentation with domain-specific toolsets to overcome data fragmentation across unstructured corporate reports </w:t>
      </w:r>
      <w:sdt>
        <w:sdtPr>
          <w:tag w:val="CITATION ZhaoY26"/>
          <w:id w:val="689664766"/>
          <w:citation/>
        </w:sdtPr>
        <w:sdtContent>
          <w:r>
            <w:fldChar w:fldCharType="begin"/>
          </w:r>
          <w:r>
            <w:instrText xml:space="preserve"> CITATION ZhaoY26 \m ZhaoY262 \l 1033 </w:instrText>
          </w:r>
          <w:r>
            <w:fldChar w:fldCharType="separate"/>
          </w:r>
          <w:r>
            <w:rPr>
              <w:noProof/>
            </w:rPr>
            <w:t xml:space="preserve">(Zhao et al., 2026a, 2026b)</w:t>
          </w:r>
          <w:r>
            <w:fldChar w:fldCharType="end"/>
          </w:r>
        </w:sdtContent>
      </w:sdt>
      <w:r>
        <w:rPr>
          <w:b w:val="false"/>
          <w:bCs w:val="false"/>
          <w:i w:val="false"/>
          <w:iCs w:val="false"/>
          <w:color w:val="000000"/>
        </w:rPr>
        <w:t xml:space="preserve">. </w:t>
      </w:r>
    </w:p>
    <w:p>
      <w:r>
        <w:rPr>
          <w:b w:val="false"/>
          <w:bCs w:val="false"/>
          <w:i w:val="false"/>
          <w:iCs w:val="false"/>
          <w:color w:val="000000"/>
        </w:rPr>
        <w:t xml:space="preserve">Moreover, recent efforts like ClimRetrieve emphasize that the underlying information retrieval mechanism often exacerbates these challenges, as standard embedding models struggle to capture the nuance required for knowledge-intensive climate disclosures </w:t>
      </w:r>
      <w:sdt>
        <w:sdtPr>
          <w:tag w:val="CITATION SchimanskiT243"/>
          <w:id w:val="1244075752"/>
          <w:citation/>
        </w:sdtPr>
        <w:sdtContent>
          <w:r>
            <w:fldChar w:fldCharType="begin"/>
          </w:r>
          <w:r>
            <w:instrText xml:space="preserve"> CITATION SchimanskiT243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Recent advancements have yielded specialized benchmarks designed to quantify ESG disclosure quality. </w:t>
      </w:r>
    </w:p>
    <w:p>
      <w:r>
        <w:rPr>
          <w:b w:val="false"/>
          <w:bCs w:val="false"/>
          <w:i w:val="false"/>
          <w:iCs w:val="false"/>
          <w:color w:val="000000"/>
        </w:rPr>
        <w:t xml:space="preserve">Notable contributions include Lan et al.’s 8,000-label sentence-level completeness dataset, Tang et al.’s multi-stage expert-annotated greenhouse gas extraction benchmark, and the massive Nano-ESG corpus, which leverages GPT-4o to derive sentiment and aspect data from over 840,000 German DAX-40 articles. </w:t>
      </w:r>
    </w:p>
    <w:p>
      <w:r>
        <w:rPr>
          <w:b w:val="false"/>
          <w:bCs w:val="false"/>
          <w:i w:val="false"/>
          <w:iCs w:val="false"/>
          <w:color w:val="000000"/>
        </w:rPr>
        <w:t xml:space="preserve">Despite the methodological rigor exemplified by these datasets, they collectively expose a systemic bottleneck in ESG NLP: an entrenched reliance on the linguistic and regulatory conventions of developed Western markets, which complicates the transferability of these models to emerging economies that operate under distinct materiality thresholds and non-standardized regulatory taxonomies. Furthermore, the shift from traditional topic modeling and human supervision toward domain-adaptive Transformer classifiers necessitates a broader evaluation of structural variations among rating agencies to ensure cross-lingual robustness </w:t>
      </w:r>
      <w:sdt>
        <w:sdtPr>
          <w:tag w:val="CITATION ChenQ26"/>
          <w:id w:val="752745736"/>
          <w:citation/>
        </w:sdtPr>
        <w:sdtContent>
          <w:r>
            <w:fldChar w:fldCharType="begin"/>
          </w:r>
          <w:r>
            <w:instrText xml:space="preserve"> CITATION ChenQ26 \l 1033 </w:instrText>
          </w:r>
          <w:r>
            <w:fldChar w:fldCharType="separate"/>
          </w:r>
          <w:r>
            <w:rPr>
              <w:noProof/>
            </w:rPr>
            <w:t xml:space="preserve">(Chen, 2026)</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This concentration of research efforts creates a significant analytical blind spot, as benchmarks optimized for high-resource, English-speaking environments frequently demonstrate limited transferability to the heterogeneous reporting standards and complex regulatory landscapes of emerging economies </w:t>
      </w:r>
      <w:sdt>
        <w:sdtPr>
          <w:tag w:val="CITATION LiC25"/>
          <w:id w:val="224522325"/>
          <w:citation/>
        </w:sdtPr>
        <w:sdtContent>
          <w:r>
            <w:fldChar w:fldCharType="begin"/>
          </w:r>
          <w:r>
            <w:instrText xml:space="preserve"> CITATION LiC25 \m HeC25 \m ChenC23 \l 1033 </w:instrText>
          </w:r>
          <w:r>
            <w:fldChar w:fldCharType="separate"/>
          </w:r>
          <w:r>
            <w:rPr>
              <w:noProof/>
            </w:rPr>
            <w:t xml:space="preserve">(Chen et al., 2023; He et al., 2025; Li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This Northern-centric paradigm significantly diminishes model performance in emerging market contexts, where unique materiality thresholds, non-standardized linguistic nuances, and local regulatory taxonomies—such as those mandated by the OJK—are often absent from training distributions </w:t>
      </w:r>
      <w:sdt>
        <w:sdtPr>
          <w:tag w:val="CITATION LiC25"/>
          <w:id w:val="666803598"/>
          <w:citation/>
        </w:sdtPr>
        <w:sdtContent>
          <w:r>
            <w:fldChar w:fldCharType="begin"/>
          </w:r>
          <w:r>
            <w:instrText xml:space="preserve"> CITATION LiC25 \m ChenC23 \l 1033 </w:instrText>
          </w:r>
          <w:r>
            <w:fldChar w:fldCharType="separate"/>
          </w:r>
          <w:r>
            <w:rPr>
              <w:noProof/>
            </w:rPr>
            <w:t xml:space="preserve">(Chen et al., 2023; Li et al., 2025)</w:t>
          </w:r>
          <w:r>
            <w:fldChar w:fldCharType="end"/>
          </w:r>
        </w:sdtContent>
      </w:sdt>
      <w:r>
        <w:rPr>
          <w:b w:val="false"/>
          <w:bCs w:val="false"/>
          <w:i w:val="false"/>
          <w:iCs w:val="false"/>
          <w:color w:val="000000"/>
        </w:rPr>
        <w:t xml:space="preserve">. Consequently, the wholesale application of these benchmarks creates an analytical blind spot, necessitating a transition toward cross-jurisdictional datasets that explicitly incorporate heterogeneous reporting standards and non-English sustainability disclosures to ensure global relevance </w:t>
      </w:r>
      <w:sdt>
        <w:sdtPr>
          <w:tag w:val="CITATION HeC25"/>
          <w:id w:val="591466889"/>
          <w:citation/>
        </w:sdtPr>
        <w:sdtContent>
          <w:r>
            <w:fldChar w:fldCharType="begin"/>
          </w:r>
          <w:r>
            <w:instrText xml:space="preserve"> CITATION HeC25 \p 10 \l 1033 </w:instrText>
          </w:r>
          <w:r>
            <w:fldChar w:fldCharType="separate"/>
          </w:r>
          <w:r>
            <w:rPr>
              <w:noProof/>
            </w:rPr>
            <w:t xml:space="preserve">(He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This geographical bias limits the applicability of current models to emerging market frameworks, where reporting styles and regulatory disclosures often diverge significantly from established international standards</w:t>
      </w:r>
      <w:sdt>
        <w:sdtPr>
          <w:tag w:val="CITATION LiC25"/>
          <w:id w:val="1521460541"/>
          <w:citation/>
        </w:sdtPr>
        <w:sdtContent>
          <w:r>
            <w:fldChar w:fldCharType="begin"/>
          </w:r>
          <w:r>
            <w:instrText xml:space="preserve"> CITATION LiC25 \l 1033 </w:instrText>
          </w:r>
          <w:r>
            <w:fldChar w:fldCharType="separate"/>
          </w:r>
          <w:r>
            <w:rPr>
              <w:noProof/>
            </w:rPr>
            <w:t xml:space="preserve">(Li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 This concentration of research efforts creates a significant analytical blind spot regarding emerging markets, where distinct materiality thresholds, non-standardized linguistic nuances, and local regulatory taxonomies—such as those dictated by OJK reporting mandates—demand specialized, locally-contextualized evaluation frameworks rather than the wholesale application of Northern-centric benchmarks. To mitigate this geographic bias, future benchmarking efforts must transition toward cross-jurisdictional datasets that explicitly incorporate heterogeneous reporting standards and non-English sustainability disclosures</w:t>
      </w:r>
      <w:sdt>
        <w:sdtPr>
          <w:tag w:val="CITATION ChenC23"/>
          <w:id w:val="1179270237"/>
          <w:citation/>
        </w:sdtPr>
        <w:sdtContent>
          <w:r>
            <w:fldChar w:fldCharType="begin"/>
          </w:r>
          <w:r>
            <w:instrText xml:space="preserve"> CITATION ChenC23 \m YuE21 \p 46 \l 1033 </w:instrText>
          </w:r>
          <w:r>
            <w:fldChar w:fldCharType="separate"/>
          </w:r>
          <w:r>
            <w:rPr>
              <w:noProof/>
            </w:rPr>
            <w:t xml:space="preserve">(Chen et al., 2023; Yu &amp; Luu, 2021)</w:t>
          </w:r>
          <w:r>
            <w:fldChar w:fldCharType="end"/>
          </w:r>
        </w:sdtContent>
      </w:sdt>
      <w:r>
        <w:rPr>
          <w:b w:val="false"/>
          <w:bCs w:val="false"/>
          <w:i w:val="false"/>
          <w:iCs w:val="false"/>
          <w:color w:val="000000"/>
        </w:rPr>
        <w:t xml:space="preserve">. Furthermore, these efforts should prioritize the development of expert-in-the-loop active sampling to circumvent the scarcity of domain expertise in under-represented regions and ensure the long-term scalability of annotated corpora </w:t>
      </w:r>
      <w:sdt>
        <w:sdtPr>
          <w:tag w:val="CITATION HeC25"/>
          <w:id w:val="1559068954"/>
          <w:citation/>
        </w:sdtPr>
        <w:sdtContent>
          <w:r>
            <w:fldChar w:fldCharType="begin"/>
          </w:r>
          <w:r>
            <w:instrText xml:space="preserve"> CITATION HeC25 \p 10 \l 1033 </w:instrText>
          </w:r>
          <w:r>
            <w:fldChar w:fldCharType="separate"/>
          </w:r>
          <w:r>
            <w:rPr>
              <w:noProof/>
            </w:rPr>
            <w:t xml:space="preserve">(He et al., 2025)</w:t>
          </w:r>
          <w:r>
            <w:fldChar w:fldCharType="end"/>
          </w:r>
        </w:sdtContent>
      </w:sdt>
      <w:r>
        <w:rPr>
          <w:b w:val="false"/>
          <w:bCs w:val="false"/>
          <w:i w:val="false"/>
          <w:iCs w:val="false"/>
          <w:color w:val="000000"/>
        </w:rPr>
        <w:t xml:space="preserve">. </w:t>
      </w:r>
    </w:p>
    <w:p>
      <w:pPr>
        <w:pStyle w:val="Heading3"/>
      </w:pPr>
      <w:r>
        <w:rPr>
          <w:b w:val="false"/>
          <w:bCs w:val="false"/>
          <w:i/>
          <w:iCs/>
          <w:color w:val="000000"/>
        </w:rPr>
        <w:t xml:space="preserve">2.2.3  ESG Reporting Frameworks: GRI, SASB, TCFD, and OJK</w:t>
      </w:r>
    </w:p>
    <w:p>
      <w:r>
        <w:rPr>
          <w:b w:val="false"/>
          <w:bCs w:val="false"/>
          <w:i w:val="false"/>
          <w:iCs w:val="false"/>
          <w:color w:val="000000"/>
        </w:rPr>
        <w:t xml:space="preserve">The principal international ESG reporting frameworks are the Global Reporting Initiative (GRI), the Sustainability Accounting Standards Board (SASB), and the Task Force on Climate-related Financial Disclosures (TCFD)</w:t>
      </w:r>
      <w:sdt>
        <w:sdtPr>
          <w:tag w:val="CITATION BarkerR25"/>
          <w:id w:val="277626100"/>
          <w:citation/>
        </w:sdtPr>
        <w:sdtContent>
          <w:r>
            <w:fldChar w:fldCharType="begin"/>
          </w:r>
          <w:r>
            <w:instrText xml:space="preserve"> CITATION BarkerR25 \p 107282 \l 1033 </w:instrText>
          </w:r>
          <w:r>
            <w:fldChar w:fldCharType="separate"/>
          </w:r>
          <w:r>
            <w:rPr>
              <w:noProof/>
            </w:rPr>
            <w:t xml:space="preserve">(Barker, 2025)</w:t>
          </w:r>
          <w:r>
            <w:fldChar w:fldCharType="end"/>
          </w:r>
        </w:sdtContent>
      </w:sdt>
      <w:r>
        <w:rPr>
          <w:b w:val="false"/>
          <w:bCs w:val="false"/>
          <w:i w:val="false"/>
          <w:iCs w:val="false"/>
          <w:color w:val="000000"/>
        </w:rPr>
        <w:t xml:space="preserve">. GRI provides comprehensive stakeholder-oriented guidance built on principles of materiality, completeness, and accuracy, and is the most widely adopted framework globally (GRI, 2023). SASB provides industry-specific standards oriented toward financial materiality for investors (SASB, 2018). TCFD organizes climate-related disclosures into four thematic areas: governance, strategy, risk management, and metrics and targets</w:t>
      </w:r>
      <w:sdt>
        <w:sdtPr>
          <w:tag w:val="CITATION ODwyerB20"/>
          <w:id w:val="1345092868"/>
          <w:citation/>
        </w:sdtPr>
        <w:sdtContent>
          <w:r>
            <w:fldChar w:fldCharType="begin"/>
          </w:r>
          <w:r>
            <w:instrText xml:space="preserve"> CITATION ODwyerB20 \p 1120 \l 1033 </w:instrText>
          </w:r>
          <w:r>
            <w:fldChar w:fldCharType="separate"/>
          </w:r>
          <w:r>
            <w:rPr>
              <w:noProof/>
            </w:rPr>
            <w:t xml:space="preserve">(O’Dwyer &amp; Unerman, 2020)</w:t>
          </w:r>
          <w:r>
            <w:fldChar w:fldCharType="end"/>
          </w:r>
        </w:sdtContent>
      </w:sdt>
      <w:r>
        <w:rPr>
          <w:b w:val="false"/>
          <w:bCs w:val="false"/>
          <w:i w:val="false"/>
          <w:iCs w:val="false"/>
          <w:color w:val="000000"/>
        </w:rPr>
        <w:t xml:space="preserve">. </w:t>
      </w:r>
      <w:commentRangeStart w:id="17"/>
      <w:r>
        <w:rPr>
          <w:b w:val="false"/>
          <w:bCs w:val="false"/>
          <w:i w:val="false"/>
          <w:iCs w:val="false"/>
          <w:color w:val="000000"/>
        </w:rPr>
        <w:t xml:space="preserve">A notable limitation across all three is that they lack formal machine-actionable representations; their indicator definitions are distributed across narrative text, tables, and cross-referenced sections (OntoMetric, 2024).</w:t>
      </w:r>
      <w:commentRangeEnd w:id="17"/>
      <w:commentReference w:id="17"/>
    </w:p>
    <w:p>
      <w:r>
        <w:rPr>
          <w:b w:val="false"/>
          <w:bCs w:val="false"/>
          <w:i w:val="false"/>
          <w:iCs w:val="false"/>
          <w:color w:val="000000"/>
        </w:rPr>
        <w:t xml:space="preserve">In the Indonesian context, the Otoritas Jasa Keuangan (OJK, Financial Services Authority) issued Regulation No. 51/POJK.03/2017 mandating sustainability reporting for financial institutions and capital market participants</w:t>
      </w:r>
      <w:sdt>
        <w:sdtPr>
          <w:tag w:val="CITATION AdharianiD20"/>
          <w:id w:val="943721933"/>
          <w:citation/>
        </w:sdtPr>
        <w:sdtContent>
          <w:r>
            <w:fldChar w:fldCharType="begin"/>
          </w:r>
          <w:r>
            <w:instrText xml:space="preserve"> CITATION AdharianiD20 \p 626 \l 1033 </w:instrText>
          </w:r>
          <w:r>
            <w:fldChar w:fldCharType="separate"/>
          </w:r>
          <w:r>
            <w:rPr>
              <w:noProof/>
            </w:rPr>
            <w:t xml:space="preserve">(Adhariani &amp; Toit, 2020)</w:t>
          </w:r>
          <w:r>
            <w:fldChar w:fldCharType="end"/>
          </w:r>
        </w:sdtContent>
      </w:sdt>
      <w:r>
        <w:rPr>
          <w:b w:val="false"/>
          <w:bCs w:val="false"/>
          <w:i w:val="false"/>
          <w:iCs w:val="false"/>
          <w:color w:val="000000"/>
        </w:rPr>
        <w:t xml:space="preserve">. </w:t>
      </w:r>
      <w:commentRangeStart w:id="19"/>
      <w:r>
        <w:rPr>
          <w:b w:val="false"/>
          <w:bCs w:val="false"/>
          <w:i w:val="false"/>
          <w:iCs w:val="false"/>
          <w:color w:val="000000"/>
        </w:rPr>
        <w:t xml:space="preserve">OJK's Sustainable Finance Roadmap and its alignment with Bank Indonesia's green finance taxonomy define a localized ESG vocabulary that does not map directly onto GRI or SASB terminology</w:t>
      </w:r>
      <w:sdt>
        <w:sdtPr>
          <w:tag w:val="CITATION SetyowatiA20"/>
          <w:id w:val="966593820"/>
          <w:citation/>
        </w:sdtPr>
        <w:sdtContent>
          <w:r>
            <w:fldChar w:fldCharType="begin"/>
          </w:r>
          <w:r>
            <w:instrText xml:space="preserve"> CITATION SetyowatiA20 \l 1033 </w:instrText>
          </w:r>
          <w:r>
            <w:fldChar w:fldCharType="separate"/>
          </w:r>
          <w:r>
            <w:rPr>
              <w:noProof/>
            </w:rPr>
            <w:t xml:space="preserve">(Setyowati, 2020)</w:t>
          </w:r>
          <w:r>
            <w:fldChar w:fldCharType="end"/>
          </w:r>
        </w:sdtContent>
      </w:sdt>
      <w:r>
        <w:rPr>
          <w:b w:val="false"/>
          <w:bCs w:val="false"/>
          <w:i w:val="false"/>
          <w:iCs w:val="false"/>
          <w:color w:val="000000"/>
        </w:rPr>
        <w:t xml:space="preserve">.</w:t>
      </w:r>
      <w:commentRangeEnd w:id="19"/>
      <w:commentReference w:id="19"/>
      <w:r>
        <w:rPr>
          <w:b w:val="false"/>
          <w:bCs w:val="false"/>
          <w:i w:val="false"/>
          <w:iCs w:val="false"/>
          <w:color w:val="000000"/>
        </w:rPr>
        <w:t xml:space="preserve"> This is particularly relevant for Indonesian company analysis, as ESG aspect clusters identified from Indonesian sustainability reports are expected to reflect OJK regulatory categories alongside internationally recognized standard categories. The 46-cluster aspect taxonomy developed in this thesis is grounded in this dual-framework reality. This hybrid approach facilitates a nuanced interpretation of local sustainability performance, enabling the automated extraction of data that accounts for both domestic regulatory compliance and global investor expectations </w:t>
      </w:r>
      <w:sdt>
        <w:sdtPr>
          <w:tag w:val="CITATION TkachenkoN24"/>
          <w:id w:val="817624926"/>
          <w:citation/>
        </w:sdtPr>
        <w:sdtContent>
          <w:r>
            <w:fldChar w:fldCharType="begin"/>
          </w:r>
          <w:r>
            <w:instrText xml:space="preserve"> CITATION TkachenkoN24 \p 4 \l 1033 </w:instrText>
          </w:r>
          <w:r>
            <w:fldChar w:fldCharType="separate"/>
          </w:r>
          <w:r>
            <w:rPr>
              <w:noProof/>
            </w:rPr>
            <w:t xml:space="preserve">(Tkachenko, 2024)</w:t>
          </w:r>
          <w:r>
            <w:fldChar w:fldCharType="end"/>
          </w:r>
        </w:sdtContent>
      </w:sdt>
      <w:r>
        <w:rPr>
          <w:b w:val="false"/>
          <w:bCs w:val="false"/>
          <w:i w:val="false"/>
          <w:iCs w:val="false"/>
          <w:color w:val="000000"/>
        </w:rPr>
        <w:t xml:space="preserve">. </w:t>
      </w:r>
    </w:p>
    <w:p>
      <w:pPr>
        <w:pStyle w:val="Heading2"/>
      </w:pPr>
      <w:r>
        <w:rPr>
          <w:b w:val="false"/>
          <w:bCs w:val="false"/>
          <w:i w:val="false"/>
          <w:iCs w:val="false"/>
          <w:color w:val="000000"/>
        </w:rPr>
        <w:t xml:space="preserve">2.3  LLM-Based Structured Extraction from Sustainability Disclosures</w:t>
      </w:r>
    </w:p>
    <w:p>
      <w:pPr>
        <w:pStyle w:val="Heading3"/>
      </w:pPr>
      <w:r>
        <w:rPr>
          <w:b w:val="false"/>
          <w:bCs w:val="false"/>
          <w:i/>
          <w:iCs/>
          <w:color w:val="000000"/>
        </w:rPr>
        <w:t xml:space="preserve">2.3.1  Extraction Pipeline Architectures</w:t>
      </w:r>
    </w:p>
    <w:p>
      <w:r>
        <w:rPr>
          <w:b w:val="false"/>
          <w:bCs w:val="false"/>
          <w:i w:val="false"/>
          <w:iCs w:val="false"/>
          <w:color w:val="000000"/>
        </w:rPr>
        <w:t xml:space="preserve">The extraction of structured data from lengthy sustainability disclosures using Large Language Models has witnessed accelerated development since 2023</w:t>
      </w:r>
      <w:sdt>
        <w:sdtPr>
          <w:tag w:val="CITATION AnarakiS25"/>
          <w:id w:val="1494130235"/>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 ESGReveal introduced a methodology integrating LLMs with Retrieval-Augmented Generation for structured ESG data extraction</w:t>
      </w:r>
      <w:sdt>
        <w:sdtPr>
          <w:tag w:val="CITATION ZouY23"/>
          <w:id w:val="1183202906"/>
          <w:citation/>
        </w:sdtPr>
        <w:sdtContent>
          <w:r>
            <w:fldChar w:fldCharType="begin"/>
          </w:r>
          <w:r>
            <w:instrText xml:space="preserve"> CITATION ZouY23 \l 1033 </w:instrText>
          </w:r>
          <w:r>
            <w:fldChar w:fldCharType="separate"/>
          </w:r>
          <w:r>
            <w:rPr>
              <w:noProof/>
            </w:rPr>
            <w:t xml:space="preserve">(Zou et al., 2023)</w:t>
          </w:r>
          <w:r>
            <w:fldChar w:fldCharType="end"/>
          </w:r>
        </w:sdtContent>
      </w:sdt>
      <w:r>
        <w:rPr>
          <w:b w:val="false"/>
          <w:bCs w:val="false"/>
          <w:i w:val="false"/>
          <w:iCs w:val="false"/>
          <w:color w:val="000000"/>
        </w:rPr>
        <w:t xml:space="preserve">. This approach utilizes high-precision extraction pipelines to isolate quantitative metrics from dense narrative disclosures, ensuring that the resulting data points can be validated through independent expert review </w:t>
      </w:r>
      <w:sdt>
        <w:sdtPr>
          <w:tag w:val="CITATION BeckJ25"/>
          <w:id w:val="1852270041"/>
          <w:citation/>
        </w:sdtPr>
        <w:sdtContent>
          <w:r>
            <w:fldChar w:fldCharType="begin"/>
          </w:r>
          <w:r>
            <w:instrText xml:space="preserve"> CITATION BeckJ25 \l 1033 </w:instrText>
          </w:r>
          <w:r>
            <w:fldChar w:fldCharType="separate"/>
          </w:r>
          <w:r>
            <w:rPr>
              <w:noProof/>
            </w:rPr>
            <w:t xml:space="preserve">(Beck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This work demonstrated that prompt specificity serves as a critical determinant of extraction accuracy and established that a modularized, three-component architecture consistently outperforms conventional, single-technology approaches, such as standalone BERT-based extractors. Furthermore, moving beyond simple entity recognition, recent agentic frameworks employ iterative reasoning modules to navigate the inherent ambiguity of non-standardized reporting, significantly improving the extraction of semantically-aware insights compared to legacy OIE methods</w:t>
      </w:r>
      <w:sdt>
        <w:sdtPr>
          <w:tag w:val="CITATION SchmollJ25"/>
          <w:id w:val="1213540536"/>
          <w:citation/>
        </w:sdtPr>
        <w:sdtContent>
          <w:r>
            <w:fldChar w:fldCharType="begin"/>
          </w:r>
          <w:r>
            <w:instrText xml:space="preserve"> CITATION SchmollJ25 \l 1033 </w:instrText>
          </w:r>
          <w:r>
            <w:fldChar w:fldCharType="separate"/>
          </w:r>
          <w:r>
            <w:rPr>
              <w:noProof/>
            </w:rPr>
            <w:t xml:space="preserve">(Schmoll, 2025)</w:t>
          </w:r>
          <w:r>
            <w:fldChar w:fldCharType="end"/>
          </w:r>
        </w:sdtContent>
      </w:sdt>
      <w:r>
        <w:rPr>
          <w:b w:val="false"/>
          <w:bCs w:val="false"/>
          <w:i w:val="false"/>
          <w:iCs w:val="false"/>
          <w:color w:val="000000"/>
        </w:rPr>
        <w:t xml:space="preserve">,</w:t>
      </w:r>
      <w:sdt>
        <w:sdtPr>
          <w:tag w:val="CITATION BronziniM24"/>
          <w:id w:val="17257262"/>
          <w:citation/>
        </w:sdtPr>
        <w:sdtContent>
          <w:r>
            <w:fldChar w:fldCharType="begin"/>
          </w:r>
          <w:r>
            <w:instrText xml:space="preserve"> CITATION BronziniM24 \p 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Complementing this, Sanaev proposed a hybrid pipeline combining regex, NLP, and table parsing with optional LLM augmentation, positing that fully auditable, schema-based, and deterministically testable extraction are essential prerequisites for ensuring reproducibility in empirical research. This shift toward deterministic architectures addresses the "black box" concerns inherent in deep learning models, providing the traceability required for high-stakes regulatory reporting and financial auditing </w:t>
      </w:r>
      <w:sdt>
        <w:sdtPr>
          <w:tag w:val="CITATION AnarakiS25"/>
          <w:id w:val="1837933673"/>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A consistent finding across extraction pipeline research is the presence of reliability risks: schema drift across model versions, missing field values in long-form responses, prompt sensitivity to minor wording changes, output differences across provider APIs, and JSON parse failures in generative outputs. To mitigate these vulnerabilities, recent systems have adopted explicit framework-aware modules that enforce strict alignment with established standards, ensuring the generated outputs remain both high-fidelity and assurance-ready </w:t>
      </w:r>
      <w:sdt>
        <w:sdtPr>
          <w:tag w:val="CITATION QureshiO26"/>
          <w:id w:val="1853635315"/>
          <w:citation/>
        </w:sdtPr>
        <w:sdtContent>
          <w:r>
            <w:fldChar w:fldCharType="begin"/>
          </w:r>
          <w:r>
            <w:instrText xml:space="preserve"> CITATION QureshiO26 \l 1033 </w:instrText>
          </w:r>
          <w:r>
            <w:fldChar w:fldCharType="separate"/>
          </w:r>
          <w:r>
            <w:rPr>
              <w:noProof/>
            </w:rPr>
            <w:t xml:space="preserve">(Qureshi, 2026)</w:t>
          </w:r>
          <w:r>
            <w:fldChar w:fldCharType="end"/>
          </w:r>
        </w:sdtContent>
      </w:sdt>
      <w:r>
        <w:rPr>
          <w:b w:val="false"/>
          <w:bCs w:val="false"/>
          <w:i w:val="false"/>
          <w:iCs w:val="false"/>
          <w:color w:val="000000"/>
        </w:rPr>
        <w:t xml:space="preserve">. </w:t>
      </w:r>
    </w:p>
    <w:p>
      <w:commentRangeStart w:id="18"/>
      <w:r>
        <w:rPr>
          <w:b w:val="false"/>
          <w:bCs w:val="false"/>
          <w:i w:val="false"/>
          <w:iCs w:val="false"/>
          <w:color w:val="000000"/>
        </w:rPr>
        <w:t xml:space="preserve">These findings directly motivate the pipeline design choice in this thesis to treat every LLM output as an auditable run artifact, preserving model identifier, prompt version, timestamp, target document, source text span, parsed fields, and parse status for every extracted record.</w:t>
      </w:r>
      <w:commentRangeEnd w:id="18"/>
      <w:commentReference w:id="18"/>
      <w:r>
        <w:rPr>
          <w:b w:val="false"/>
          <w:bCs w:val="false"/>
          <w:i w:val="false"/>
          <w:iCs w:val="false"/>
          <w:color w:val="000000"/>
        </w:rPr>
        <w:t xml:space="preserve"> By implementing this provenance-tracking mechanism, the architecture ensures that every data point is accompanied by a transparent audit trail, effectively bridging the gap between automated generation and the rigorous standards required for institutional-grade reliability </w:t>
      </w:r>
      <w:sdt>
        <w:sdtPr>
          <w:tag w:val="CITATION ChatterjeeS26"/>
          <w:id w:val="298026006"/>
          <w:citation/>
        </w:sdtPr>
        <w:sdtContent>
          <w:r>
            <w:fldChar w:fldCharType="begin"/>
          </w:r>
          <w:r>
            <w:instrText xml:space="preserve"> CITATION ChatterjeeS26 \m ChoiC25 \l 1033 </w:instrText>
          </w:r>
          <w:r>
            <w:fldChar w:fldCharType="separate"/>
          </w:r>
          <w:r>
            <w:rPr>
              <w:noProof/>
            </w:rPr>
            <w:t xml:space="preserve">(Chatterjee et al., 2026; Choi et al., 2025)</w:t>
          </w:r>
          <w:r>
            <w:fldChar w:fldCharType="end"/>
          </w:r>
        </w:sdtContent>
      </w:sdt>
      <w:r>
        <w:rPr>
          <w:b w:val="false"/>
          <w:bCs w:val="false"/>
          <w:i w:val="false"/>
          <w:iCs w:val="false"/>
          <w:color w:val="000000"/>
        </w:rPr>
        <w:t xml:space="preserve">. </w:t>
      </w:r>
    </w:p>
    <w:p>
      <w:pPr>
        <w:pStyle w:val="Heading3"/>
      </w:pPr>
      <w:r>
        <w:rPr>
          <w:b w:val="false"/>
          <w:bCs w:val="false"/>
          <w:i/>
          <w:iCs/>
          <w:color w:val="000000"/>
        </w:rPr>
        <w:t xml:space="preserve">2.3.2  Prompt Engineering for Structured ESG Extraction</w:t>
      </w:r>
    </w:p>
    <w:p>
      <w:r>
        <w:rPr>
          <w:b w:val="false"/>
          <w:bCs w:val="false"/>
          <w:i w:val="false"/>
          <w:iCs w:val="false"/>
          <w:color w:val="000000"/>
        </w:rPr>
        <w:t xml:space="preserve">Chain-of-thought prompting has been established as a robust mechanism for enhancing LLM performance on complex reasoning tasks by eliciting intermediate logical steps prior to generating a structured output</w:t>
      </w:r>
      <w:sdt>
        <w:sdtPr>
          <w:tag w:val="CITATION LeeJ22"/>
          <w:id w:val="2029397292"/>
          <w:citation/>
        </w:sdtPr>
        <w:sdtContent>
          <w:r>
            <w:fldChar w:fldCharType="begin"/>
          </w:r>
          <w:r>
            <w:instrText xml:space="preserve"> CITATION LeeJ22 \p 1 \l 1033 </w:instrText>
          </w:r>
          <w:r>
            <w:fldChar w:fldCharType="separate"/>
          </w:r>
          <w:r>
            <w:rPr>
              <w:noProof/>
            </w:rPr>
            <w:t xml:space="preserve">(Lee et al., 2022)</w:t>
          </w:r>
          <w:r>
            <w:fldChar w:fldCharType="end"/>
          </w:r>
        </w:sdtContent>
      </w:sdt>
      <w:r>
        <w:rPr>
          <w:b w:val="false"/>
          <w:bCs w:val="false"/>
          <w:i w:val="false"/>
          <w:iCs w:val="false"/>
          <w:color w:val="000000"/>
        </w:rPr>
        <w:t xml:space="preserve">. Within the specific domain of ABSA and ESG extraction, this methodology is essential for navigating the inherent ambiguity of non-standardized sustainability disclosures</w:t>
      </w:r>
      <w:sdt>
        <w:sdtPr>
          <w:tag w:val="CITATION SunS26"/>
          <w:id w:val="1109044533"/>
          <w:citation/>
        </w:sdtPr>
        <w:sdtContent>
          <w:r>
            <w:fldChar w:fldCharType="begin"/>
          </w:r>
          <w:r>
            <w:instrText xml:space="preserve"> CITATION SunS26 \l 1033 </w:instrText>
          </w:r>
          <w:r>
            <w:fldChar w:fldCharType="separate"/>
          </w:r>
          <w:r>
            <w:rPr>
              <w:noProof/>
            </w:rPr>
            <w:t xml:space="preserve">(Sun et al., 2026)</w:t>
          </w:r>
          <w:r>
            <w:fldChar w:fldCharType="end"/>
          </w:r>
        </w:sdtContent>
      </w:sdt>
      <w:r>
        <w:rPr>
          <w:b w:val="false"/>
          <w:bCs w:val="false"/>
          <w:i w:val="false"/>
          <w:iCs w:val="false"/>
          <w:color w:val="000000"/>
        </w:rPr>
        <w:t xml:space="preserve">. By requiring the model to decompose dense narrative text into discrete reasoning components, CoT prompting improves the precision of aspect identification and facilitates the extraction of semantically-aware insights—a critical advantage over legacy Open Information Extraction methods that are often limited by an exclusive reliance on syntactic patterns </w:t>
      </w:r>
      <w:sdt>
        <w:sdtPr>
          <w:tag w:val="CITATION BronziniM24"/>
          <w:id w:val="2068301417"/>
          <w:citation/>
        </w:sdtPr>
        <w:sdtContent>
          <w:r>
            <w:fldChar w:fldCharType="begin"/>
          </w:r>
          <w:r>
            <w:instrText xml:space="preserve"> CITATION BronziniM24 \p 4 \l 1033 </w:instrText>
          </w:r>
          <w:r>
            <w:fldChar w:fldCharType="separate"/>
          </w:r>
          <w:r>
            <w:rPr>
              <w:noProof/>
            </w:rPr>
            <w:t xml:space="preserve">(Bronzini et al., 2024)</w:t>
          </w:r>
          <w:r>
            <w:fldChar w:fldCharType="end"/>
          </w:r>
        </w:sdtContent>
      </w:sdt>
      <w:r>
        <w:rPr>
          <w:b w:val="false"/>
          <w:bCs w:val="false"/>
          <w:i w:val="false"/>
          <w:iCs w:val="false"/>
          <w:color w:val="000000"/>
        </w:rPr>
        <w:t xml:space="preserve">. Moreover, integrating meta-expert adjudication within these prompt-driven pipelines ensures that synthesized data undergoes a rigorous verification layer, which is essential for transforming draft extractions into certified, auditable knowledge assets </w:t>
      </w:r>
      <w:sdt>
        <w:sdtPr>
          <w:tag w:val="CITATION HeC26"/>
          <w:id w:val="433196096"/>
          <w:citation/>
        </w:sdtPr>
        <w:sdtContent>
          <w:r>
            <w:fldChar w:fldCharType="begin"/>
          </w:r>
          <w:r>
            <w:instrText xml:space="preserve"> CITATION HeC26 \l 1033 </w:instrText>
          </w:r>
          <w:r>
            <w:fldChar w:fldCharType="separate"/>
          </w:r>
          <w:r>
            <w:rPr>
              <w:noProof/>
            </w:rPr>
            <w:t xml:space="preserve">(He et al., 2026)</w:t>
          </w:r>
          <w:r>
            <w:fldChar w:fldCharType="end"/>
          </w:r>
        </w:sdtContent>
      </w:sdt>
      <w:r>
        <w:rPr>
          <w:b w:val="false"/>
          <w:bCs w:val="false"/>
          <w:i w:val="false"/>
          <w:iCs w:val="false"/>
          <w:color w:val="000000"/>
        </w:rPr>
        <w:t xml:space="preserve">. </w:t>
      </w:r>
    </w:p>
    <w:p>
      <w:r>
        <w:rPr>
          <w:b w:val="false"/>
          <w:bCs w:val="false"/>
          <w:i w:val="false"/>
          <w:iCs w:val="false"/>
          <w:color w:val="000000"/>
        </w:rPr>
        <w:t xml:space="preserve">In the context of ESG extraction, prompts that explicitly enforce structured output formats—such as JSON—while comprehensively enumerating ESG pillars and sub-categories, consistently outperform vague, unconstrained prompts in both accuracy and parsability </w:t>
      </w:r>
      <w:sdt>
        <w:sdtPr>
          <w:tag w:val="CITATION ChoiC25"/>
          <w:id w:val="303699703"/>
          <w:citation/>
        </w:sdtPr>
        <w:sdtContent>
          <w:r>
            <w:fldChar w:fldCharType="begin"/>
          </w:r>
          <w:r>
            <w:instrText xml:space="preserve"> CITATION ChoiC25 \p 5 \l 1033 </w:instrText>
          </w:r>
          <w:r>
            <w:fldChar w:fldCharType="separate"/>
          </w:r>
          <w:r>
            <w:rPr>
              <w:noProof/>
            </w:rPr>
            <w:t xml:space="preserve">(Choi et al., 2025)</w:t>
          </w:r>
          <w:r>
            <w:fldChar w:fldCharType="end"/>
          </w:r>
        </w:sdtContent>
      </w:sdt>
      <w:r>
        <w:rPr>
          <w:b w:val="false"/>
          <w:bCs w:val="false"/>
          <w:i w:val="false"/>
          <w:iCs w:val="false"/>
          <w:color w:val="000000"/>
        </w:rPr>
        <w:t xml:space="preserve">. Furthermore, the inclusion of negative examples addressing common extraction errors and ambiguous reporting further mitigates systemic vulnerabilities, such as hallucinations and JSON parse failures, ensuring that the resulting outputs are sufficiently robust for assurance-ready, regulatory-grade applications</w:t>
      </w:r>
      <w:sdt>
        <w:sdtPr>
          <w:tag w:val="CITATION MukhopadhyayS25"/>
          <w:id w:val="1125449385"/>
          <w:citation/>
        </w:sdtPr>
        <w:sdtContent>
          <w:r>
            <w:fldChar w:fldCharType="begin"/>
          </w:r>
          <w:r>
            <w:instrText xml:space="preserve"> CITATION MukhopadhyayS25 \p 7 \l 1033 </w:instrText>
          </w:r>
          <w:r>
            <w:fldChar w:fldCharType="separate"/>
          </w:r>
          <w:r>
            <w:rPr>
              <w:noProof/>
            </w:rPr>
            <w:t xml:space="preserve">(Mukhopadhyay et al., 2025)</w:t>
          </w:r>
          <w:r>
            <w:fldChar w:fldCharType="end"/>
          </w:r>
        </w:sdtContent>
      </w:sdt>
      <w:r>
        <w:rPr>
          <w:b w:val="false"/>
          <w:bCs w:val="false"/>
          <w:i w:val="false"/>
          <w:iCs w:val="false"/>
          <w:color w:val="000000"/>
        </w:rPr>
        <w:t xml:space="preserve">. Beyond static prompt optimization, recent methodologies have begun incorporating iterative, human-in-the-loop cycles where domain experts collaborate with AI scientists to refine prompts based on output evaluations </w:t>
      </w:r>
      <w:sdt>
        <w:sdtPr>
          <w:tag w:val="CITATION NiJ23"/>
          <w:id w:val="658270564"/>
          <w:citation/>
        </w:sdtPr>
        <w:sdtContent>
          <w:r>
            <w:fldChar w:fldCharType="begin"/>
          </w:r>
          <w:r>
            <w:instrText xml:space="preserve"> CITATION NiJ23 \p 4 \l 1033 </w:instrText>
          </w:r>
          <w:r>
            <w:fldChar w:fldCharType="separate"/>
          </w:r>
          <w:r>
            <w:rPr>
              <w:noProof/>
            </w:rPr>
            <w:t xml:space="preserve">(Ni et al., 2023)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Beyond simple performance metrics, adopting domain-aware, schema-constrained prompting is essential for ensuring the reproducibility and auditability required for high-stakes regulatory reporting </w:t>
      </w:r>
      <w:sdt>
        <w:sdtPr>
          <w:tag w:val="CITATION ChoiC25"/>
          <w:id w:val="241577548"/>
          <w:citation/>
        </w:sdtPr>
        <w:sdtContent>
          <w:r>
            <w:fldChar w:fldCharType="begin"/>
          </w:r>
          <w:r>
            <w:instrText xml:space="preserve"> CITATION ChoiC25 \m AnarakiS25 \p 5 \l 1033 </w:instrText>
          </w:r>
          <w:r>
            <w:fldChar w:fldCharType="separate"/>
          </w:r>
          <w:r>
            <w:rPr>
              <w:noProof/>
            </w:rPr>
            <w:t xml:space="preserve">(Anaraki et al., 2025; Choi et al., 2025)</w:t>
          </w:r>
          <w:r>
            <w:fldChar w:fldCharType="end"/>
          </w:r>
        </w:sdtContent>
      </w:sdt>
      <w:r>
        <w:rPr>
          <w:b w:val="false"/>
          <w:bCs w:val="false"/>
          <w:i w:val="false"/>
          <w:iCs w:val="false"/>
          <w:color w:val="000000"/>
        </w:rPr>
        <w:t xml:space="preserve">. By mandating structural adherence and providing explicit error boundaries, these rigorous prompt designs mitigate systemic vulnerabilities—such as schema drift, hallucinated values, and JSON parse failures—thereby transforming LLM generations into assurance-ready data artifacts</w:t>
      </w:r>
      <w:sdt>
        <w:sdtPr>
          <w:tag w:val="CITATION ShrimalA25"/>
          <w:id w:val="1518592231"/>
          <w:citation/>
        </w:sdtPr>
        <w:sdtContent>
          <w:r>
            <w:fldChar w:fldCharType="begin"/>
          </w:r>
          <w:r>
            <w:instrText xml:space="preserve"> CITATION ShrimalA25 \m JablonkaK23 \p 3 \l 1033 </w:instrText>
          </w:r>
          <w:r>
            <w:fldChar w:fldCharType="separate"/>
          </w:r>
          <w:r>
            <w:rPr>
              <w:noProof/>
            </w:rPr>
            <w:t xml:space="preserve">(Jablonka et al., 2023; Shrimal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InstructABSA approach has demonstrated that instruction-format fine-tuning with task-specific demonstrations substantially outperforms zero-shot prompting for structured tuple extraction, achieving F1 improvements of over 5 percentage points </w:t>
      </w:r>
      <w:sdt>
        <w:sdtPr>
          <w:tag w:val="CITATION QureshiO26"/>
          <w:id w:val="422257997"/>
          <w:citation/>
        </w:sdtPr>
        <w:sdtContent>
          <w:r>
            <w:fldChar w:fldCharType="begin"/>
          </w:r>
          <w:r>
            <w:instrText xml:space="preserve"> CITATION QureshiO26 \l 1033 </w:instrText>
          </w:r>
          <w:r>
            <w:fldChar w:fldCharType="separate"/>
          </w:r>
          <w:r>
            <w:rPr>
              <w:noProof/>
            </w:rPr>
            <w:t xml:space="preserve">(Qureshi, 2026)</w:t>
          </w:r>
          <w:r>
            <w:fldChar w:fldCharType="end"/>
          </w:r>
        </w:sdtContent>
      </w:sdt>
      <w:r>
        <w:rPr>
          <w:b w:val="false"/>
          <w:bCs w:val="false"/>
          <w:i w:val="false"/>
          <w:iCs w:val="false"/>
          <w:color w:val="000000"/>
        </w:rPr>
        <w:t xml:space="preserve"> on SemEval benchmarks </w:t>
      </w:r>
      <w:sdt>
        <w:sdtPr>
          <w:tag w:val="CITATION PontikiM14"/>
          <w:id w:val="815506083"/>
          <w:citation/>
        </w:sdtPr>
        <w:sdtContent>
          <w:r>
            <w:fldChar w:fldCharType="begin"/>
          </w:r>
          <w:r>
            <w:instrText xml:space="preserve"> CITATION PontikiM14 \p 3 \l 1033 </w:instrText>
          </w:r>
          <w:r>
            <w:fldChar w:fldCharType="separate"/>
          </w:r>
          <w:r>
            <w:rPr>
              <w:noProof/>
            </w:rPr>
            <w:t xml:space="preserve">(Pontiki et al., 2014)</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This thesis implements a rigorous extraction pipeline that aligns with established frameworks for assurance-ready ESG intelligence </w:t>
      </w:r>
      <w:sdt>
        <w:sdtPr>
          <w:tag w:val="CITATION ChatterjeeS26"/>
          <w:id w:val="100503530"/>
          <w:citation/>
        </w:sdtPr>
        <w:sdtContent>
          <w:r>
            <w:fldChar w:fldCharType="begin"/>
          </w:r>
          <w:r>
            <w:instrText xml:space="preserve"> CITATION ChatterjeeS26 \m QureshiO26 \l 1033 </w:instrText>
          </w:r>
          <w:r>
            <w:fldChar w:fldCharType="separate"/>
          </w:r>
          <w:r>
            <w:rPr>
              <w:noProof/>
            </w:rPr>
            <w:t xml:space="preserve">(Chatterjee et al., 2026; Qureshi, 2026)</w:t>
          </w:r>
          <w:r>
            <w:fldChar w:fldCharType="end"/>
          </w:r>
        </w:sdtContent>
      </w:sdt>
      <w:r>
        <w:rPr>
          <w:b w:val="false"/>
          <w:bCs w:val="false"/>
          <w:i w:val="false"/>
          <w:iCs w:val="false"/>
          <w:color w:val="000000"/>
        </w:rPr>
        <w:t xml:space="preserve">. The system employs a multi-faceted prompting strategy—integrating role specification, explicit schema enumeration with XML/JSON output, and chain-of-thought reasoning—to decompose complex narrative disclosures into structured, verifiable insights </w:t>
      </w:r>
      <w:sdt>
        <w:sdtPr>
          <w:tag w:val="CITATION SchmollJ25"/>
          <w:id w:val="1615366873"/>
          <w:citation/>
        </w:sdtPr>
        <w:sdtContent>
          <w:r>
            <w:fldChar w:fldCharType="begin"/>
          </w:r>
          <w:r>
            <w:instrText xml:space="preserve"> CITATION SchmollJ25 \m ChoiC25 \l 1033 </w:instrText>
          </w:r>
          <w:r>
            <w:fldChar w:fldCharType="separate"/>
          </w:r>
          <w:r>
            <w:rPr>
              <w:noProof/>
            </w:rPr>
            <w:t xml:space="preserve">(Choi et al., 2025; Schmoll, 2025)</w:t>
          </w:r>
          <w:r>
            <w:fldChar w:fldCharType="end"/>
          </w:r>
        </w:sdtContent>
      </w:sdt>
      <w:r>
        <w:rPr>
          <w:b w:val="false"/>
          <w:bCs w:val="false"/>
          <w:i w:val="false"/>
          <w:iCs w:val="false"/>
          <w:color w:val="000000"/>
        </w:rPr>
        <w:t xml:space="preserve">. Furthermore, by incorporating negative examples specifically targeting greenwashing-adjacent vague language, the architecture systematically mitigates known systemic vulnerabilities such as hallucinations and JSON parse failures</w:t>
      </w:r>
      <w:sdt>
        <w:sdtPr>
          <w:tag w:val="CITATION ShrimalA25"/>
          <w:id w:val="306181903"/>
          <w:citation/>
        </w:sdtPr>
        <w:sdtContent>
          <w:r>
            <w:fldChar w:fldCharType="begin"/>
          </w:r>
          <w:r>
            <w:instrText xml:space="preserve"> CITATION ShrimalA25 \m NorouzifarA25 \p 3 \l 1033 </w:instrText>
          </w:r>
          <w:r>
            <w:fldChar w:fldCharType="separate"/>
          </w:r>
          <w:r>
            <w:rPr>
              <w:noProof/>
            </w:rPr>
            <w:t xml:space="preserve">(Norouzifar et al., 2025; Shrimal et al., 2025)</w:t>
          </w:r>
          <w:r>
            <w:fldChar w:fldCharType="end"/>
          </w:r>
        </w:sdtContent>
      </w:sdt>
      <w:r>
        <w:rPr>
          <w:b w:val="false"/>
          <w:bCs w:val="false"/>
          <w:i w:val="false"/>
          <w:iCs w:val="false"/>
          <w:color w:val="000000"/>
        </w:rPr>
        <w:t xml:space="preserve">. To ensure institutional-grade reliability, the framework treats every extraction as a persistent run artifact; the audit trail records both the raw LLM response and the parsed structured record, thereby enabling rigorous, downstream validation of schema compliance and parse failure rates across the corpus of Indonesian sustainability reports</w:t>
      </w:r>
      <w:sdt>
        <w:sdtPr>
          <w:tag w:val="CITATION ChoiC25"/>
          <w:id w:val="298808055"/>
          <w:citation/>
        </w:sdtPr>
        <w:sdtContent>
          <w:r>
            <w:fldChar w:fldCharType="begin"/>
          </w:r>
          <w:r>
            <w:instrText xml:space="preserve"> CITATION ChoiC25 \m ChatterjeeS26 \p 5 \l 1033 </w:instrText>
          </w:r>
          <w:r>
            <w:fldChar w:fldCharType="separate"/>
          </w:r>
          <w:r>
            <w:rPr>
              <w:noProof/>
            </w:rPr>
            <w:t xml:space="preserve">(Chatterjee et al., 2026; Choi et al., 2025)</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2.4  Ground Truth, Pseudo-Ground Truth, and Human Annotation</w:t>
      </w:r>
    </w:p>
    <w:p>
      <w:r>
        <w:rPr>
          <w:b w:val="false"/>
          <w:bCs w:val="false"/>
          <w:i w:val="false"/>
          <w:iCs w:val="false"/>
          <w:color w:val="000000"/>
        </w:rPr>
        <w:t xml:space="preserve">Dataset scarcity is a pervasive challenge in domain-specific NLP tasks. In the ESG field, structural fragmentation and the absence of standardized taxonomy mappings create significant barriers to supervised learning, rendering large-scale human-annotated corpora difficult to obtain </w:t>
      </w:r>
      <w:sdt>
        <w:sdtPr>
          <w:tag w:val="CITATION QureshiO26"/>
          <w:id w:val="1169989295"/>
          <w:citation/>
        </w:sdtPr>
        <w:sdtContent>
          <w:r>
            <w:fldChar w:fldCharType="begin"/>
          </w:r>
          <w:r>
            <w:instrText xml:space="preserve"> CITATION QureshiO26 \l 1033 </w:instrText>
          </w:r>
          <w:r>
            <w:fldChar w:fldCharType="separate"/>
          </w:r>
          <w:r>
            <w:rPr>
              <w:noProof/>
            </w:rPr>
            <w:t xml:space="preserve">(Qureshi, 2026)</w:t>
          </w:r>
          <w:r>
            <w:fldChar w:fldCharType="end"/>
          </w:r>
        </w:sdtContent>
      </w:sdt>
      <w:r>
        <w:rPr>
          <w:b w:val="false"/>
          <w:bCs w:val="false"/>
          <w:i w:val="false"/>
          <w:iCs w:val="false"/>
          <w:color w:val="000000"/>
        </w:rPr>
        <w:t xml:space="preserve">. Additionally, the unstructured nature of sustainability reports complicates traditional analysis </w:t>
      </w:r>
      <w:sdt>
        <w:sdtPr>
          <w:tag w:val="CITATION AnarakiS25"/>
          <w:id w:val="517942784"/>
          <w:citation/>
        </w:sdtPr>
        <w:sdtContent>
          <w:r>
            <w:fldChar w:fldCharType="begin"/>
          </w:r>
          <w:r>
            <w:instrText xml:space="preserve"> CITATION AnarakiS25 \l 1033 </w:instrText>
          </w:r>
          <w:r>
            <w:fldChar w:fldCharType="separate"/>
          </w:r>
          <w:r>
            <w:rPr>
              <w:noProof/>
            </w:rPr>
            <w:t xml:space="preserve">(Anaraki et al., 2025)</w:t>
          </w:r>
          <w:r>
            <w:fldChar w:fldCharType="end"/>
          </w:r>
        </w:sdtContent>
      </w:sdt>
      <w:r>
        <w:rPr>
          <w:b w:val="false"/>
          <w:bCs w:val="false"/>
          <w:i w:val="false"/>
          <w:iCs w:val="false"/>
          <w:color w:val="000000"/>
        </w:rPr>
        <w:t xml:space="preserve">. These impediments, alongside the high costs and inherent subjectivity of manual annotation, have motivated several strategies for constructing robust training and evaluation data </w:t>
      </w:r>
      <w:sdt>
        <w:sdtPr>
          <w:tag w:val="CITATION LiM23"/>
          <w:id w:val="1668051939"/>
          <w:citation/>
        </w:sdtPr>
        <w:sdtContent>
          <w:r>
            <w:fldChar w:fldCharType="begin"/>
          </w:r>
          <w:r>
            <w:instrText xml:space="preserve"> CITATION LiM23 \p 1 \l 1033 </w:instrText>
          </w:r>
          <w:r>
            <w:fldChar w:fldCharType="separate"/>
          </w:r>
          <w:r>
            <w:rPr>
              <w:noProof/>
            </w:rPr>
            <w:t xml:space="preserve">(Li et al., 2023)</w:t>
          </w:r>
          <w:r>
            <w:fldChar w:fldCharType="end"/>
          </w:r>
        </w:sdtContent>
      </w:sdt>
      <w:r>
        <w:rPr>
          <w:b w:val="false"/>
          <w:bCs w:val="false"/>
          <w:i w:val="false"/>
          <w:iCs w:val="false"/>
          <w:color w:val="000000"/>
        </w:rPr>
        <w:t xml:space="preserve">.</w:t>
      </w:r>
    </w:p>
    <w:p>
      <w:commentRangeStart w:id="20"/>
      <w:r>
        <w:rPr>
          <w:b w:val="false"/>
          <w:bCs w:val="false"/>
          <w:i w:val="false"/>
          <w:iCs w:val="false"/>
          <w:color w:val="000000"/>
        </w:rPr>
        <w:t xml:space="preserve">LLM-generated pseudo-ground truth—using a capable LLM to produce initial labels that are then selectively validated by humans—has emerged as a practical approach when large-scale human annotation is cost-prohibitive </w:t>
      </w:r>
      <w:sdt>
        <w:sdtPr>
          <w:tag w:val="CITATION LiM23"/>
          <w:id w:val="1965360802"/>
          <w:citation/>
        </w:sdtPr>
        <w:sdtContent>
          <w:r>
            <w:fldChar w:fldCharType="begin"/>
          </w:r>
          <w:r>
            <w:instrText xml:space="preserve"> CITATION LiM23 \p 1 \l 1033 </w:instrText>
          </w:r>
          <w:r>
            <w:fldChar w:fldCharType="separate"/>
          </w:r>
          <w:r>
            <w:rPr>
              <w:noProof/>
            </w:rPr>
            <w:t xml:space="preserve">(Li et al., 2023)</w:t>
          </w:r>
          <w:r>
            <w:fldChar w:fldCharType="end"/>
          </w:r>
        </w:sdtContent>
      </w:sdt>
      <w:r>
        <w:rPr>
          <w:b w:val="false"/>
          <w:bCs w:val="false"/>
          <w:i w:val="false"/>
          <w:iCs w:val="false"/>
          <w:color w:val="000000"/>
        </w:rPr>
        <w:t xml:space="preserve">.</w:t>
      </w:r>
      <w:commentRangeEnd w:id="20"/>
      <w:commentReference w:id="20"/>
      <w:r>
        <w:rPr>
          <w:b w:val="false"/>
          <w:bCs w:val="false"/>
          <w:i w:val="false"/>
          <w:iCs w:val="false"/>
          <w:color w:val="000000"/>
        </w:rPr>
        <w:t xml:space="preserve"> The reference design for this thesis treats LLM outputs as machine-generated extraction artifacts distinct from human-verified labels; silver labels serve as intermediate validation targets before full human annotation is applied.</w:t>
      </w:r>
    </w:p>
    <w:p>
      <w:r>
        <w:rPr>
          <w:b w:val="false"/>
          <w:bCs w:val="false"/>
          <w:i w:val="false"/>
          <w:iCs w:val="false"/>
          <w:color w:val="000000"/>
        </w:rPr>
        <w:t xml:space="preserve">This four-tier annotation hierarchy (LLM artifact → proxy label → silver label → human annotation) is informed by recent work on LLM-as-annotator frameworks. The LLM-as-Annotator paradigm </w:t>
      </w:r>
      <w:sdt>
        <w:sdtPr>
          <w:tag w:val="CITATION TanZ24"/>
          <w:id w:val="142542102"/>
          <w:citation/>
        </w:sdtPr>
        <w:sdtContent>
          <w:r>
            <w:fldChar w:fldCharType="begin"/>
          </w:r>
          <w:r>
            <w:instrText xml:space="preserve"> CITATION TanZ24 \m FuchsG25 \p 7 \l 1033 </w:instrText>
          </w:r>
          <w:r>
            <w:fldChar w:fldCharType="separate"/>
          </w:r>
          <w:r>
            <w:rPr>
              <w:noProof/>
            </w:rPr>
            <w:t xml:space="preserve">(Fuchs et al., 2025; Tan et al., 2024)</w:t>
          </w:r>
          <w:r>
            <w:fldChar w:fldCharType="end"/>
          </w:r>
        </w:sdtContent>
      </w:sdt>
      <w:r>
        <w:rPr>
          <w:b w:val="false"/>
          <w:bCs w:val="false"/>
          <w:i w:val="false"/>
          <w:iCs w:val="false"/>
          <w:color w:val="000000"/>
        </w:rPr>
        <w:t xml:space="preserve"> uses LLM-generated annotations to train smaller, more computationally efficient student models. </w:t>
      </w:r>
    </w:p>
    <w:p>
      <w:r>
        <w:rPr>
          <w:b w:val="false"/>
          <w:bCs w:val="false"/>
          <w:i w:val="false"/>
          <w:iCs w:val="false"/>
          <w:color w:val="000000"/>
        </w:rPr>
        <w:t xml:space="preserve">The reliability of LLM-derived annotations is fundamentally contingent upon prompt stability; robust empirical analysis confirms that even minor lexical variations in instructions precipitate significant discrepancies in output consistency, consistently failing to reach the agreement standards established by human-human benchmarks </w:t>
      </w:r>
      <w:sdt>
        <w:sdtPr>
          <w:tag w:val="CITATION ChengX24"/>
          <w:id w:val="1953495744"/>
          <w:citation/>
        </w:sdtPr>
        <w:sdtContent>
          <w:r>
            <w:fldChar w:fldCharType="begin"/>
          </w:r>
          <w:r>
            <w:instrText xml:space="preserve"> CITATION ChengX24 \m AgudaT24 \p 11 \l 1033 </w:instrText>
          </w:r>
          <w:r>
            <w:fldChar w:fldCharType="separate"/>
          </w:r>
          <w:r>
            <w:rPr>
              <w:noProof/>
            </w:rPr>
            <w:t xml:space="preserve">(Aguda et al., 2024; Cheng et al., 2024)</w:t>
          </w:r>
          <w:r>
            <w:fldChar w:fldCharType="end"/>
          </w:r>
        </w:sdtContent>
      </w:sdt>
      <w:r>
        <w:rPr>
          <w:b w:val="false"/>
          <w:bCs w:val="false"/>
          <w:i w:val="false"/>
          <w:iCs w:val="false"/>
          <w:color w:val="000000"/>
        </w:rPr>
        <w:t xml:space="preserve">. This sensitivity underscores a critical systemic risk in automated pipelines, mandating the adoption of rigid, version-controlled prompt templates.</w:t>
      </w:r>
    </w:p>
    <w:p>
      <w:r>
        <w:rPr>
          <w:b w:val="false"/>
          <w:bCs w:val="false"/>
          <w:i w:val="false"/>
          <w:iCs w:val="false"/>
          <w:color w:val="000000"/>
        </w:rPr>
        <w:t xml:space="preserve">Such measures are essential to safeguard the integrity of generated pseudo-ground truth and to align with the rigorous requirements for auditability and assurance-ready data artifacts in regulatory reporting </w:t>
      </w:r>
      <w:sdt>
        <w:sdtPr>
          <w:tag w:val="CITATION ChoiC25"/>
          <w:id w:val="268234695"/>
          <w:citation/>
        </w:sdtPr>
        <w:sdtContent>
          <w:r>
            <w:fldChar w:fldCharType="begin"/>
          </w:r>
          <w:r>
            <w:instrText xml:space="preserve"> CITATION ChoiC25 \m ChatterjeeS26 \p 5 \l 1033 </w:instrText>
          </w:r>
          <w:r>
            <w:fldChar w:fldCharType="separate"/>
          </w:r>
          <w:r>
            <w:rPr>
              <w:noProof/>
            </w:rPr>
            <w:t xml:space="preserve">(Chatterjee et al., 2026; Choi et al., 2025)</w:t>
          </w:r>
          <w:r>
            <w:fldChar w:fldCharType="end"/>
          </w:r>
        </w:sdtContent>
      </w:sdt>
      <w:r>
        <w:rPr>
          <w:b w:val="false"/>
          <w:bCs w:val="false"/>
          <w:i w:val="false"/>
          <w:iCs w:val="false"/>
          <w:color w:val="000000"/>
        </w:rPr>
        <w:t xml:space="preserve">. Consequently, researchers have increasingly utilized advanced models like GPT-4 to bridge the gap between resource-intensive manual labeling and the need for large-scale, high-quality datasets in the ESG domain </w:t>
      </w:r>
      <w:sdt>
        <w:sdtPr>
          <w:tag w:val="CITATION BillertF24"/>
          <w:id w:val="223735836"/>
          <w:citation/>
        </w:sdtPr>
        <w:sdtContent>
          <w:r>
            <w:fldChar w:fldCharType="begin"/>
          </w:r>
          <w:r>
            <w:instrText xml:space="preserve"> CITATION BillertF24 \p 3 \l 1033 </w:instrText>
          </w:r>
          <w:r>
            <w:fldChar w:fldCharType="separate"/>
          </w:r>
          <w:r>
            <w:rPr>
              <w:noProof/>
            </w:rPr>
            <w:t xml:space="preserve">(Billert &amp; Conrad, 2024)</w:t>
          </w:r>
          <w:r>
            <w:fldChar w:fldCharType="end"/>
          </w:r>
        </w:sdtContent>
      </w:sdt>
      <w:r>
        <w:rPr>
          <w:b w:val="false"/>
          <w:bCs w:val="false"/>
          <w:i w:val="false"/>
          <w:iCs w:val="false"/>
          <w:color w:val="000000"/>
        </w:rPr>
        <w:t xml:space="preserve">. Nonetheless, these efforts must navigate the inherent subjectivity and lack of transparency prevalent in existing rating agency methodologies, which complicate the establishment of standardized ground truth </w:t>
      </w:r>
      <w:sdt>
        <w:sdtPr>
          <w:tag w:val="CITATION YunH24"/>
          <w:id w:val="706140137"/>
          <w:citation/>
        </w:sdtPr>
        <w:sdtContent>
          <w:r>
            <w:fldChar w:fldCharType="begin"/>
          </w:r>
          <w:r>
            <w:instrText xml:space="preserve"> CITATION YunH24 \p 1 \l 1033 </w:instrText>
          </w:r>
          <w:r>
            <w:fldChar w:fldCharType="separate"/>
          </w:r>
          <w:r>
            <w:rPr>
              <w:noProof/>
            </w:rPr>
            <w:t xml:space="preserve">(Yun et al., 2024)</w:t>
          </w:r>
          <w:r>
            <w:fldChar w:fldCharType="end"/>
          </w:r>
        </w:sdtContent>
      </w:sdt>
      <w:r>
        <w:rPr>
          <w:b w:val="false"/>
          <w:bCs w:val="false"/>
          <w:i w:val="false"/>
          <w:iCs w:val="false"/>
          <w:color w:val="000000"/>
        </w:rPr>
        <w:t xml:space="preserve">. To mitigate these inconsistencies, hybrid annotation strategies that combine automated generation with expert-led verification are becoming the industry standard, allowing researchers to prioritize ambiguous instances for manual review using model-based uncertainty estimation </w:t>
      </w:r>
      <w:sdt>
        <w:sdtPr>
          <w:tag w:val="CITATION AgudaT24"/>
          <w:id w:val="429776854"/>
          <w:citation/>
        </w:sdtPr>
        <w:sdtContent>
          <w:r>
            <w:fldChar w:fldCharType="begin"/>
          </w:r>
          <w:r>
            <w:instrText xml:space="preserve"> CITATION AgudaT24 \p 7 \l 1033 </w:instrText>
          </w:r>
          <w:r>
            <w:fldChar w:fldCharType="separate"/>
          </w:r>
          <w:r>
            <w:rPr>
              <w:noProof/>
            </w:rPr>
            <w:t xml:space="preserve">(Aguda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For this thesis, the principal annotation task is tone classification of extracted ESG statements into positive, negative, and neutral categories. This three-way classification task is well within the demonstrated capabilities of both fine-tuned models and LLM-based annotators, </w:t>
      </w:r>
      <w:commentRangeStart w:id="21"/>
      <w:r>
        <w:rPr>
          <w:b w:val="false"/>
          <w:bCs w:val="false"/>
          <w:i w:val="false"/>
          <w:iCs w:val="false"/>
          <w:color w:val="000000"/>
        </w:rPr>
        <w:t xml:space="preserve">with reported human-LLM agreement comparable to strong human-human agreement benchmarks for aspect category annotation .</w:t>
      </w:r>
      <w:commentRangeEnd w:id="21"/>
      <w:commentReference w:id="21"/>
      <w:r>
        <w:rPr>
          <w:b w:val="false"/>
          <w:bCs w:val="false"/>
          <w:i w:val="false"/>
          <w:iCs w:val="false"/>
          <w:color w:val="000000"/>
        </w:rPr>
        <w:t xml:space="preserve"> The separation of LLM-generated tone labels from human-verified labels prevents pseudo-ground truth from contaminating the final evaluation metrics reported in Chapter 4.</w:t>
      </w:r>
    </w:p>
    <w:p>
      <w:pPr>
        <w:pStyle w:val="Heading2"/>
      </w:pPr>
      <w:r>
        <w:rPr>
          <w:b w:val="false"/>
          <w:bCs w:val="false"/>
          <w:i w:val="false"/>
          <w:iCs w:val="false"/>
          <w:color w:val="000000"/>
        </w:rPr>
        <w:t xml:space="preserve">2.5  Agreement Metrics for Annotation Reliability</w:t>
      </w:r>
    </w:p>
    <w:p>
      <w:r>
        <w:rPr>
          <w:b w:val="false"/>
          <w:bCs w:val="false"/>
          <w:i w:val="false"/>
          <w:iCs w:val="false"/>
          <w:color w:val="000000"/>
        </w:rPr>
        <w:t xml:space="preserve">Inter-annotator agreement constitutes the established standard for quantifying annotation reliability in NLP </w:t>
      </w:r>
      <w:sdt>
        <w:sdtPr>
          <w:tag w:val="CITATION LiM23"/>
          <w:id w:val="1290725184"/>
          <w:citation/>
        </w:sdtPr>
        <w:sdtContent>
          <w:r>
            <w:fldChar w:fldCharType="begin"/>
          </w:r>
          <w:r>
            <w:instrText xml:space="preserve"> CITATION LiM23 \p 1 \l 1033 </w:instrText>
          </w:r>
          <w:r>
            <w:fldChar w:fldCharType="separate"/>
          </w:r>
          <w:r>
            <w:rPr>
              <w:noProof/>
            </w:rPr>
            <w:t xml:space="preserve">(Li et al., 2023)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While raw percent agreement is intuitive and directly interpretable, it fails to adjust for chance agreement; in scenarios where one label class is highly frequent, two annotators assigning labels randomly may achieve high raw agreement despite lacking genuine task understanding. This inherent limitation necessitates the use of chance-corrected coefficients to ensure a robust evaluation of annotation consistency. Accordingly, Cohen’s Kappa is widely preferred in this context as it inherently accounts for pairwise agreement while offering scalability for multi-annotator scenarios </w:t>
      </w:r>
      <w:sdt>
        <w:sdtPr>
          <w:tag w:val="CITATION ChengX24"/>
          <w:id w:val="266800440"/>
          <w:citation/>
        </w:sdtPr>
        <w:sdtContent>
          <w:r>
            <w:fldChar w:fldCharType="begin"/>
          </w:r>
          <w:r>
            <w:instrText xml:space="preserve"> CITATION ChengX24 \p 11 \l 1033 </w:instrText>
          </w:r>
          <w:r>
            <w:fldChar w:fldCharType="separate"/>
          </w:r>
          <w:r>
            <w:rPr>
              <w:noProof/>
            </w:rPr>
            <w:t xml:space="preserve">(Cheng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Cohen's kappa (</w:t>
      </w:r>
      <m:oMath xmlns:m="http://schemas.openxmlformats.org/officeDocument/2006/math" xmlns:w="http://schemas.openxmlformats.org/wordprocessingml/2006/main">
        <m:r>
          <m:t xml:space="preserve">κ</m:t>
        </m:r>
      </m:oMath>
      <w:r>
        <w:rPr>
          <w:b w:val="false"/>
          <w:bCs w:val="false"/>
          <w:i w:val="false"/>
          <w:iCs w:val="false"/>
          <w:color w:val="000000"/>
        </w:rPr>
        <w:t xml:space="preserve">) serves as the standard metric for quantifying Inter-Annotator Agreement in nominal-scale annotation, correcting observed agreement for the probability of agreement occurring by chance. It is formally defined as </w:t>
      </w:r>
      <m:oMath xmlns:m="http://schemas.openxmlformats.org/officeDocument/2006/math" xmlns:w="http://schemas.openxmlformats.org/wordprocessingml/2006/main">
        <m:r>
          <m:t xml:space="preserve">κ=</m:t>
        </m:r>
        <m:f>
          <m:fPr>
            <m:type m:val="bar"/>
          </m:fPr>
          <m:num>
            <m:sSub>
              <m:sSubPr>
                <m:ctrlPr/>
              </m:sSubPr>
              <m:e>
                <m:r>
                  <m:t xml:space="preserve">p</m:t>
                </m:r>
              </m:e>
              <m:sub>
                <m:r>
                  <m:t xml:space="preserve">a</m:t>
                </m:r>
              </m:sub>
            </m:sSub>
            <m:r>
              <m:t xml:space="preserve">−</m:t>
            </m:r>
            <m:sSub>
              <m:sSubPr>
                <m:ctrlPr/>
              </m:sSubPr>
              <m:e>
                <m:r>
                  <m:t xml:space="preserve">p</m:t>
                </m:r>
              </m:e>
              <m:sub>
                <m:r>
                  <m:t xml:space="preserve">e</m:t>
                </m:r>
              </m:sub>
            </m:sSub>
          </m:num>
          <m:den>
            <m:r>
              <m:t xml:space="preserve">1−</m:t>
            </m:r>
            <m:sSub>
              <m:sSubPr>
                <m:ctrlPr/>
              </m:sSubPr>
              <m:e>
                <m:r>
                  <m:t xml:space="preserve">p</m:t>
                </m:r>
              </m:e>
              <m:sub>
                <m:r>
                  <m:t xml:space="preserve">e</m:t>
                </m:r>
              </m:sub>
            </m:sSub>
          </m:den>
        </m:f>
      </m:oMath>
      <w:r>
        <w:rPr>
          <w:b w:val="false"/>
          <w:bCs w:val="false"/>
          <w:i w:val="false"/>
          <w:iCs w:val="false"/>
          <w:color w:val="000000"/>
        </w:rPr>
        <w:t xml:space="preserve">, where </w:t>
      </w:r>
      <m:oMath xmlns:m="http://schemas.openxmlformats.org/officeDocument/2006/math" xmlns:w="http://schemas.openxmlformats.org/wordprocessingml/2006/main">
        <m:sSub>
          <m:sSubPr>
            <m:ctrlPr/>
          </m:sSubPr>
          <m:e>
            <m:r>
              <m:t xml:space="preserve">p</m:t>
            </m:r>
          </m:e>
          <m:sub>
            <m:r>
              <m:t xml:space="preserve">a</m:t>
            </m:r>
          </m:sub>
        </m:sSub>
      </m:oMath>
      <w:r>
        <w:rPr>
          <w:b w:val="false"/>
          <w:bCs w:val="false"/>
          <w:i w:val="false"/>
          <w:iCs w:val="false"/>
          <w:color w:val="000000"/>
        </w:rPr>
        <w:t xml:space="preserve"> denotes the observed agreement and </w:t>
      </w:r>
      <m:oMath xmlns:m="http://schemas.openxmlformats.org/officeDocument/2006/math" xmlns:w="http://schemas.openxmlformats.org/wordprocessingml/2006/main">
        <m:sSub>
          <m:sSubPr>
            <m:ctrlPr/>
          </m:sSubPr>
          <m:e>
            <m:r>
              <m:t xml:space="preserve">p</m:t>
            </m:r>
          </m:e>
          <m:sub>
            <m:r>
              <m:t xml:space="preserve">e</m:t>
            </m:r>
          </m:sub>
        </m:sSub>
      </m:oMath>
      <w:r>
        <w:rPr>
          <w:b w:val="false"/>
          <w:bCs w:val="false"/>
          <w:i w:val="false"/>
          <w:iCs w:val="false"/>
          <w:color w:val="000000"/>
        </w:rPr>
        <w:t xml:space="preserve"> the expected chance agreement. By accounting for the base rate of label distribution, </w:t>
      </w:r>
      <m:oMath xmlns:m="http://schemas.openxmlformats.org/officeDocument/2006/math" xmlns:w="http://schemas.openxmlformats.org/wordprocessingml/2006/main">
        <m:r>
          <m:t xml:space="preserve">κ</m:t>
        </m:r>
      </m:oMath>
      <w:r>
        <w:rPr>
          <w:b w:val="false"/>
          <w:bCs w:val="false"/>
          <w:i w:val="false"/>
          <w:iCs w:val="false"/>
          <w:color w:val="000000"/>
        </w:rPr>
        <w:t xml:space="preserve"> offers a more robust assessment of reliability than simple raw agreement. Following the widely adopted Landis and Koch interpretation scale, </w:t>
      </w:r>
      <m:oMath xmlns:m="http://schemas.openxmlformats.org/officeDocument/2006/math" xmlns:w="http://schemas.openxmlformats.org/wordprocessingml/2006/main">
        <m:r>
          <m:t xml:space="preserve">κ</m:t>
        </m:r>
      </m:oMath>
      <w:r>
        <w:rPr>
          <w:b w:val="false"/>
          <w:bCs w:val="false"/>
          <w:i w:val="false"/>
          <w:iCs w:val="false"/>
          <w:color w:val="000000"/>
        </w:rPr>
        <w:t xml:space="preserve"> values ranging from 0.61 to 0.80 signify substantial agreement, while values from 0.81 to 1.00 indicate almost perfect agreement. In settings involving more than two raters or multiple models, Fleiss' kappa serves as an essential extension, providing a generalized measure of consensus across the entire pool of annotators </w:t>
      </w:r>
      <w:sdt>
        <w:sdtPr>
          <w:tag w:val="CITATION MarreddyM24"/>
          <w:id w:val="2067816783"/>
          <w:citation/>
        </w:sdtPr>
        <w:sdtContent>
          <w:r>
            <w:fldChar w:fldCharType="begin"/>
          </w:r>
          <w:r>
            <w:instrText xml:space="preserve"> CITATION MarreddyM24 \p 5 \l 1033 </w:instrText>
          </w:r>
          <w:r>
            <w:fldChar w:fldCharType="separate"/>
          </w:r>
          <w:r>
            <w:rPr>
              <w:noProof/>
            </w:rPr>
            <w:t xml:space="preserve">(Marreddy et al., 2024)</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The prevalence paradox constitutes a well-documented limitation in the interpretation of Cohen’s kappa </w:t>
      </w:r>
      <w:sdt>
        <w:sdtPr>
          <w:tag w:val="CITATION DerrickK24"/>
          <w:id w:val="92426459"/>
          <w:citation/>
        </w:sdtPr>
        <w:sdtContent>
          <w:r>
            <w:fldChar w:fldCharType="begin"/>
          </w:r>
          <w:r>
            <w:instrText xml:space="preserve"> CITATION DerrickK24 \p 6 \l 1033 </w:instrText>
          </w:r>
          <w:r>
            <w:fldChar w:fldCharType="separate"/>
          </w:r>
          <w:r>
            <w:rPr>
              <w:noProof/>
            </w:rPr>
            <w:t xml:space="preserve">(Derrick, 2024)</w:t>
          </w:r>
          <w:r>
            <w:fldChar w:fldCharType="end"/>
          </w:r>
        </w:sdtContent>
      </w:sdt>
      <w:r>
        <w:rPr>
          <w:b w:val="false"/>
          <w:bCs w:val="false"/>
          <w:i w:val="false"/>
          <w:iCs w:val="false"/>
          <w:color w:val="000000"/>
        </w:rPr>
        <w:t xml:space="preserve">. In scenarios characterized by highly imbalanced label distributions—a frequent condition in ESG tone annotation where neutral labels typically dominate—Cohen's kappa often registers disparately low or negative values, despite high raw accuracy </w:t>
      </w:r>
      <w:sdt>
        <w:sdtPr>
          <w:tag w:val="CITATION TroianoE22"/>
          <w:id w:val="1046211959"/>
          <w:citation/>
        </w:sdtPr>
        <w:sdtContent>
          <w:r>
            <w:fldChar w:fldCharType="begin"/>
          </w:r>
          <w:r>
            <w:instrText xml:space="preserve"> CITATION TroianoE22 \p 15 \l 1033 </w:instrText>
          </w:r>
          <w:r>
            <w:fldChar w:fldCharType="separate"/>
          </w:r>
          <w:r>
            <w:rPr>
              <w:noProof/>
            </w:rPr>
            <w:t xml:space="preserve">(Troiano et al., 2022)</w:t>
          </w:r>
          <w:r>
            <w:fldChar w:fldCharType="end"/>
          </w:r>
        </w:sdtContent>
      </w:sdt>
      <w:r>
        <w:rPr>
          <w:b w:val="false"/>
          <w:bCs w:val="false"/>
          <w:i w:val="false"/>
          <w:iCs w:val="false"/>
          <w:color w:val="000000"/>
        </w:rPr>
        <w:t xml:space="preserve">. This phenomenon occurs because reliability metrics are designed to account for chance agreement; when one class is pervasive, the expected chance agreement component becomes inflated, which paradoxically penalizes consensus on majority categories </w:t>
      </w:r>
      <w:sdt>
        <w:sdtPr>
          <w:tag w:val="CITATION DerrickK24"/>
          <w:id w:val="2142093932"/>
          <w:citation/>
        </w:sdtPr>
        <w:sdtContent>
          <w:r>
            <w:fldChar w:fldCharType="begin"/>
          </w:r>
          <w:r>
            <w:instrText xml:space="preserve"> CITATION DerrickK24 \p 6 \l 1033 </w:instrText>
          </w:r>
          <w:r>
            <w:fldChar w:fldCharType="separate"/>
          </w:r>
          <w:r>
            <w:rPr>
              <w:noProof/>
            </w:rPr>
            <w:t xml:space="preserve">(Derrick, 2024)</w:t>
          </w:r>
          <w:r>
            <w:fldChar w:fldCharType="end"/>
          </w:r>
        </w:sdtContent>
      </w:sdt>
      <w:r>
        <w:rPr>
          <w:b w:val="false"/>
          <w:bCs w:val="false"/>
          <w:i w:val="false"/>
          <w:iCs w:val="false"/>
          <w:color w:val="000000"/>
        </w:rPr>
        <w:t xml:space="preserve">. Reliability, fundamentally, implies the capacity to distinguish between categories, yet when a dataset is skewed, high accuracy and raw agreement can emerge from indiscriminate coding </w:t>
      </w:r>
      <w:sdt>
        <w:sdtPr>
          <w:tag w:val="CITATION ArtsteinR08"/>
          <w:id w:val="1211535856"/>
          <w:citation/>
        </w:sdtPr>
        <w:sdtContent>
          <w:r>
            <w:fldChar w:fldCharType="begin"/>
          </w:r>
          <w:r>
            <w:instrText xml:space="preserve"> CITATION ArtsteinR08 \p 573 \l 1033 </w:instrText>
          </w:r>
          <w:r>
            <w:fldChar w:fldCharType="separate"/>
          </w:r>
          <w:r>
            <w:rPr>
              <w:noProof/>
            </w:rPr>
            <w:t xml:space="preserve">(Artstein &amp; Poesio, 2008)</w:t>
          </w:r>
          <w:r>
            <w:fldChar w:fldCharType="end"/>
          </w:r>
        </w:sdtContent>
      </w:sdt>
      <w:r>
        <w:rPr>
          <w:b w:val="false"/>
          <w:bCs w:val="false"/>
          <w:i w:val="false"/>
          <w:iCs w:val="false"/>
          <w:color w:val="000000"/>
        </w:rPr>
        <w:t xml:space="preserve">. Thus, researchers must interpret low kappa scores in skewed datasets with caution, as they may reflect this statistical sensitivity to minority classes rather than a fundamental failure of the annotation process </w:t>
      </w:r>
      <w:sdt>
        <w:sdtPr>
          <w:tag w:val="CITATION ArtsteinR08"/>
          <w:id w:val="337899622"/>
          <w:citation/>
        </w:sdtPr>
        <w:sdtContent>
          <w:r>
            <w:fldChar w:fldCharType="begin"/>
          </w:r>
          <w:r>
            <w:instrText xml:space="preserve"> CITATION ArtsteinR08 \p 573 \l 1033 </w:instrText>
          </w:r>
          <w:r>
            <w:fldChar w:fldCharType="separate"/>
          </w:r>
          <w:r>
            <w:rPr>
              <w:noProof/>
            </w:rPr>
            <w:t xml:space="preserve">(Artstein &amp; Poesio, 2008)</w:t>
          </w:r>
          <w:r>
            <w:fldChar w:fldCharType="end"/>
          </w:r>
        </w:sdtContent>
      </w:sdt>
      <w:r>
        <w:rPr>
          <w:b w:val="false"/>
          <w:bCs w:val="false"/>
          <w:i w:val="false"/>
          <w:iCs w:val="false"/>
          <w:color w:val="000000"/>
        </w:rPr>
        <w:t xml:space="preserve">. To address these limitations in imbalanced contexts, alternative metrics such as the Brennan-Prediger coefficient may be employed, as it assumes a uniform category distribution and is less sensitive to marginal skew. </w:t>
      </w:r>
    </w:p>
    <w:p>
      <w:r>
        <w:rPr>
          <w:b w:val="false"/>
          <w:bCs w:val="false"/>
          <w:i w:val="false"/>
          <w:iCs w:val="false"/>
          <w:color w:val="000000"/>
        </w:rPr>
        <w:t xml:space="preserve">To address this limitation, supplemental metrics such as the between-annotator F1-score or raw accuracy are frequently employed to provide a more holistic view of performance when rare categories are sparse </w:t>
      </w:r>
      <w:sdt>
        <w:sdtPr>
          <w:tag w:val="CITATION TroianoE22"/>
          <w:id w:val="1783107761"/>
          <w:citation/>
        </w:sdtPr>
        <w:sdtContent>
          <w:r>
            <w:fldChar w:fldCharType="begin"/>
          </w:r>
          <w:r>
            <w:instrText xml:space="preserve"> CITATION TroianoE22 \p 15 \l 1033 </w:instrText>
          </w:r>
          <w:r>
            <w:fldChar w:fldCharType="separate"/>
          </w:r>
          <w:r>
            <w:rPr>
              <w:noProof/>
            </w:rPr>
            <w:t xml:space="preserve">(Troiano et al., 2022)</w:t>
          </w:r>
          <w:r>
            <w:fldChar w:fldCharType="end"/>
          </w:r>
        </w:sdtContent>
      </w:sdt>
      <w:r>
        <w:rPr>
          <w:b w:val="false"/>
          <w:bCs w:val="false"/>
          <w:i w:val="false"/>
          <w:iCs w:val="false"/>
          <w:color w:val="000000"/>
        </w:rPr>
        <w:t xml:space="preserve">. Furthermore, when dealing with complex or subjective classification tasks, researchers may employ Krippendorff’s alpha, which offers a more flexible alternative capable of handling missing data and varying levels of measurement </w:t>
      </w:r>
      <w:sdt>
        <w:sdtPr>
          <w:tag w:val="CITATION DerrickK24"/>
          <w:id w:val="475550346"/>
          <w:citation/>
        </w:sdtPr>
        <w:sdtContent>
          <w:r>
            <w:fldChar w:fldCharType="begin"/>
          </w:r>
          <w:r>
            <w:instrText xml:space="preserve"> CITATION DerrickK24 \p 6 \l 1033 </w:instrText>
          </w:r>
          <w:r>
            <w:fldChar w:fldCharType="separate"/>
          </w:r>
          <w:r>
            <w:rPr>
              <w:noProof/>
            </w:rPr>
            <w:t xml:space="preserve">(Derrick, 2024)</w:t>
          </w:r>
          <w:r>
            <w:fldChar w:fldCharType="end"/>
          </w:r>
        </w:sdtContent>
      </w:sdt>
      <w:r>
        <w:rPr>
          <w:b w:val="false"/>
          <w:bCs w:val="false"/>
          <w:i w:val="false"/>
          <w:iCs w:val="false"/>
          <w:color w:val="000000"/>
        </w:rPr>
        <w:t xml:space="preserve">. Furthermore, metrics such as Conger’s kappa provide additional utility by extending the capabilities of Cohen’s kappa to scenarios involving multiple raters with varying rater-item assignments </w:t>
      </w:r>
      <w:sdt>
        <w:sdtPr>
          <w:tag w:val="CITATION MegahedF25"/>
          <w:id w:val="676988642"/>
          <w:citation/>
        </w:sdtPr>
        <w:sdtContent>
          <w:r>
            <w:fldChar w:fldCharType="begin"/>
          </w:r>
          <w:r>
            <w:instrText xml:space="preserve"> CITATION MegahedF25 \p 4 \l 1033 </w:instrText>
          </w:r>
          <w:r>
            <w:fldChar w:fldCharType="separate"/>
          </w:r>
          <w:r>
            <w:rPr>
              <w:noProof/>
            </w:rPr>
            <w:t xml:space="preserve">(Megahed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This statistical artifact arises because the expected chance agreement component, </w:t>
      </w:r>
      <m:oMath xmlns:m="http://schemas.openxmlformats.org/officeDocument/2006/math" xmlns:w="http://schemas.openxmlformats.org/wordprocessingml/2006/main">
        <m:sSub>
          <m:sSubPr>
            <m:ctrlPr/>
          </m:sSubPr>
          <m:e>
            <m:r>
              <m:t xml:space="preserve">p</m:t>
            </m:r>
          </m:e>
          <m:sub>
            <m:r>
              <m:t xml:space="preserve">e</m:t>
            </m:r>
          </m:sub>
        </m:sSub>
      </m:oMath>
      <w:r>
        <w:rPr>
          <w:b w:val="false"/>
          <w:bCs w:val="false"/>
          <w:i w:val="false"/>
          <w:iCs w:val="false"/>
          <w:color w:val="000000"/>
        </w:rPr>
        <w:t xml:space="preserve">, becomes inflated by label skew, thereby artificially penalizing agreement on the majority class. To address these limitations, researchers may supplement kappa scores with inter-annotator F1 metrics or between-annotator accuracy, which compare human or model judgments against a gold standard without adjusting for chance distribution </w:t>
      </w:r>
      <w:sdt>
        <w:sdtPr>
          <w:tag w:val="CITATION TroianoE22"/>
          <w:id w:val="2084044574"/>
          <w:citation/>
        </w:sdtPr>
        <w:sdtContent>
          <w:r>
            <w:fldChar w:fldCharType="begin"/>
          </w:r>
          <w:r>
            <w:instrText xml:space="preserve"> CITATION TroianoE22 \p 15 \l 1033 </w:instrText>
          </w:r>
          <w:r>
            <w:fldChar w:fldCharType="separate"/>
          </w:r>
          <w:r>
            <w:rPr>
              <w:noProof/>
            </w:rPr>
            <w:t xml:space="preserve">(Troiano et al., 2022)</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Consequently, exclusive reliance on kappa in such contexts can obscure high predictive reliability, as the metric conflates agreement on infrequent labels with overall model performance. To address these limitations, practitioners often supplement kappa with additional evaluation metrics, such as the inter-annotator F1 score, which provides a more direct comparison to performance metrics used for human-verified gold standards </w:t>
      </w:r>
      <w:sdt>
        <w:sdtPr>
          <w:tag w:val="CITATION TroianoE22"/>
          <w:id w:val="1888509636"/>
          <w:citation/>
        </w:sdtPr>
        <w:sdtContent>
          <w:r>
            <w:fldChar w:fldCharType="begin"/>
          </w:r>
          <w:r>
            <w:instrText xml:space="preserve"> CITATION TroianoE22 \p 15 \l 1033 </w:instrText>
          </w:r>
          <w:r>
            <w:fldChar w:fldCharType="separate"/>
          </w:r>
          <w:r>
            <w:rPr>
              <w:noProof/>
            </w:rPr>
            <w:t xml:space="preserve">(Troiano et al., 2022)</w:t>
          </w:r>
          <w:r>
            <w:fldChar w:fldCharType="end"/>
          </w:r>
        </w:sdtContent>
      </w:sdt>
      <w:r>
        <w:rPr>
          <w:b w:val="false"/>
          <w:bCs w:val="false"/>
          <w:i w:val="false"/>
          <w:iCs w:val="false"/>
          <w:color w:val="000000"/>
        </w:rPr>
        <w:t xml:space="preserve">. Furthermore, researchers may employ the Brennan-Prediger coefficient, which avoids the inflation of expected chance agreement in skewed datasets by assuming a uniform distribution of labels </w:t>
      </w:r>
      <w:sdt>
        <w:sdtPr>
          <w:tag w:val="CITATION MegahedF25"/>
          <w:id w:val="966440841"/>
          <w:citation/>
        </w:sdtPr>
        <w:sdtContent>
          <w:r>
            <w:fldChar w:fldCharType="begin"/>
          </w:r>
          <w:r>
            <w:instrText xml:space="preserve"> CITATION MegahedF25 \p 4 \l 1033 </w:instrText>
          </w:r>
          <w:r>
            <w:fldChar w:fldCharType="separate"/>
          </w:r>
          <w:r>
            <w:rPr>
              <w:noProof/>
            </w:rPr>
            <w:t xml:space="preserve">(Megahed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Consequently, the </w:t>
      </w:r>
      <m:oMath xmlns:m="http://schemas.openxmlformats.org/officeDocument/2006/math" xmlns:w="http://schemas.openxmlformats.org/wordprocessingml/2006/main">
        <m:r>
          <m:t xml:space="preserve">κ=0.788</m:t>
        </m:r>
      </m:oMath>
      <w:r>
        <w:rPr>
          <w:b w:val="false"/>
          <w:bCs w:val="false"/>
          <w:i w:val="false"/>
          <w:iCs w:val="false"/>
          <w:color w:val="000000"/>
        </w:rPr>
        <w:t xml:space="preserve"> agreement result reported in this thesis must be interpreted within the context of the observed label distribution. Because this score accounts for the potential suppression of reliability metrics common in skewed datasets, the substantial agreement achieved serves as a statistically robust indicator of genuine alignment between human raters and the LLM pipeline, rather than a statistical artifact resulting from neutral-label dominance. Moreover, such reliability coefficients are inherently sensitive to the ability of coders to distinguish between categories, meaning that high agreement on rare, informative classes reinforces the validity of the annotation process </w:t>
      </w:r>
      <w:sdt>
        <w:sdtPr>
          <w:tag w:val="CITATION ArtsteinR08"/>
          <w:id w:val="168392037"/>
          <w:citation/>
        </w:sdtPr>
        <w:sdtContent>
          <w:r>
            <w:fldChar w:fldCharType="begin"/>
          </w:r>
          <w:r>
            <w:instrText xml:space="preserve"> CITATION ArtsteinR08 \p 573 \l 1033 </w:instrText>
          </w:r>
          <w:r>
            <w:fldChar w:fldCharType="separate"/>
          </w:r>
          <w:r>
            <w:rPr>
              <w:noProof/>
            </w:rPr>
            <w:t xml:space="preserve">(Artstein &amp; Poesio, 2008)</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The comparison between ESG-ABSA tone labels and ClimateBERT-derived sentiment scores introduces an additional measurement challenge: the two systems use different label schemas (three-class positive/negative/neutral vs. ClimateBERT's opportunity-neutral-risk taxonomy), requiring schema alignment before kappa computation. To mitigate discrepancies arising from varied label granularity, mapping strategies such as collapsing fine-grained emotional valences into unified tripartite categories are necessary to ensure the calculation remains methodologically sound </w:t>
      </w:r>
      <w:sdt>
        <w:sdtPr>
          <w:tag w:val="CITATION LiM232"/>
          <w:id w:val="946285039"/>
          <w:citation/>
        </w:sdtPr>
        <w:sdtContent>
          <w:r>
            <w:fldChar w:fldCharType="begin"/>
          </w:r>
          <w:r>
            <w:instrText xml:space="preserve"> CITATION LiM232 \p 2 \l 1033 </w:instrText>
          </w:r>
          <w:r>
            <w:fldChar w:fldCharType="separate"/>
          </w:r>
          <w:r>
            <w:rPr>
              <w:noProof/>
            </w:rPr>
            <w:t xml:space="preserve">(Li et al., 2023)</w:t>
          </w:r>
          <w:r>
            <w:fldChar w:fldCharType="end"/>
          </w:r>
        </w:sdtContent>
      </w:sdt>
      <w:r>
        <w:rPr>
          <w:b w:val="false"/>
          <w:bCs w:val="false"/>
          <w:i w:val="false"/>
          <w:iCs w:val="false"/>
          <w:color w:val="000000"/>
        </w:rPr>
        <w:t xml:space="preserve">. Such harmonization ensures that the statistical assessment reflects substantive semantic agreement rather than artifacts stemming from idiosyncratic tag taxonomies </w:t>
      </w:r>
      <w:sdt>
        <w:sdtPr>
          <w:tag w:val="CITATION ArtsteinR08"/>
          <w:id w:val="577897528"/>
          <w:citation/>
        </w:sdtPr>
        <w:sdtContent>
          <w:r>
            <w:fldChar w:fldCharType="begin"/>
          </w:r>
          <w:r>
            <w:instrText xml:space="preserve"> CITATION ArtsteinR08 \p 573 \l 1033 </w:instrText>
          </w:r>
          <w:r>
            <w:fldChar w:fldCharType="separate"/>
          </w:r>
          <w:r>
            <w:rPr>
              <w:noProof/>
            </w:rPr>
            <w:t xml:space="preserve">(Artstein &amp; Poesio, 2008)</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The finding of low agreement in the ClimateBERT comparison in this thesis is consistent with the theoretical expectation that a climate-specific model and a full ESG-ABSA model will systematically disagree on governance and social aspect passages that fall outside ClimateBERT's training distribution. This discrepancy highlights the model's limited sensitivity to domain-specific nuance, particularly where governance criteria require contextual reasoning beyond standard climate-centric sentiment analysis </w:t>
      </w:r>
      <w:sdt>
        <w:sdtPr>
          <w:tag w:val="CITATION QuilodrnCasasC24"/>
          <w:id w:val="506560409"/>
          <w:citation/>
        </w:sdtPr>
        <w:sdtContent>
          <w:r>
            <w:fldChar w:fldCharType="begin"/>
          </w:r>
          <w:r>
            <w:instrText xml:space="preserve"> CITATION QuilodrnCasasC24 \p 4 \l 1033 </w:instrText>
          </w:r>
          <w:r>
            <w:fldChar w:fldCharType="separate"/>
          </w:r>
          <w:r>
            <w:rPr>
              <w:noProof/>
            </w:rPr>
            <w:t xml:space="preserve">(Quilodrán-Casas et al., 2024)</w:t>
          </w:r>
          <w:r>
            <w:fldChar w:fldCharType="end"/>
          </w:r>
        </w:sdtContent>
      </w:sdt>
      <w:r>
        <w:rPr>
          <w:b w:val="false"/>
          <w:bCs w:val="false"/>
          <w:i w:val="false"/>
          <w:iCs w:val="false"/>
          <w:color w:val="000000"/>
        </w:rPr>
        <w:t xml:space="preserve">. </w:t>
      </w:r>
    </w:p>
    <w:p>
      <w:pPr>
        <w:pStyle w:val="Heading2"/>
      </w:pPr>
      <w:r>
        <w:rPr>
          <w:b w:val="false"/>
          <w:bCs w:val="false"/>
          <w:i w:val="false"/>
          <w:iCs w:val="false"/>
          <w:color w:val="000000"/>
        </w:rPr>
        <w:t xml:space="preserve">2.6  Ontologies and Knowledge Graphs for ESG</w:t>
      </w:r>
    </w:p>
    <w:p>
      <w:pPr>
        <w:pStyle w:val="Heading3"/>
      </w:pPr>
      <w:r>
        <w:rPr>
          <w:b w:val="false"/>
          <w:bCs w:val="false"/>
          <w:i/>
          <w:iCs/>
          <w:color w:val="000000"/>
        </w:rPr>
        <w:t xml:space="preserve">2.6.1  Existing ESG Ontologies</w:t>
      </w:r>
    </w:p>
    <w:p>
      <w:r>
        <w:rPr>
          <w:b w:val="false"/>
          <w:bCs w:val="false"/>
          <w:i w:val="false"/>
          <w:iCs w:val="false"/>
          <w:color w:val="000000"/>
        </w:rPr>
        <w:t xml:space="preserve">The transition from flat, siloed ESG data tables to semantically structured knowledge graphs constitutes a fundamental shift in sustainability data architecture, essential for overcoming the limitations of tabular formats in capturing complex corporate interdependencies </w:t>
      </w:r>
      <w:sdt>
        <w:sdtPr>
          <w:tag w:val="CITATION YuM25"/>
          <w:id w:val="1474630615"/>
          <w:citation/>
        </w:sdtPr>
        <w:sdtContent>
          <w:r>
            <w:fldChar w:fldCharType="begin"/>
          </w:r>
          <w:r>
            <w:instrText xml:space="preserve"> CITATION YuM25 \l 1033 </w:instrText>
          </w:r>
          <w:r>
            <w:fldChar w:fldCharType="separate"/>
          </w:r>
          <w:r>
            <w:rPr>
              <w:noProof/>
            </w:rPr>
            <w:t xml:space="preserve">(Yu et al., 2025)</w:t>
          </w:r>
          <w:r>
            <w:fldChar w:fldCharType="end"/>
          </w:r>
        </w:sdtContent>
      </w:sdt>
      <w:r>
        <w:rPr>
          <w:b w:val="false"/>
          <w:bCs w:val="false"/>
          <w:i w:val="false"/>
          <w:iCs w:val="false"/>
          <w:color w:val="000000"/>
        </w:rPr>
        <w:t xml:space="preserve">. By enabling higher-order analytical capabilities—such as complex SPARQL-based querying, automated OWL reasoning over ESG indicator relationships, and graph-based retrieval for evidence-grounded assessments—this structural transition facilitates the rigorous auditability and transparency required in modern regulatory reporting </w:t>
      </w:r>
      <w:sdt>
        <w:sdtPr>
          <w:tag w:val="CITATION YuM25"/>
          <w:id w:val="975013630"/>
          <w:citation/>
        </w:sdtPr>
        <w:sdtContent>
          <w:r>
            <w:fldChar w:fldCharType="begin"/>
          </w:r>
          <w:r>
            <w:instrText xml:space="preserve"> CITATION YuM25 \l 1033 </w:instrText>
          </w:r>
          <w:r>
            <w:fldChar w:fldCharType="separate"/>
          </w:r>
          <w:r>
            <w:rPr>
              <w:noProof/>
            </w:rPr>
            <w:t xml:space="preserve">(Yu et al., 2025)</w:t>
          </w:r>
          <w:r>
            <w:fldChar w:fldCharType="end"/>
          </w:r>
        </w:sdtContent>
      </w:sdt>
      <w:r>
        <w:rPr>
          <w:b w:val="false"/>
          <w:bCs w:val="false"/>
          <w:i w:val="false"/>
          <w:iCs w:val="false"/>
          <w:color w:val="000000"/>
        </w:rPr>
        <w:t xml:space="preserve">. Consequently, several ESG ontology initiatives, such as NatureKG and semi-automatic controversy-event modeling, have been proposed to formalize these relationships </w:t>
      </w:r>
      <w:sdt>
        <w:sdtPr>
          <w:tag w:val="CITATION IwataT25"/>
          <w:id w:val="1016746802"/>
          <w:citation/>
        </w:sdtPr>
        <w:sdtContent>
          <w:r>
            <w:fldChar w:fldCharType="begin"/>
          </w:r>
          <w:r>
            <w:instrText xml:space="preserve"> CITATION IwataT25 \m KushwahaN25 \p 1 \l 1033 </w:instrText>
          </w:r>
          <w:r>
            <w:fldChar w:fldCharType="separate"/>
          </w:r>
          <w:r>
            <w:rPr>
              <w:noProof/>
            </w:rPr>
            <w:t xml:space="preserve">(Iwata et al., 2025; Kushwaha et al., 2025)</w:t>
          </w:r>
          <w:r>
            <w:fldChar w:fldCharType="end"/>
          </w:r>
        </w:sdtContent>
      </w:sdt>
      <w:r>
        <w:rPr>
          <w:b w:val="false"/>
          <w:bCs w:val="false"/>
          <w:i w:val="false"/>
          <w:iCs w:val="false"/>
          <w:color w:val="000000"/>
        </w:rPr>
        <w:t xml:space="preserve">. Despite these advancements, the field remains fragmented, as many ontology-driven solutions are restricted to early developmental stages and lack broad integration into corporate workflows. </w:t>
      </w:r>
    </w:p>
    <w:p>
      <w:r>
        <w:rPr>
          <w:b w:val="false"/>
          <w:bCs w:val="false"/>
          <w:i w:val="false"/>
          <w:iCs w:val="false"/>
          <w:color w:val="000000"/>
        </w:rPr>
        <w:t xml:space="preserve">However, current approaches often struggle to reconcile formal schema definitions with the practical demands of scalable population and governance from authoritative regulatory documents like SASB or IFRS S2; indeed, absent ontology-guided constraints, unconstrained LLM extraction frequently generates semantically incorrect entities and hallucinated relationships, thereby undermining the auditability these knowledge graphs are intended to facilitate </w:t>
      </w:r>
      <w:sdt>
        <w:sdtPr>
          <w:tag w:val="CITATION YuM25"/>
          <w:id w:val="1154688651"/>
          <w:citation/>
        </w:sdtPr>
        <w:sdtContent>
          <w:r>
            <w:fldChar w:fldCharType="begin"/>
          </w:r>
          <w:r>
            <w:instrText xml:space="preserve"> CITATION YuM25 \l 1033 </w:instrText>
          </w:r>
          <w:r>
            <w:fldChar w:fldCharType="separate"/>
          </w:r>
          <w:r>
            <w:rPr>
              <w:noProof/>
            </w:rPr>
            <w:t xml:space="preserve">(Yu et al., 2025)</w:t>
          </w:r>
          <w:r>
            <w:fldChar w:fldCharType="end"/>
          </w:r>
        </w:sdtContent>
      </w:sdt>
      <w:r>
        <w:rPr>
          <w:b w:val="false"/>
          <w:bCs w:val="false"/>
          <w:i w:val="false"/>
          <w:iCs w:val="false"/>
          <w:color w:val="000000"/>
        </w:rPr>
        <w:t xml:space="preserve">. To address these integration gaps, recent scholarship emphasizes the adoption of meta-ontologies that leverage lightweight design patterns and semi-automated instantiation to link unstructured reports directly to normative principles </w:t>
      </w:r>
      <w:sdt>
        <w:sdtPr>
          <w:tag w:val="CITATION IwataT25"/>
          <w:id w:val="86430229"/>
          <w:citation/>
        </w:sdtPr>
        <w:sdtContent>
          <w:r>
            <w:fldChar w:fldCharType="begin"/>
          </w:r>
          <w:r>
            <w:instrText xml:space="preserve"> CITATION IwataT25 \p 2 \l 1033 </w:instrText>
          </w:r>
          <w:r>
            <w:fldChar w:fldCharType="separate"/>
          </w:r>
          <w:r>
            <w:rPr>
              <w:noProof/>
            </w:rPr>
            <w:t xml:space="preserve">(Iwata et al., 2025)</w:t>
          </w:r>
          <w:r>
            <w:fldChar w:fldCharType="end"/>
          </w:r>
        </w:sdtContent>
      </w:sdt>
      <w:r>
        <w:rPr>
          <w:b w:val="false"/>
          <w:bCs w:val="false"/>
          <w:i w:val="false"/>
          <w:iCs w:val="false"/>
          <w:color w:val="000000"/>
        </w:rPr>
        <w:t xml:space="preserve">. For instance, the NatureKG initiative provides a reusable foundation for representing environmental risks and dependencies, demonstrating how domain-aligned ontologies can enhance transparency within sustainable finance decision support </w:t>
      </w:r>
      <w:sdt>
        <w:sdtPr>
          <w:tag w:val="CITATION KushwahaN25"/>
          <w:id w:val="362136161"/>
          <w:citation/>
        </w:sdtPr>
        <w:sdtContent>
          <w:r>
            <w:fldChar w:fldCharType="begin"/>
          </w:r>
          <w:r>
            <w:instrText xml:space="preserve"> CITATION KushwahaN25 \l 1033 </w:instrText>
          </w:r>
          <w:r>
            <w:fldChar w:fldCharType="separate"/>
          </w:r>
          <w:r>
            <w:rPr>
              <w:noProof/>
            </w:rPr>
            <w:t xml:space="preserve">(Kushwaha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These initiatives typically leverage established financial reporting taxonomies, such as those provided by the Global Reporting Initiative or the Sustainability Accounting Standards Board, </w:t>
      </w:r>
      <w:commentRangeStart w:id="22"/>
      <w:r>
        <w:rPr>
          <w:b w:val="false"/>
          <w:bCs w:val="false"/>
          <w:i w:val="false"/>
          <w:iCs w:val="false"/>
          <w:color w:val="000000"/>
        </w:rPr>
        <w:t xml:space="preserve">to map heterogeneous disclosure data into a unified, interoperable semantic framework.</w:t>
      </w:r>
      <w:commentRangeEnd w:id="22"/>
      <w:commentReference w:id="22"/>
      <w:r>
        <w:rPr>
          <w:b w:val="false"/>
          <w:bCs w:val="false"/>
          <w:i w:val="false"/>
          <w:iCs w:val="false"/>
          <w:color w:val="000000"/>
        </w:rPr>
        <w:t xml:space="preserve"> </w:t>
      </w:r>
    </w:p>
    <w:p>
      <w:r>
        <w:rPr>
          <w:b w:val="false"/>
          <w:bCs w:val="false"/>
          <w:i w:val="false"/>
          <w:iCs w:val="false"/>
          <w:color w:val="000000"/>
        </w:rPr>
        <w:t xml:space="preserve">The ESGOnt framework facilitates cross-framework alignment by mapping ESG indicators to Sustainable Development Goals across GRI, SASB, ESRS, and LCSA. Despite these advancements, a significant limitation persists: the lack of formal interoperability, as alignment guidance between standards often remains non-authoritative. OntoMetric addresses the parallel challenge of knowledge graph population by employing ontology-constrained LLM extraction to transform regulatory narratives into machine-actionable artifacts </w:t>
      </w:r>
      <w:sdt>
        <w:sdtPr>
          <w:tag w:val="CITATION YuM25"/>
          <w:id w:val="1324641916"/>
          <w:citation/>
        </w:sdtPr>
        <w:sdtContent>
          <w:r>
            <w:fldChar w:fldCharType="begin"/>
          </w:r>
          <w:r>
            <w:instrText xml:space="preserve"> CITATION YuM25 \l 1033 </w:instrText>
          </w:r>
          <w:r>
            <w:fldChar w:fldCharType="separate"/>
          </w:r>
          <w:r>
            <w:rPr>
              <w:noProof/>
            </w:rPr>
            <w:t xml:space="preserve">(Yu et al., 2025)</w:t>
          </w:r>
          <w:r>
            <w:fldChar w:fldCharType="end"/>
          </w:r>
        </w:sdtContent>
      </w:sdt>
      <w:r>
        <w:rPr>
          <w:b w:val="false"/>
          <w:bCs w:val="false"/>
          <w:i w:val="false"/>
          <w:iCs w:val="false"/>
          <w:color w:val="000000"/>
        </w:rPr>
        <w:t xml:space="preserve">. By integrating semantic type verification and rule-based schema checking as first-class constraints,</w:t>
      </w:r>
    </w:p>
    <w:p>
      <w:r>
        <w:rPr>
          <w:b w:val="false"/>
          <w:bCs w:val="false"/>
          <w:i w:val="false"/>
          <w:iCs w:val="false"/>
          <w:color w:val="000000"/>
        </w:rPr>
        <w:t xml:space="preserve">OntoMetric significantly enhances extraction reliability; research indicates that such ontology-guided approaches achieve up to 90% semantic accuracy and over 80% schema compliance, starkly outperforming unconstrained baselines which typically yield 3–10% accuracy </w:t>
      </w:r>
      <w:sdt>
        <w:sdtPr>
          <w:tag w:val="CITATION YuM25"/>
          <w:id w:val="1453257796"/>
          <w:citation/>
        </w:sdtPr>
        <w:sdtContent>
          <w:r>
            <w:fldChar w:fldCharType="begin"/>
          </w:r>
          <w:r>
            <w:instrText xml:space="preserve"> CITATION YuM25 \l 1033 </w:instrText>
          </w:r>
          <w:r>
            <w:fldChar w:fldCharType="separate"/>
          </w:r>
          <w:r>
            <w:rPr>
              <w:noProof/>
            </w:rPr>
            <w:t xml:space="preserve">(Yu et al., 2025)</w:t>
          </w:r>
          <w:r>
            <w:fldChar w:fldCharType="end"/>
          </w:r>
        </w:sdtContent>
      </w:sdt>
      <w:r>
        <w:rPr>
          <w:b w:val="false"/>
          <w:bCs w:val="false"/>
          <w:i w:val="false"/>
          <w:iCs w:val="false"/>
          <w:color w:val="000000"/>
        </w:rPr>
        <w:t xml:space="preserve">. This methodological rigor mitigates common issues such as hallucinated relationships and structural invalidity, effectively bridging the gap between implicit regulatory text and the requirements of auditable ESG metric governance.</w:t>
      </w:r>
    </w:p>
    <w:p>
      <w:pPr>
        <w:pStyle w:val="Heading3"/>
      </w:pPr>
      <w:r>
        <w:rPr>
          <w:b w:val="false"/>
          <w:bCs w:val="false"/>
          <w:i/>
          <w:iCs/>
          <w:color w:val="000000"/>
        </w:rPr>
        <w:t xml:space="preserve">2.6.2  Graph Export and GraphRAG Applications</w:t>
      </w:r>
    </w:p>
    <w:p>
      <w:r>
        <w:rPr>
          <w:b w:val="false"/>
          <w:bCs w:val="false"/>
          <w:i w:val="false"/>
          <w:iCs w:val="false"/>
          <w:color w:val="000000"/>
        </w:rPr>
        <w:t xml:space="preserve">Graph-based Retrieval-Augmented Generation has emerged as a superior architecture for ESG question-answering systems; by prioritizing the retrieval of semantically structured evidence nodes over fragmented text chunks, this approach mitigates the auditability and accuracy deficits commonly associated with unconstrained vector-based retrieval</w:t>
      </w:r>
      <w:sdt>
        <w:sdtPr>
          <w:tag w:val="CITATION MinC25"/>
          <w:id w:val="58434089"/>
          <w:citation/>
        </w:sdtPr>
        <w:sdtContent>
          <w:r>
            <w:fldChar w:fldCharType="begin"/>
          </w:r>
          <w:r>
            <w:instrText xml:space="preserve"> CITATION MinC25 \m HanH24 \p 2 \l 1033 </w:instrText>
          </w:r>
          <w:r>
            <w:fldChar w:fldCharType="separate"/>
          </w:r>
          <w:r>
            <w:rPr>
              <w:noProof/>
            </w:rPr>
            <w:t xml:space="preserve">(Han et al., 2024; Min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While standard embedding-based RAG often fails to capture the complex interdependencies between sustainability metrics and corporate governance structures—frequently leading to retrieval failures in multi-hop reasoning tasks</w:t>
      </w:r>
      <w:sdt>
        <w:sdtPr>
          <w:tag w:val="CITATION MinC25"/>
          <w:id w:val="1279815874"/>
          <w:citation/>
        </w:sdtPr>
        <w:sdtContent>
          <w:r>
            <w:fldChar w:fldCharType="begin"/>
          </w:r>
          <w:r>
            <w:instrText xml:space="preserve"> CITATION MinC25 \m WuY25 \p 2 \l 1033 </w:instrText>
          </w:r>
          <w:r>
            <w:fldChar w:fldCharType="separate"/>
          </w:r>
          <w:r>
            <w:rPr>
              <w:noProof/>
            </w:rPr>
            <w:t xml:space="preserve">(Min et al., 2025; Wu et al., 2025)</w:t>
          </w:r>
          <w:r>
            <w:fldChar w:fldCharType="end"/>
          </w:r>
        </w:sdtContent>
      </w:sdt>
      <w:r>
        <w:rPr>
          <w:b w:val="false"/>
          <w:bCs w:val="false"/>
          <w:i w:val="false"/>
          <w:iCs w:val="false"/>
          <w:color w:val="000000"/>
        </w:rPr>
        <w:t xml:space="preserve">—GraphRAG enables precise navigation of entity-relation paths, mitigating the auditability and accuracy deficits of unconstrained vector retrieval</w:t>
      </w:r>
      <w:sdt>
        <w:sdtPr>
          <w:tag w:val="CITATION WuY25"/>
          <w:id w:val="1105758955"/>
          <w:citation/>
        </w:sdtPr>
        <w:sdtContent>
          <w:r>
            <w:fldChar w:fldCharType="begin"/>
          </w:r>
          <w:r>
            <w:instrText xml:space="preserve"> CITATION WuY25 \m HanH24 \p 1 \l 1033 </w:instrText>
          </w:r>
          <w:r>
            <w:fldChar w:fldCharType="separate"/>
          </w:r>
          <w:r>
            <w:rPr>
              <w:noProof/>
            </w:rPr>
            <w:t xml:space="preserve">(Han et al., 2024; Wu et al., 2025)</w:t>
          </w:r>
          <w:r>
            <w:fldChar w:fldCharType="end"/>
          </w:r>
        </w:sdtContent>
      </w:sdt>
      <w:r>
        <w:rPr>
          <w:b w:val="false"/>
          <w:bCs w:val="false"/>
          <w:i w:val="false"/>
          <w:iCs w:val="false"/>
          <w:color w:val="000000"/>
        </w:rPr>
        <w:t xml:space="preserve">. In the context of sustainability reporting, this allows systems to effectively resolve complex queries, such as "What did Company X disclose about Scope 3 emissions in relation to their supply chain governance?", by explicitly mapping the connectivity between disparate disclosure items.</w:t>
      </w:r>
    </w:p>
    <w:p>
      <w:r>
        <w:rPr>
          <w:b w:val="false"/>
          <w:bCs w:val="false"/>
          <w:i w:val="false"/>
          <w:iCs w:val="false"/>
          <w:color w:val="000000"/>
        </w:rPr>
        <w:t xml:space="preserve">Furthermore, as ESGBench baseline results highlight that current vector-based RAG systems struggle with numeric KPI retrieval and table grounding, graph-structured representations offer a necessary correction by preserving the relational context and schema fidelity required for auditable, high-precision ESG fact-retrieval </w:t>
      </w:r>
      <w:sdt>
        <w:sdtPr>
          <w:tag w:val="CITATION MinC25"/>
          <w:id w:val="1389872708"/>
          <w:citation/>
        </w:sdtPr>
        <w:sdtContent>
          <w:r>
            <w:fldChar w:fldCharType="begin"/>
          </w:r>
          <w:r>
            <w:instrText xml:space="preserve"> CITATION MinC25 \m YuM25 \m HanH24 \p 2 \l 1033 </w:instrText>
          </w:r>
          <w:r>
            <w:fldChar w:fldCharType="separate"/>
          </w:r>
          <w:r>
            <w:rPr>
              <w:noProof/>
            </w:rPr>
            <w:t xml:space="preserve">(Han et al., 2024; Min et al., 2025; Yu et al., 2025)</w:t>
          </w:r>
          <w:r>
            <w:fldChar w:fldCharType="end"/>
          </w:r>
        </w:sdtContent>
      </w:sdt>
      <w:r>
        <w:rPr>
          <w:b w:val="false"/>
          <w:bCs w:val="false"/>
          <w:i w:val="false"/>
          <w:iCs w:val="false"/>
          <w:color w:val="000000"/>
        </w:rPr>
        <w:t xml:space="preserve">. These advancements in graph-structured retrieval are further complemented by expert-in-the-loop pipelines, which utilize meta-expert adjudication to certify the reliability of extracted evidence for regulatory-grade decision support </w:t>
      </w:r>
      <w:sdt>
        <w:sdtPr>
          <w:tag w:val="CITATION HeC262"/>
          <w:id w:val="2032353966"/>
          <w:citation/>
        </w:sdtPr>
        <w:sdtContent>
          <w:r>
            <w:fldChar w:fldCharType="begin"/>
          </w:r>
          <w:r>
            <w:instrText xml:space="preserve"> CITATION HeC262 \l 1033 </w:instrText>
          </w:r>
          <w:r>
            <w:fldChar w:fldCharType="separate"/>
          </w:r>
          <w:r>
            <w:rPr>
              <w:noProof/>
            </w:rPr>
            <w:t xml:space="preserve">(He et al., 2026)</w:t>
          </w:r>
          <w:r>
            <w:fldChar w:fldCharType="end"/>
          </w:r>
        </w:sdtContent>
      </w:sdt>
      <w:r>
        <w:rPr>
          <w:b w:val="false"/>
          <w:bCs w:val="false"/>
          <w:i w:val="false"/>
          <w:iCs w:val="false"/>
          <w:color w:val="000000"/>
        </w:rPr>
        <w:t xml:space="preserve">. </w:t>
      </w:r>
    </w:p>
    <w:p>
      <w:commentRangeStart w:id="23"/>
      <w:r>
        <w:rPr>
          <w:b w:val="false"/>
          <w:bCs w:val="false"/>
          <w:i w:val="false"/>
          <w:iCs w:val="false"/>
          <w:color w:val="000000"/>
        </w:rPr>
        <w:t xml:space="preserve">For this thesis, the ontology and graph export layer serves two purposes. </w:t>
      </w:r>
      <w:r>
        <w:rPr>
          <w:b w:val="false"/>
          <w:bCs w:val="false"/>
          <w:i w:val="false"/>
          <w:iCs w:val="false"/>
          <w:color w:val="000000"/>
        </w:rPr>
        <w:t xml:space="preserve">First, it maps the 46 ESG aspect clusters to GRI topic codes and OJK framework categories, enabling standard-aligned reporting of findings.</w:t>
      </w:r>
      <w:commentRangeEnd w:id="23"/>
      <w:commentReference w:id="23"/>
      <w:r>
        <w:rPr>
          <w:b w:val="false"/>
          <w:bCs w:val="false"/>
          <w:i w:val="false"/>
          <w:iCs w:val="false"/>
          <w:color w:val="000000"/>
        </w:rPr>
        <w:t xml:space="preserve"> Second, it exports records as RDF/OWL or Neo4j-importable formats for potential downstream use by other researchers, consistent with open science principles. The news-article ESG controversy ontology of Iwata et al. (2025), which provides a semi-automatic method for constructing structured knowledge representations of ESG events, offers a compatible reference design for the controversy-event layer of the ontology developed in this thesis</w:t>
      </w:r>
      <w:sdt>
        <w:sdtPr>
          <w:tag w:val="CITATION IwataT25"/>
          <w:id w:val="1559823988"/>
          <w:citation/>
        </w:sdtPr>
        <w:sdtContent>
          <w:r>
            <w:fldChar w:fldCharType="begin"/>
          </w:r>
          <w:r>
            <w:instrText xml:space="preserve"> CITATION IwataT25 \p 1 \l 1033 </w:instrText>
          </w:r>
          <w:r>
            <w:fldChar w:fldCharType="separate"/>
          </w:r>
          <w:r>
            <w:rPr>
              <w:noProof/>
            </w:rPr>
            <w:t xml:space="preserve">(Iwata et al., 2025)</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2.7  Greenwashing Detection: Definitions, Methods, and NLP Approaches</w:t>
      </w:r>
    </w:p>
    <w:p>
      <w:r>
        <w:rPr>
          <w:b w:val="false"/>
          <w:bCs w:val="false"/>
          <w:i w:val="false"/>
          <w:iCs w:val="false"/>
          <w:color w:val="000000"/>
        </w:rPr>
        <w:t xml:space="preserve">Greenwashing is broadly defined in the corporate disclosure literature as the selective presentation of positive environmental performance information while withholding or understating negative information</w:t>
      </w:r>
      <w:sdt>
        <w:sdtPr>
          <w:tag w:val="CITATION BerniniF23"/>
          <w:id w:val="27052376"/>
          <w:citation/>
        </w:sdtPr>
        <w:sdtContent>
          <w:r>
            <w:fldChar w:fldCharType="begin"/>
          </w:r>
          <w:r>
            <w:instrText xml:space="preserve"> CITATION BerniniF23 \p 416 \l 1033 </w:instrText>
          </w:r>
          <w:r>
            <w:fldChar w:fldCharType="separate"/>
          </w:r>
          <w:r>
            <w:rPr>
              <w:noProof/>
            </w:rPr>
            <w:t xml:space="preserve">(Bernini &amp; Rosa, 2023)</w:t>
          </w:r>
          <w:r>
            <w:fldChar w:fldCharType="end"/>
          </w:r>
        </w:sdtContent>
      </w:sdt>
      <w:r>
        <w:rPr>
          <w:b w:val="false"/>
          <w:bCs w:val="false"/>
          <w:i w:val="false"/>
          <w:iCs w:val="false"/>
          <w:color w:val="000000"/>
        </w:rPr>
        <w:t xml:space="preserve">. </w:t>
      </w:r>
    </w:p>
    <w:p>
      <w:r>
        <w:rPr>
          <w:b w:val="false"/>
          <w:bCs w:val="false"/>
          <w:i w:val="false"/>
          <w:iCs w:val="false"/>
          <w:color w:val="000000"/>
        </w:rPr>
        <w:t xml:space="preserve">Establishing a robust operationalisation for NLP-based greenwashing detection necessitates the translation of conceptual definitions into quantitative, discourse-level signals, specifically: sentiment polarity imbalance </w:t>
      </w:r>
      <w:sdt>
        <w:sdtPr>
          <w:tag w:val="CITATION ZhangM25"/>
          <w:id w:val="1565654927"/>
          <w:citation/>
        </w:sdtPr>
        <w:sdtContent>
          <w:r>
            <w:fldChar w:fldCharType="begin"/>
          </w:r>
          <w:r>
            <w:instrText xml:space="preserve"> CITATION ZhangM25 \l 1033 </w:instrText>
          </w:r>
          <w:r>
            <w:fldChar w:fldCharType="separate"/>
          </w:r>
          <w:r>
            <w:rPr>
              <w:noProof/>
            </w:rPr>
            <w:t xml:space="preserve">(Zhang, 2025)</w:t>
          </w:r>
          <w:r>
            <w:fldChar w:fldCharType="end"/>
          </w:r>
        </w:sdtContent>
      </w:sdt>
      <w:r>
        <w:rPr>
          <w:b w:val="false"/>
          <w:bCs w:val="false"/>
          <w:i w:val="false"/>
          <w:iCs w:val="false"/>
          <w:color w:val="000000"/>
        </w:rPr>
        <w:t xml:space="preserve">, vagueness and hedge density, commitment-specificity ratios, and disclosure-action divergence. Recent frameworks have moved beyond lexical analysis by utilizing domain-specific knowledge graphs and retrieval-augmented generation to expose inconsistencies between corporate sustainability claims and verifiable evidence </w:t>
      </w:r>
      <w:sdt>
        <w:sdtPr>
          <w:tag w:val="CITATION GeorgiosK25"/>
          <w:id w:val="375890285"/>
          <w:citation/>
        </w:sdtPr>
        <w:sdtContent>
          <w:r>
            <w:fldChar w:fldCharType="begin"/>
          </w:r>
          <w:r>
            <w:instrText xml:space="preserve"> CITATION GeorgiosK25 \l 1033 </w:instrText>
          </w:r>
          <w:r>
            <w:fldChar w:fldCharType="separate"/>
          </w:r>
          <w:r>
            <w:rPr>
              <w:noProof/>
            </w:rPr>
            <w:t xml:space="preserve">(Georgios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Delmas and Burbano (2011) provide a widely cited two-dimensional framework placing greenwashing at the intersection of poor environmental performance and positive environmental communication</w:t>
      </w:r>
      <w:sdt>
        <w:sdtPr>
          <w:tag w:val="CITATION YangZ20"/>
          <w:id w:val="1284357670"/>
          <w:citation/>
        </w:sdtPr>
        <w:sdtContent>
          <w:r>
            <w:fldChar w:fldCharType="begin"/>
          </w:r>
          <w:r>
            <w:instrText xml:space="preserve"> CITATION YangZ20 \p 1492 \l 1033 </w:instrText>
          </w:r>
          <w:r>
            <w:fldChar w:fldCharType="separate"/>
          </w:r>
          <w:r>
            <w:rPr>
              <w:noProof/>
            </w:rPr>
            <w:t xml:space="preserve">(Yang et al., 2020)</w:t>
          </w:r>
          <w:r>
            <w:fldChar w:fldCharType="end"/>
          </w:r>
        </w:sdtContent>
      </w:sdt>
      <w:r>
        <w:rPr>
          <w:b w:val="false"/>
          <w:bCs w:val="false"/>
          <w:i w:val="false"/>
          <w:iCs w:val="false"/>
          <w:color w:val="000000"/>
        </w:rPr>
        <w:t xml:space="preserve">, which maps directly onto the comparison between a company's disclosed tone (extracted by the ABSA pipeline) and its reported quantitative emissions performance.</w:t>
      </w:r>
    </w:p>
    <w:p>
      <w:r>
        <w:rPr>
          <w:b w:val="false"/>
          <w:bCs w:val="false"/>
          <w:i w:val="false"/>
          <w:iCs w:val="false"/>
          <w:color w:val="000000"/>
        </w:rPr>
        <w:t xml:space="preserve">NLP approaches to greenwashing detection have developed along two parallel tracks. The </w:t>
      </w:r>
      <w:r>
        <w:rPr>
          <w:b w:val="false"/>
          <w:bCs w:val="false"/>
          <w:i/>
          <w:iCs/>
          <w:color w:val="000000"/>
        </w:rPr>
        <w:t xml:space="preserve">lexical and topic-classification track</w:t>
      </w:r>
      <w:r>
        <w:rPr>
          <w:b w:val="false"/>
          <w:bCs w:val="false"/>
          <w:i w:val="false"/>
          <w:iCs w:val="false"/>
          <w:color w:val="000000"/>
        </w:rPr>
        <w:t xml:space="preserve"> uses keyword-based models</w:t>
      </w:r>
      <w:sdt>
        <w:sdtPr>
          <w:tag w:val="CITATION CalamaiT25"/>
          <w:id w:val="1662817625"/>
          <w:citation/>
        </w:sdtPr>
        <w:sdtContent>
          <w:r>
            <w:fldChar w:fldCharType="begin"/>
          </w:r>
          <w:r>
            <w:instrText xml:space="preserve"> CITATION CalamaiT25 \p 13 \l 1033 </w:instrText>
          </w:r>
          <w:r>
            <w:fldChar w:fldCharType="separate"/>
          </w:r>
          <w:r>
            <w:rPr>
              <w:noProof/>
            </w:rPr>
            <w:t xml:space="preserve">(Calamai et al., 2025)</w:t>
          </w:r>
          <w:r>
            <w:fldChar w:fldCharType="end"/>
          </w:r>
        </w:sdtContent>
      </w:sdt>
      <w:r>
        <w:rPr>
          <w:b w:val="false"/>
          <w:bCs w:val="false"/>
          <w:i w:val="false"/>
          <w:iCs w:val="false"/>
          <w:color w:val="000000"/>
        </w:rPr>
        <w:t xml:space="preserve"> or fine-tuned BERT/ClimateBERT classifiers to identify climate commitment or risk language</w:t>
      </w:r>
      <w:sdt>
        <w:sdtPr>
          <w:tag w:val="CITATION SchimanskiT24"/>
          <w:id w:val="1011407947"/>
          <w:citation/>
        </w:sdtPr>
        <w:sdtContent>
          <w:r>
            <w:fldChar w:fldCharType="begin"/>
          </w:r>
          <w:r>
            <w:instrText xml:space="preserve"> CITATION SchimanskiT24 \p 2 \l 1033 </w:instrText>
          </w:r>
          <w:r>
            <w:fldChar w:fldCharType="separate"/>
          </w:r>
          <w:r>
            <w:rPr>
              <w:noProof/>
            </w:rPr>
            <w:t xml:space="preserve">(Schimanski et al., 2024)</w:t>
          </w:r>
          <w:r>
            <w:fldChar w:fldCharType="end"/>
          </w:r>
        </w:sdtContent>
      </w:sdt>
      <w:r>
        <w:rPr>
          <w:b w:val="false"/>
          <w:bCs w:val="false"/>
          <w:i w:val="false"/>
          <w:iCs w:val="false"/>
          <w:color w:val="000000"/>
        </w:rPr>
        <w:t xml:space="preserve">. The </w:t>
      </w:r>
      <w:r>
        <w:rPr>
          <w:b w:val="false"/>
          <w:bCs w:val="false"/>
          <w:i/>
          <w:iCs/>
          <w:color w:val="000000"/>
        </w:rPr>
        <w:t xml:space="preserve">sentiment-and-specificity track</w:t>
      </w:r>
      <w:r>
        <w:rPr>
          <w:b w:val="false"/>
          <w:bCs w:val="false"/>
          <w:i w:val="false"/>
          <w:iCs w:val="false"/>
          <w:color w:val="000000"/>
        </w:rPr>
        <w:t xml:space="preserve"> uses ABSA-style analysis to characterize tone direction at the aspect level</w:t>
      </w:r>
      <w:sdt>
        <w:sdtPr>
          <w:tag w:val="CITATION OngK24"/>
          <w:id w:val="879553466"/>
          <w:citation/>
        </w:sdtPr>
        <w:sdtContent>
          <w:r>
            <w:fldChar w:fldCharType="begin"/>
          </w:r>
          <w:r>
            <w:instrText xml:space="preserve"> CITATION OngK24 \p 102737 \l 1033 </w:instrText>
          </w:r>
          <w:r>
            <w:fldChar w:fldCharType="separate"/>
          </w:r>
          <w:r>
            <w:rPr>
              <w:noProof/>
            </w:rPr>
            <w:t xml:space="preserve">(Ong et al., 2024)</w:t>
          </w:r>
          <w:r>
            <w:fldChar w:fldCharType="end"/>
          </w:r>
        </w:sdtContent>
      </w:sdt>
      <w:r>
        <w:rPr>
          <w:b w:val="false"/>
          <w:bCs w:val="false"/>
          <w:i w:val="false"/>
          <w:iCs w:val="false"/>
          <w:color w:val="000000"/>
        </w:rPr>
        <w:t xml:space="preserve">. </w:t>
      </w:r>
    </w:p>
    <w:p>
      <w:commentRangeStart w:id="25"/>
      <w:r>
        <w:rPr>
          <w:b w:val="false"/>
          <w:bCs w:val="false"/>
          <w:i w:val="false"/>
          <w:iCs w:val="false"/>
          <w:color w:val="000000"/>
        </w:rPr>
        <w:t xml:space="preserve">A recent survey of corporate greenwashing detection in text notes that fine-tuned transformer models achieve systematically high performance on human-annotated in-domain classification datasets for topic detection, but that robustness to adversarial reformulation—where companies strategically reword commitments to avoid detection—remains a key open challenge</w:t>
      </w:r>
      <w:commentRangeEnd w:id="25"/>
      <w:commentReference w:id="25"/>
      <w:r>
        <w:rPr>
          <w:b w:val="false"/>
          <w:bCs w:val="false"/>
          <w:i w:val="false"/>
          <w:iCs w:val="false"/>
          <w:color w:val="000000"/>
        </w:rPr>
        <w:t xml:space="preserve"> </w:t>
      </w:r>
      <w:sdt>
        <w:sdtPr>
          <w:tag w:val="CITATION CalamaiT25"/>
          <w:id w:val="989873801"/>
          <w:citation/>
        </w:sdtPr>
        <w:sdtContent>
          <w:r>
            <w:fldChar w:fldCharType="begin"/>
          </w:r>
          <w:r>
            <w:instrText xml:space="preserve"> CITATION CalamaiT25 \p 15 \l 1033 </w:instrText>
          </w:r>
          <w:r>
            <w:fldChar w:fldCharType="separate"/>
          </w:r>
          <w:r>
            <w:rPr>
              <w:noProof/>
            </w:rPr>
            <w:t xml:space="preserve">(Calamai et al., 2025)</w:t>
          </w:r>
          <w:r>
            <w:fldChar w:fldCharType="end"/>
          </w:r>
        </w:sdtContent>
      </w:sdt>
      <w:r>
        <w:rPr>
          <w:b w:val="false"/>
          <w:bCs w:val="false"/>
          <w:i w:val="false"/>
          <w:iCs w:val="false"/>
          <w:color w:val="000000"/>
        </w:rPr>
        <w:t xml:space="preserve">. </w:t>
      </w:r>
    </w:p>
    <w:p>
      <w:r>
        <w:rPr>
          <w:b w:val="false"/>
          <w:bCs w:val="false"/>
          <w:i w:val="false"/>
          <w:iCs w:val="false"/>
          <w:color w:val="000000"/>
        </w:rPr>
        <w:t xml:space="preserve">Braun et al. (2026) proposed a contrastive learning approach to greenwashing-robust detection, explicitly targeting models that over-rely on surface-level lexical patterns, demonstrating improved cross-category generalization at the cost of some in-distribution accuracy</w:t>
      </w:r>
      <w:sdt>
        <w:sdtPr>
          <w:tag w:val="CITATION BraunN26"/>
          <w:id w:val="117459199"/>
          <w:citation/>
        </w:sdtPr>
        <w:sdtContent>
          <w:r>
            <w:fldChar w:fldCharType="begin"/>
          </w:r>
          <w:r>
            <w:instrText xml:space="preserve"> CITATION BraunN26 \l 1033 </w:instrText>
          </w:r>
          <w:r>
            <w:fldChar w:fldCharType="separate"/>
          </w:r>
          <w:r>
            <w:rPr>
              <w:noProof/>
            </w:rPr>
            <w:t xml:space="preserve">(Braun et al., 2026)</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This thesis contributes to the sentiment-and-specificity track by applying ABSA at the aspect level to Indonesian sustainability reports, enabling tone profiling per ESG pillar and per OJK framework category. </w:t>
      </w:r>
      <w:commentRangeStart w:id="26"/>
      <w:r>
        <w:rPr>
          <w:b w:val="false"/>
          <w:bCs w:val="false"/>
          <w:i w:val="false"/>
          <w:iCs w:val="false"/>
          <w:color w:val="000000"/>
        </w:rPr>
        <w:t xml:space="preserve">The comparison of LLM-extracted tone with ClimateBERT-derived risk/opportunity labels provides a methodological contribution to understanding the divergence between climate-specific and full-ESG sentiment models—a distinction that is underexplored in the existing greenwashing NLP literature, which predominantly uses ClimateBERT or climate-trained models as the primary analytical tool.</w:t>
      </w:r>
      <w:commentRangeEnd w:id="26"/>
      <w:commentReference w:id="26"/>
    </w:p>
    <w:p>
      <w:pPr>
        <w:pStyle w:val="Heading2"/>
      </w:pPr>
      <w:r>
        <w:rPr>
          <w:b w:val="false"/>
          <w:bCs w:val="false"/>
          <w:i w:val="false"/>
          <w:iCs w:val="false"/>
          <w:color w:val="000000"/>
        </w:rPr>
        <w:t xml:space="preserve">2.8  Research Gap and Positioning of This Thesis</w:t>
      </w:r>
    </w:p>
    <w:p>
      <w:r>
        <w:rPr>
          <w:b w:val="false"/>
          <w:bCs w:val="false"/>
          <w:i w:val="false"/>
          <w:iCs w:val="false"/>
          <w:color w:val="000000"/>
        </w:rPr>
        <w:t xml:space="preserve">The literature reviewed above establishes several well-developed strands of research: ABSA methodology from SemEval benchmarks to LLM-era structured extraction; climate NLP from ClimateBERT to full ESG benchmarks; ontology engineering for ESG indicator structuring; and greenwashing detection from lexical through contrastive learning approaches. However, the intersection of these strands in an integrated, reproducible, and thesis-relevant system applied to an emerging-market context remains unaddressed.</w:t>
      </w:r>
    </w:p>
    <w:p>
      <w:commentRangeStart w:id="27"/>
      <w:r>
        <w:rPr>
          <w:b w:val="false"/>
          <w:bCs w:val="false"/>
          <w:i w:val="false"/>
          <w:iCs w:val="false"/>
          <w:color w:val="000000"/>
        </w:rPr>
        <w:t xml:space="preserve">Specifically, the following gaps are identified</w:t>
      </w:r>
      <w:commentRangeEnd w:id="27"/>
      <w:commentReference w:id="27"/>
    </w:p>
    <w:p>
      <w:pPr>
        <w:pStyle w:val="ListParagraph"/>
        <w:numPr>
          <w:ilvl w:val="0"/>
          <w:numId w:val="1"/>
        </w:numPr>
      </w:pPr>
      <w:r>
        <w:rPr>
          <w:b w:val="false"/>
          <w:bCs w:val="false"/>
          <w:i w:val="false"/>
          <w:iCs w:val="false"/>
          <w:color w:val="000000"/>
        </w:rPr>
        <w:t xml:space="preserve">The 46-cluster Indonesian ESG aspect taxonomy developed in this thesis represents an original empirical contribution to the domain-adaptation literature for ABSA in emerging market sustainability disclosure contexts.</w:t>
      </w:r>
    </w:p>
    <w:p>
      <w:r>
        <w:rPr>
          <w:b w:val="false"/>
          <w:bCs w:val="false"/>
          <w:i w:val="false"/>
          <w:iCs w:val="false"/>
          <w:color w:val="000000"/>
        </w:rPr>
        <w:t xml:space="preserve">This thesis addresses these gaps by designing and evaluating an integrated, reproducible, and thesis-specific ESG ABSA pipeline applied to the Indonesian listed company context. The following chapter presents the methodology.</w:t>
      </w:r>
    </w:p>
    <w:p>
      <w:pPr>
        <w:pStyle w:val="Heading2"/>
      </w:pPr>
      <w:r>
        <w:rPr>
          <w:b w:val="false"/>
          <w:bCs w:val="false"/>
          <w:i w:val="false"/>
          <w:iCs w:val="false"/>
          <w:color w:val="000000"/>
        </w:rPr>
        <w:t xml:space="preserve">6. State-of-the-Art Positioning Logic</w:t>
      </w:r>
    </w:p>
    <w:p>
      <w:r>
        <w:rPr>
          <w:b w:val="false"/>
          <w:bCs w:val="false"/>
          <w:i w:val="false"/>
          <w:iCs w:val="false"/>
          <w:color w:val="000000"/>
        </w:rPr>
        <w:t xml:space="preserve">flowchart LR</w:t>
      </w:r>
    </w:p>
    <w:p>
      <w:r>
        <w:rPr>
          <w:b w:val="false"/>
          <w:bCs w:val="false"/>
          <w:i w:val="false"/>
          <w:iCs w:val="false"/>
          <w:color w:val="000000"/>
        </w:rPr>
        <w:t xml:space="preserve">    LEX["Lexicon ESG methods&lt;br/&gt;keyword scoring, transparent but shallow"]</w:t>
      </w:r>
    </w:p>
    <w:p>
      <w:r>
        <w:rPr>
          <w:b w:val="false"/>
          <w:bCs w:val="false"/>
          <w:i w:val="false"/>
          <w:iCs w:val="false"/>
          <w:color w:val="000000"/>
        </w:rPr>
        <w:t xml:space="preserve">    ML["Classical ML methods&lt;br/&gt;topic models and supervised classifiers"]</w:t>
      </w:r>
    </w:p>
    <w:p>
      <w:r>
        <w:rPr>
          <w:b w:val="false"/>
          <w:bCs w:val="false"/>
          <w:i w:val="false"/>
          <w:iCs w:val="false"/>
          <w:color w:val="000000"/>
        </w:rPr>
        <w:t xml:space="preserve">    BERT["Transformer methods&lt;br/&gt;FinBERT, ClimateBERT, ESG BERT variants"]</w:t>
      </w:r>
    </w:p>
    <w:p>
      <w:r>
        <w:rPr>
          <w:b w:val="false"/>
          <w:bCs w:val="false"/>
          <w:i w:val="false"/>
          <w:iCs w:val="false"/>
          <w:color w:val="000000"/>
        </w:rPr>
        <w:t xml:space="preserve">    LLM["LLM methods&lt;br/&gt;RAG, document QA, discourse extraction"]</w:t>
      </w:r>
    </w:p>
    <w:p>
      <w:r>
        <w:rPr>
          <w:b w:val="false"/>
          <w:bCs w:val="false"/>
          <w:i w:val="false"/>
          <w:iCs w:val="false"/>
          <w:color w:val="000000"/>
        </w:rPr>
        <w:t xml:space="preserve">    THIS["This thesis&lt;br/&gt;multi-layer bilingual ESG ABSA pipeline"]</w:t>
      </w:r>
    </w:p>
    <w:p>
      <w:r>
        <w:rPr>
          <w:b w:val="false"/>
          <w:bCs w:val="false"/>
          <w:i w:val="false"/>
          <w:iCs w:val="false"/>
          <w:color w:val="000000"/>
        </w:rPr>
        <w:t xml:space="preserve">    LEX --&gt;|"limited sentence-level tone"| THIS</w:t>
      </w:r>
    </w:p>
    <w:p>
      <w:r>
        <w:rPr>
          <w:b w:val="false"/>
          <w:bCs w:val="false"/>
          <w:i w:val="false"/>
          <w:iCs w:val="false"/>
          <w:color w:val="000000"/>
        </w:rPr>
        <w:t xml:space="preserve">    ML --&gt;|"needs labeled data and domain stability"| THIS</w:t>
      </w:r>
    </w:p>
    <w:p>
      <w:r>
        <w:rPr>
          <w:b w:val="false"/>
          <w:bCs w:val="false"/>
          <w:i w:val="false"/>
          <w:iCs w:val="false"/>
          <w:color w:val="000000"/>
        </w:rPr>
        <w:t xml:space="preserve">    BERT --&gt;|"strong domain models but limited tone taxonomy"| THIS</w:t>
      </w:r>
    </w:p>
    <w:p>
      <w:r>
        <w:rPr>
          <w:b w:val="false"/>
          <w:bCs w:val="false"/>
          <w:i w:val="false"/>
          <w:iCs w:val="false"/>
          <w:color w:val="000000"/>
        </w:rPr>
        <w:t xml:space="preserve">    LLM --&gt;|"rich extraction but unstable outputs"| THIS</w:t>
      </w:r>
    </w:p>
    <w:p>
      <w:r>
        <w:rPr>
          <w:b w:val="false"/>
          <w:bCs w:val="false"/>
          <w:i w:val="false"/>
          <w:iCs w:val="false"/>
          <w:color w:val="000000"/>
        </w:rPr>
        <w:t xml:space="preserve">    THIS --&gt; C1["Sentence-level ESG evidence"]</w:t>
      </w:r>
    </w:p>
    <w:p>
      <w:r>
        <w:rPr>
          <w:b w:val="false"/>
          <w:bCs w:val="false"/>
          <w:i w:val="false"/>
          <w:iCs w:val="false"/>
          <w:color w:val="000000"/>
        </w:rPr>
        <w:t xml:space="preserve">    THIS --&gt; C2["Tone taxonomy&lt;br/&gt;commitment, action, outcome, none"]</w:t>
      </w:r>
    </w:p>
    <w:p>
      <w:r>
        <w:rPr>
          <w:b w:val="false"/>
          <w:bCs w:val="false"/>
          <w:i w:val="false"/>
          <w:iCs w:val="false"/>
          <w:color w:val="000000"/>
        </w:rPr>
        <w:t xml:space="preserve">    THIS --&gt; C3["Bilingual Indonesian ESG context"]</w:t>
      </w:r>
    </w:p>
    <w:p>
      <w:r>
        <w:rPr>
          <w:b w:val="false"/>
          <w:bCs w:val="false"/>
          <w:i w:val="false"/>
          <w:iCs w:val="false"/>
          <w:color w:val="000000"/>
        </w:rPr>
        <w:t xml:space="preserve">    THIS --&gt; C4["ClimateBERT comparison"]</w:t>
      </w:r>
    </w:p>
    <w:p>
      <w:r>
        <w:rPr>
          <w:b w:val="false"/>
          <w:bCs w:val="false"/>
          <w:i w:val="false"/>
          <w:iCs w:val="false"/>
          <w:color w:val="000000"/>
        </w:rPr>
        <w:t xml:space="preserve">    THIS --&gt; C5["Ontology and graph export"]</w:t>
      </w:r>
    </w:p>
    <w:p>
      <w:r>
        <w:rPr>
          <w:b w:val="false"/>
          <w:bCs w:val="false"/>
          <w:i w:val="false"/>
          <w:iCs w:val="false"/>
          <w:color w:val="000000"/>
        </w:rPr>
        <w:t xml:space="preserve">    THIS --&gt; C6["Greenwashing-oriented diagnostics"]</w:t>
      </w:r>
    </w:p>
    <w:p>
      <w:pPr>
        <w:pStyle w:val="Heading3"/>
      </w:pPr>
      <w:r>
        <w:rPr>
          <w:b w:val="false"/>
          <w:bCs w:val="false"/>
          <w:i w:val="false"/>
          <w:iCs w:val="false"/>
          <w:color w:val="000000"/>
        </w:rPr>
        <w:t xml:space="preserve">Rationale</w:t>
      </w:r>
    </w:p>
    <w:p>
      <w:r>
        <w:rPr>
          <w:b w:val="false"/>
          <w:bCs w:val="false"/>
          <w:i w:val="false"/>
          <w:iCs w:val="false"/>
          <w:color w:val="000000"/>
        </w:rPr>
        <w:t xml:space="preserve">The SOTA table positions existing work into lexicon-based, ML-based, BERT/transformer, and LLM-based families. The thesis contribution is not that it uses one new model. Its novelty is the integration of multiple layers into a reproducible ESG ABSA research system for bilingual Indonesian reports.</w:t>
      </w:r>
    </w:p>
    <w:p>
      <w:r>
        <w:rPr>
          <w:b w:val="false"/>
          <w:bCs w:val="false"/>
          <w:i w:val="false"/>
          <w:iCs w:val="false"/>
          <w:color w:val="000000"/>
        </w:rPr>
        <w:t xml:space="preserve">The notes identify this thesis as covering four dimensions that many existing methods do not cover together:</w:t>
      </w:r>
    </w:p>
    <w:p>
      <w:pPr>
        <w:pStyle w:val="ListParagraph"/>
        <w:numPr>
          <w:ilvl w:val="0"/>
          <w:numId w:val="1"/>
        </w:numPr>
      </w:pPr>
      <w:r>
        <w:rPr>
          <w:b w:val="false"/>
          <w:bCs w:val="false"/>
          <w:i w:val="false"/>
          <w:iCs w:val="false"/>
          <w:color w:val="000000"/>
        </w:rPr>
        <w:t xml:space="preserve">sentence-level analysis,</w:t>
      </w:r>
    </w:p>
    <w:p>
      <w:pPr>
        <w:pStyle w:val="ListParagraph"/>
        <w:numPr>
          <w:ilvl w:val="0"/>
          <w:numId w:val="1"/>
        </w:numPr>
      </w:pPr>
      <w:r>
        <w:rPr>
          <w:b w:val="false"/>
          <w:bCs w:val="false"/>
          <w:i w:val="false"/>
          <w:iCs w:val="false"/>
          <w:color w:val="000000"/>
        </w:rPr>
        <w:t xml:space="preserve">tone taxonomy,</w:t>
      </w:r>
    </w:p>
    <w:p>
      <w:pPr>
        <w:pStyle w:val="ListParagraph"/>
        <w:numPr>
          <w:ilvl w:val="0"/>
          <w:numId w:val="1"/>
        </w:numPr>
      </w:pPr>
      <w:r>
        <w:rPr>
          <w:b w:val="false"/>
          <w:bCs w:val="false"/>
          <w:i w:val="false"/>
          <w:iCs w:val="false"/>
          <w:color w:val="000000"/>
        </w:rPr>
        <w:t xml:space="preserve">bilingual context,</w:t>
      </w:r>
    </w:p>
    <w:p>
      <w:pPr>
        <w:pStyle w:val="ListParagraph"/>
        <w:numPr>
          <w:ilvl w:val="0"/>
          <w:numId w:val="1"/>
        </w:numPr>
      </w:pPr>
      <w:commentRangeStart w:id="29"/>
      <w:r>
        <w:rPr>
          <w:b w:val="false"/>
          <w:bCs w:val="false"/>
          <w:i w:val="false"/>
          <w:iCs w:val="false"/>
          <w:color w:val="000000"/>
        </w:rPr>
        <w:t xml:space="preserve">greenwashing-oriented diagnostics</w:t>
      </w:r>
      <w:commentRangeEnd w:id="29"/>
      <w:commentReference w:id="29"/>
      <w:r>
        <w:rPr>
          <w:b w:val="false"/>
          <w:bCs w:val="false"/>
          <w:i w:val="false"/>
          <w:iCs w:val="false"/>
          <w:color w:val="000000"/>
        </w:rPr>
        <w:t xml:space="preserve">.</w:t>
      </w:r>
    </w:p>
    <w:p>
      <w:pPr>
        <w:pStyle w:val="Heading2"/>
      </w:pPr>
      <w:r>
        <w:rPr>
          <w:b w:val="false"/>
          <w:bCs w:val="false"/>
          <w:i w:val="false"/>
          <w:iCs w:val="false"/>
          <w:color w:val="000000"/>
        </w:rPr>
        <w:t xml:space="preserve">2.7 Research Gap</w:t>
      </w:r>
    </w:p>
    <w:p>
      <w:r>
        <w:rPr>
          <w:b w:val="false"/>
          <w:bCs w:val="false"/>
          <w:i w:val="false"/>
          <w:iCs w:val="false"/>
          <w:color w:val="000000"/>
        </w:rPr>
        <w:t xml:space="preserve">Existing ABSA work provides strong methods for aspect and sentiment modeling, while climate-specific language models provide specialized climate-disclosure signals. However, there remains a practical gap in executable ESG thesis systems that combine:</w:t>
      </w:r>
    </w:p>
    <w:p>
      <w:pPr>
        <w:pStyle w:val="ListParagraph"/>
        <w:numPr>
          <w:ilvl w:val="0"/>
          <w:numId w:val="1"/>
        </w:numPr>
      </w:pPr>
      <w:r>
        <w:rPr>
          <w:b w:val="false"/>
          <w:bCs w:val="false"/>
          <w:i w:val="false"/>
          <w:iCs w:val="false"/>
          <w:color w:val="000000"/>
        </w:rPr>
        <w:t xml:space="preserve">PDF OCR ingestion.</w:t>
      </w:r>
    </w:p>
    <w:p>
      <w:pPr>
        <w:pStyle w:val="ListParagraph"/>
        <w:numPr>
          <w:ilvl w:val="0"/>
          <w:numId w:val="1"/>
        </w:numPr>
      </w:pPr>
      <w:r>
        <w:rPr>
          <w:b w:val="false"/>
          <w:bCs w:val="false"/>
          <w:i w:val="false"/>
          <w:iCs w:val="false"/>
          <w:color w:val="000000"/>
        </w:rPr>
        <w:t xml:space="preserve">LLM-based ESG statement extraction.</w:t>
      </w:r>
    </w:p>
    <w:p>
      <w:pPr>
        <w:pStyle w:val="ListParagraph"/>
        <w:numPr>
          <w:ilvl w:val="0"/>
          <w:numId w:val="1"/>
        </w:numPr>
      </w:pPr>
      <w:r>
        <w:rPr>
          <w:b w:val="false"/>
          <w:bCs w:val="false"/>
          <w:i w:val="false"/>
          <w:iCs w:val="false"/>
          <w:color w:val="000000"/>
        </w:rPr>
        <w:t xml:space="preserve">Record-level ABSA labels.</w:t>
      </w:r>
    </w:p>
    <w:p>
      <w:pPr>
        <w:pStyle w:val="ListParagraph"/>
        <w:numPr>
          <w:ilvl w:val="0"/>
          <w:numId w:val="1"/>
        </w:numPr>
      </w:pPr>
      <w:commentRangeStart w:id="30"/>
      <w:r>
        <w:rPr>
          <w:b w:val="false"/>
          <w:bCs w:val="false"/>
          <w:i w:val="false"/>
          <w:iCs w:val="false"/>
          <w:color w:val="000000"/>
        </w:rPr>
        <w:t xml:space="preserve">ClimateBERT comparison.</w:t>
      </w:r>
      <w:commentRangeEnd w:id="30"/>
      <w:commentReference w:id="30"/>
    </w:p>
    <w:p>
      <w:pPr>
        <w:pStyle w:val="ListParagraph"/>
        <w:numPr>
          <w:ilvl w:val="0"/>
          <w:numId w:val="1"/>
        </w:numPr>
      </w:pPr>
      <w:commentRangeStart w:id="31"/>
      <w:r>
        <w:rPr>
          <w:b w:val="false"/>
          <w:bCs w:val="false"/>
          <w:i w:val="false"/>
          <w:iCs w:val="false"/>
          <w:color w:val="000000"/>
        </w:rPr>
        <w:t xml:space="preserve">Human and silver annotation workflows.</w:t>
      </w:r>
      <w:commentRangeEnd w:id="31"/>
      <w:commentReference w:id="31"/>
    </w:p>
    <w:p>
      <w:pPr>
        <w:pStyle w:val="ListParagraph"/>
        <w:numPr>
          <w:ilvl w:val="0"/>
          <w:numId w:val="1"/>
        </w:numPr>
      </w:pPr>
      <w:commentRangeStart w:id="32"/>
      <w:r>
        <w:rPr>
          <w:b w:val="false"/>
          <w:bCs w:val="false"/>
          <w:i w:val="false"/>
          <w:iCs w:val="false"/>
          <w:color w:val="000000"/>
        </w:rPr>
        <w:t xml:space="preserve">Ontology mapping.</w:t>
      </w:r>
      <w:commentRangeEnd w:id="32"/>
      <w:commentReference w:id="32"/>
    </w:p>
    <w:p>
      <w:pPr>
        <w:pStyle w:val="ListParagraph"/>
        <w:numPr>
          <w:ilvl w:val="0"/>
          <w:numId w:val="1"/>
        </w:numPr>
      </w:pPr>
      <w:r>
        <w:rPr>
          <w:b w:val="false"/>
          <w:bCs w:val="false"/>
          <w:i w:val="false"/>
          <w:iCs w:val="false"/>
          <w:color w:val="000000"/>
        </w:rPr>
        <w:t xml:space="preserve">Prompt/model stability analysis.</w:t>
      </w:r>
    </w:p>
    <w:p>
      <w:pPr>
        <w:pStyle w:val="ListParagraph"/>
        <w:numPr>
          <w:ilvl w:val="0"/>
          <w:numId w:val="1"/>
        </w:numPr>
      </w:pPr>
      <w:r>
        <w:rPr>
          <w:b w:val="false"/>
          <w:bCs w:val="false"/>
          <w:i w:val="false"/>
          <w:iCs w:val="false"/>
          <w:color w:val="000000"/>
        </w:rPr>
        <w:t xml:space="preserve">Graph export.</w:t>
      </w:r>
    </w:p>
    <w:p>
      <w:pPr>
        <w:pStyle w:val="ListParagraph"/>
        <w:numPr>
          <w:ilvl w:val="0"/>
          <w:numId w:val="1"/>
        </w:numPr>
      </w:pPr>
      <w:r>
        <w:rPr>
          <w:b w:val="false"/>
          <w:bCs w:val="false"/>
          <w:i w:val="false"/>
          <w:iCs w:val="false"/>
          <w:color w:val="000000"/>
        </w:rPr>
        <w:t xml:space="preserve">Chapter-ready dashboards.</w:t>
      </w:r>
    </w:p>
    <w:p>
      <w:r>
        <w:rPr>
          <w:b w:val="false"/>
          <w:bCs w:val="false"/>
          <w:i w:val="false"/>
          <w:iCs w:val="false"/>
          <w:color w:val="000000"/>
        </w:rPr>
        <w:t xml:space="preserve">This thesis addresses that gap by designing an integrated, reproducible, and thesis-facing ESG ABSA pipeline.</w:t>
      </w:r>
    </w:p>
    <w:p>
      <w:pPr>
        <w:pStyle w:val="Heading1"/>
      </w:pPr>
      <w:r>
        <w:rPr>
          <w:b w:val="false"/>
          <w:bCs w:val="false"/>
          <w:i w:val="false"/>
          <w:iCs w:val="false"/>
          <w:color w:val="000000"/>
        </w:rPr>
        <w:t xml:space="preserve">3. Methodology</w:t>
      </w:r>
    </w:p>
    <w:p>
      <w:pPr>
        <w:pStyle w:val="Heading2"/>
      </w:pPr>
      <w:r>
        <w:rPr>
          <w:b w:val="false"/>
          <w:bCs w:val="false"/>
          <w:i w:val="false"/>
          <w:iCs w:val="false"/>
          <w:color w:val="000000"/>
        </w:rPr>
        <w:t xml:space="preserve">3.1 Methodological Overview</w:t>
      </w:r>
    </w:p>
    <w:p>
      <w:r>
        <w:rPr>
          <w:b w:val="false"/>
          <w:bCs w:val="false"/>
          <w:i w:val="false"/>
          <w:iCs w:val="false"/>
          <w:color w:val="000000"/>
        </w:rPr>
        <w:t xml:space="preserve">The proposed framework follows a staged pipeline:</w:t>
      </w:r>
    </w:p>
    <w:p>
      <w:pPr>
        <w:pStyle w:val="ListParagraph"/>
        <w:numPr>
          <w:ilvl w:val="0"/>
          <w:numId w:val="5"/>
        </w:numPr>
      </w:pPr>
      <w:r>
        <w:rPr>
          <w:b w:val="false"/>
          <w:bCs w:val="false"/>
          <w:i w:val="false"/>
          <w:iCs w:val="false"/>
          <w:color w:val="000000"/>
        </w:rPr>
        <w:t xml:space="preserve">Source PDF collection.</w:t>
      </w:r>
    </w:p>
    <w:p>
      <w:pPr>
        <w:pStyle w:val="ListParagraph"/>
        <w:numPr>
          <w:ilvl w:val="0"/>
          <w:numId w:val="5"/>
        </w:numPr>
      </w:pPr>
      <w:r>
        <w:rPr>
          <w:b w:val="false"/>
          <w:bCs w:val="false"/>
          <w:i w:val="false"/>
          <w:iCs w:val="false"/>
          <w:color w:val="000000"/>
        </w:rPr>
        <w:t xml:space="preserve">OCR conversion and page-level auditing.</w:t>
      </w:r>
    </w:p>
    <w:p>
      <w:pPr>
        <w:pStyle w:val="ListParagraph"/>
        <w:numPr>
          <w:ilvl w:val="0"/>
          <w:numId w:val="5"/>
        </w:numPr>
      </w:pPr>
      <w:commentRangeStart w:id="37"/>
      <w:r>
        <w:rPr>
          <w:b w:val="false"/>
          <w:bCs w:val="false"/>
          <w:i w:val="false"/>
          <w:iCs w:val="false"/>
          <w:color w:val="000000"/>
        </w:rPr>
        <w:t xml:space="preserve">LLM-based ESG statement extraction</w:t>
      </w:r>
      <w:commentRangeEnd w:id="37"/>
      <w:commentReference w:id="37"/>
      <w:r>
        <w:rPr>
          <w:b w:val="false"/>
          <w:bCs w:val="false"/>
          <w:i w:val="false"/>
          <w:iCs w:val="false"/>
          <w:color w:val="000000"/>
        </w:rPr>
        <w:t xml:space="preserve">.</w:t>
      </w:r>
    </w:p>
    <w:p>
      <w:pPr>
        <w:pStyle w:val="ListParagraph"/>
        <w:numPr>
          <w:ilvl w:val="0"/>
          <w:numId w:val="5"/>
        </w:numPr>
      </w:pPr>
      <w:r>
        <w:rPr>
          <w:b w:val="false"/>
          <w:bCs w:val="false"/>
          <w:i w:val="false"/>
          <w:iCs w:val="false"/>
          <w:color w:val="000000"/>
        </w:rPr>
        <w:t xml:space="preserve">ABSA field normalization.</w:t>
      </w:r>
    </w:p>
    <w:p>
      <w:pPr>
        <w:pStyle w:val="ListParagraph"/>
        <w:numPr>
          <w:ilvl w:val="0"/>
          <w:numId w:val="5"/>
        </w:numPr>
      </w:pPr>
      <w:commentRangeStart w:id="33"/>
      <w:r>
        <w:rPr>
          <w:b w:val="false"/>
          <w:bCs w:val="false"/>
          <w:i w:val="false"/>
          <w:iCs w:val="false"/>
          <w:color w:val="000000"/>
        </w:rPr>
        <w:t xml:space="preserve">ClimateBERT comparison.</w:t>
      </w:r>
      <w:commentRangeEnd w:id="33"/>
      <w:commentReference w:id="33"/>
    </w:p>
    <w:p>
      <w:pPr>
        <w:pStyle w:val="ListParagraph"/>
        <w:numPr>
          <w:ilvl w:val="0"/>
          <w:numId w:val="5"/>
        </w:numPr>
      </w:pPr>
      <w:commentRangeStart w:id="36"/>
      <w:r>
        <w:rPr>
          <w:b w:val="false"/>
          <w:bCs w:val="false"/>
          <w:i w:val="false"/>
          <w:iCs w:val="false"/>
          <w:color w:val="000000"/>
        </w:rPr>
        <w:t xml:space="preserve">Ground-truth annotation and metrics</w:t>
      </w:r>
      <w:commentRangeEnd w:id="36"/>
      <w:commentReference w:id="36"/>
      <w:r>
        <w:rPr>
          <w:b w:val="false"/>
          <w:bCs w:val="false"/>
          <w:i w:val="false"/>
          <w:iCs w:val="false"/>
          <w:color w:val="000000"/>
        </w:rPr>
        <w:t xml:space="preserve">.</w:t>
      </w:r>
    </w:p>
    <w:p>
      <w:pPr>
        <w:pStyle w:val="ListParagraph"/>
        <w:numPr>
          <w:ilvl w:val="0"/>
          <w:numId w:val="5"/>
        </w:numPr>
      </w:pPr>
      <w:commentRangeStart w:id="38"/>
      <w:r>
        <w:rPr>
          <w:b w:val="false"/>
          <w:bCs w:val="false"/>
          <w:i w:val="false"/>
          <w:iCs w:val="false"/>
          <w:color w:val="000000"/>
        </w:rPr>
        <w:t xml:space="preserve">Ontology mapping and graph export</w:t>
      </w:r>
      <w:commentRangeEnd w:id="38"/>
      <w:commentReference w:id="38"/>
      <w:r>
        <w:rPr>
          <w:b w:val="false"/>
          <w:bCs w:val="false"/>
          <w:i w:val="false"/>
          <w:iCs w:val="false"/>
          <w:color w:val="000000"/>
        </w:rPr>
        <w:t xml:space="preserve">.</w:t>
      </w:r>
    </w:p>
    <w:p>
      <w:pPr>
        <w:pStyle w:val="ListParagraph"/>
        <w:numPr>
          <w:ilvl w:val="0"/>
          <w:numId w:val="5"/>
        </w:numPr>
      </w:pPr>
      <w:r>
        <w:rPr>
          <w:b w:val="false"/>
          <w:bCs w:val="false"/>
          <w:i w:val="false"/>
          <w:iCs w:val="false"/>
          <w:color w:val="000000"/>
        </w:rPr>
        <w:t xml:space="preserve">Dashboard and thesis chapter integration.</w:t>
      </w:r>
    </w:p>
    <w:p>
      <w:r>
        <w:rPr>
          <w:b w:val="false"/>
          <w:bCs w:val="false"/>
          <w:i w:val="false"/>
          <w:iCs w:val="false"/>
          <w:color w:val="000000"/>
        </w:rPr>
        <w:t xml:space="preserve">The methodology is executable: each stage has Streamlit pages, backing files, figures, and audit tables.</w:t>
      </w:r>
    </w:p>
    <w:p>
      <w:pPr>
        <w:pStyle w:val="Heading2"/>
      </w:pPr>
      <w:r>
        <w:rPr>
          <w:b w:val="false"/>
          <w:bCs w:val="false"/>
          <w:i w:val="false"/>
          <w:iCs w:val="false"/>
          <w:color w:val="000000"/>
        </w:rPr>
        <w:t xml:space="preserve">1. Methodological Structure</w:t>
      </w:r>
    </w:p>
    <w:p>
      <w:r>
        <w:rPr>
          <w:b w:val="false"/>
          <w:bCs w:val="false"/>
          <w:i w:val="false"/>
          <w:iCs w:val="false"/>
          <w:color w:val="000000"/>
        </w:rPr>
        <w:t xml:space="preserve">flowchart TD</w:t>
      </w:r>
    </w:p>
    <w:p>
      <w:r>
        <w:rPr>
          <w:b w:val="false"/>
          <w:bCs w:val="false"/>
          <w:i w:val="false"/>
          <w:iCs w:val="false"/>
          <w:color w:val="000000"/>
        </w:rPr>
        <w:t xml:space="preserve">    A["Research motivation&lt;br/&gt;</w:t>
      </w:r>
      <w:commentRangeStart w:id="35"/>
      <w:r>
        <w:rPr>
          <w:b w:val="false"/>
          <w:bCs w:val="false"/>
          <w:i w:val="false"/>
          <w:iCs w:val="false"/>
          <w:color w:val="000000"/>
        </w:rPr>
        <w:t xml:space="preserve">Indonesian ESG reports are bilingual, long, heterogeneous, and regulation-shaped</w:t>
      </w:r>
      <w:commentRangeEnd w:id="35"/>
      <w:commentReference w:id="35"/>
      <w:sdt>
        <w:sdtPr>
          <w:tag w:val="CITATION SetiawanA25"/>
          <w:id w:val="1923838025"/>
          <w:citation/>
        </w:sdtPr>
        <w:sdtContent>
          <w:r>
            <w:fldChar w:fldCharType="begin"/>
          </w:r>
          <w:r>
            <w:instrText xml:space="preserve"> CITATION SetiawanA25 \m Marsdenia23 \l 1033 </w:instrText>
          </w:r>
          <w:r>
            <w:fldChar w:fldCharType="separate"/>
          </w:r>
          <w:r>
            <w:rPr>
              <w:noProof/>
            </w:rPr>
            <w:t xml:space="preserve">(Marsdenia &amp; Koestoer, 2023; Setiawan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    B["Research gaps&lt;br/&gt;sentence-level extraction, tone-vs-sentiment, LLM instability, OCR quality, greenwashing evidence"]</w:t>
      </w:r>
    </w:p>
    <w:p>
      <w:r>
        <w:rPr>
          <w:b w:val="false"/>
          <w:bCs w:val="false"/>
          <w:i w:val="false"/>
          <w:iCs w:val="false"/>
          <w:color w:val="000000"/>
        </w:rPr>
        <w:t xml:space="preserve">    C["Research questions&lt;br/&gt;RQ1 to RQ6"]</w:t>
      </w:r>
    </w:p>
    <w:p>
      <w:r>
        <w:rPr>
          <w:b w:val="false"/>
          <w:bCs w:val="false"/>
          <w:i w:val="false"/>
          <w:iCs w:val="false"/>
          <w:color w:val="000000"/>
        </w:rPr>
        <w:t xml:space="preserve">    D["Methodological design&lt;br/&gt;mixed exploratory pipeline engineering plus interpretive evaluation"]</w:t>
      </w:r>
    </w:p>
    <w:p>
      <w:r>
        <w:rPr>
          <w:b w:val="false"/>
          <w:bCs w:val="false"/>
          <w:i w:val="false"/>
          <w:iCs w:val="false"/>
          <w:color w:val="000000"/>
        </w:rPr>
        <w:t xml:space="preserve">    E["Unit of analysis&lt;br/&gt;ESG disclosure record"]</w:t>
      </w:r>
    </w:p>
    <w:p>
      <w:r>
        <w:rPr>
          <w:b w:val="false"/>
          <w:bCs w:val="false"/>
          <w:i w:val="false"/>
          <w:iCs w:val="false"/>
          <w:color w:val="000000"/>
        </w:rPr>
        <w:t xml:space="preserve">    F["Four-layer method&lt;br/&gt;T0 rules, T1 classical ML, </w:t>
      </w:r>
      <w:commentRangeStart w:id="34"/>
      <w:r>
        <w:rPr>
          <w:b w:val="false"/>
          <w:bCs w:val="false"/>
          <w:i w:val="false"/>
          <w:iCs w:val="false"/>
          <w:color w:val="000000"/>
        </w:rPr>
        <w:t xml:space="preserve">T1 ClimateBERT</w:t>
      </w:r>
      <w:commentRangeEnd w:id="34"/>
      <w:commentReference w:id="34"/>
      <w:r>
        <w:rPr>
          <w:b w:val="false"/>
          <w:bCs w:val="false"/>
          <w:i w:val="false"/>
          <w:iCs w:val="false"/>
          <w:color w:val="000000"/>
        </w:rPr>
        <w:t xml:space="preserve">, T2 LLM extraction"]</w:t>
      </w:r>
    </w:p>
    <w:p>
      <w:r>
        <w:rPr>
          <w:b w:val="false"/>
          <w:bCs w:val="false"/>
          <w:i w:val="false"/>
          <w:iCs w:val="false"/>
          <w:color w:val="000000"/>
        </w:rPr>
        <w:t xml:space="preserve">    G["Validation and diagnostics&lt;br/&gt;ground truth, ClimateBERT comparison, ontology mapping, stability checks"]</w:t>
      </w:r>
    </w:p>
    <w:p>
      <w:r>
        <w:rPr>
          <w:b w:val="false"/>
          <w:bCs w:val="false"/>
          <w:i w:val="false"/>
          <w:iCs w:val="false"/>
          <w:color w:val="000000"/>
        </w:rPr>
        <w:t xml:space="preserve">    H["Thesis evidence layer&lt;br/&gt;figures, backing tables, Streamlit pages, semantic exports"]</w:t>
      </w:r>
    </w:p>
    <w:p>
      <w:r>
        <w:rPr>
          <w:b w:val="false"/>
          <w:bCs w:val="false"/>
          <w:i w:val="false"/>
          <w:iCs w:val="false"/>
          <w:color w:val="000000"/>
        </w:rPr>
        <w:t xml:space="preserve">    I["Thesis claims&lt;br/&gt;Chapter 4 results, Chapter 5 discussion, Chapter 6 contribution"]</w:t>
      </w:r>
    </w:p>
    <w:p>
      <w:r>
        <w:rPr>
          <w:b w:val="false"/>
          <w:bCs w:val="false"/>
          <w:i w:val="false"/>
          <w:iCs w:val="false"/>
          <w:color w:val="000000"/>
        </w:rPr>
        <w:t xml:space="preserve">    A --&gt; B</w:t>
      </w:r>
    </w:p>
    <w:p>
      <w:r>
        <w:rPr>
          <w:b w:val="false"/>
          <w:bCs w:val="false"/>
          <w:i w:val="false"/>
          <w:iCs w:val="false"/>
          <w:color w:val="000000"/>
        </w:rPr>
        <w:t xml:space="preserve">    B --&gt; C</w:t>
      </w:r>
    </w:p>
    <w:p>
      <w:r>
        <w:rPr>
          <w:b w:val="false"/>
          <w:bCs w:val="false"/>
          <w:i w:val="false"/>
          <w:iCs w:val="false"/>
          <w:color w:val="000000"/>
        </w:rPr>
        <w:t xml:space="preserve">    C --&gt; D</w:t>
      </w:r>
    </w:p>
    <w:p>
      <w:r>
        <w:rPr>
          <w:b w:val="false"/>
          <w:bCs w:val="false"/>
          <w:i w:val="false"/>
          <w:iCs w:val="false"/>
          <w:color w:val="000000"/>
        </w:rPr>
        <w:t xml:space="preserve">    D --&gt; E</w:t>
      </w:r>
    </w:p>
    <w:p>
      <w:r>
        <w:rPr>
          <w:b w:val="false"/>
          <w:bCs w:val="false"/>
          <w:i w:val="false"/>
          <w:iCs w:val="false"/>
          <w:color w:val="000000"/>
        </w:rPr>
        <w:t xml:space="preserve">    E --&gt; F</w:t>
      </w:r>
    </w:p>
    <w:p>
      <w:r>
        <w:rPr>
          <w:b w:val="false"/>
          <w:bCs w:val="false"/>
          <w:i w:val="false"/>
          <w:iCs w:val="false"/>
          <w:color w:val="000000"/>
        </w:rPr>
        <w:t xml:space="preserve">    F --&gt; G</w:t>
      </w:r>
    </w:p>
    <w:p>
      <w:r>
        <w:rPr>
          <w:b w:val="false"/>
          <w:bCs w:val="false"/>
          <w:i w:val="false"/>
          <w:iCs w:val="false"/>
          <w:color w:val="000000"/>
        </w:rPr>
        <w:t xml:space="preserve">    G --&gt; H</w:t>
      </w:r>
    </w:p>
    <w:p>
      <w:r>
        <w:rPr>
          <w:b w:val="false"/>
          <w:bCs w:val="false"/>
          <w:i w:val="false"/>
          <w:iCs w:val="false"/>
          <w:color w:val="000000"/>
        </w:rPr>
        <w:t xml:space="preserve">    H --&gt; I</w:t>
      </w:r>
    </w:p>
    <w:p>
      <w:pPr>
        <w:pStyle w:val="Heading3"/>
      </w:pPr>
      <w:r>
        <w:rPr>
          <w:b w:val="false"/>
          <w:bCs w:val="false"/>
          <w:i w:val="false"/>
          <w:iCs w:val="false"/>
          <w:color w:val="000000"/>
        </w:rPr>
        <w:t xml:space="preserve">Rationale</w:t>
      </w:r>
    </w:p>
    <w:p>
      <w:r>
        <w:rPr>
          <w:b w:val="false"/>
          <w:bCs w:val="false"/>
          <w:i w:val="false"/>
          <w:iCs w:val="false"/>
          <w:color w:val="000000"/>
        </w:rPr>
        <w:t xml:space="preserve">The notes define the project as a response to five gaps: lack of sentence-level ESG evidence extraction, conflation of tone and sentiment, LLM output instability, neglect of OCR quality, and underdeveloped greenwashing detection. Therefore, the methodology should not begin solely with a model alone. Instead, it begins with the research problem, then builds a pipeline where each stage produces auditable evidence.</w:t>
      </w:r>
    </w:p>
    <w:p>
      <w:r>
        <w:rPr>
          <w:b w:val="false"/>
          <w:bCs w:val="false"/>
          <w:i w:val="false"/>
          <w:iCs w:val="false"/>
          <w:color w:val="000000"/>
        </w:rPr>
        <w:t xml:space="preserve">The unit of analysis is the ESG disclosure record. This is significant because </w:t>
      </w:r>
      <w:commentRangeStart w:id="39"/>
      <w:r>
        <w:rPr>
          <w:b w:val="false"/>
          <w:bCs w:val="false"/>
          <w:i w:val="false"/>
          <w:iCs w:val="false"/>
          <w:color w:val="000000"/>
        </w:rPr>
        <w:t xml:space="preserve">document-level ESG scoring cannot distinguish whether a company is making a commitment, describing an action, reporting an outcome, or merely giving neutral descriptive text</w:t>
      </w:r>
      <w:commentRangeEnd w:id="39"/>
      <w:commentReference w:id="39"/>
      <w:sdt>
        <w:sdtPr>
          <w:tag w:val="CITATION OngK25"/>
          <w:id w:val="1400123151"/>
          <w:citation/>
        </w:sdtPr>
        <w:sdtContent>
          <w:r>
            <w:fldChar w:fldCharType="begin"/>
          </w:r>
          <w:r>
            <w:instrText xml:space="preserve"> CITATION OngK25 \l 1033 </w:instrText>
          </w:r>
          <w:r>
            <w:fldChar w:fldCharType="separate"/>
          </w:r>
          <w:r>
            <w:rPr>
              <w:noProof/>
            </w:rPr>
            <w:t xml:space="preserve">(Ong et al., 2025)</w:t>
          </w:r>
          <w:r>
            <w:fldChar w:fldCharType="end"/>
          </w:r>
        </w:sdtContent>
      </w:sdt>
      <w:r>
        <w:rPr>
          <w:b w:val="false"/>
          <w:bCs w:val="false"/>
          <w:i w:val="false"/>
          <w:iCs w:val="false"/>
          <w:color w:val="000000"/>
        </w:rPr>
        <w:t xml:space="preserve">.</w:t>
      </w:r>
    </w:p>
    <w:p>
      <w:pPr>
        <w:pStyle w:val="Heading2"/>
      </w:pPr>
      <w:r>
        <w:rPr>
          <w:b w:val="false"/>
          <w:bCs w:val="false"/>
          <w:i w:val="false"/>
          <w:iCs w:val="false"/>
          <w:color w:val="000000"/>
        </w:rPr>
        <w:t xml:space="preserve">2. End-to-End Execution Pipeline</w:t>
      </w:r>
    </w:p>
    <w:p>
      <w:r>
        <w:rPr>
          <w:b w:val="false"/>
          <w:bCs w:val="false"/>
          <w:i w:val="false"/>
          <w:iCs w:val="false"/>
          <w:color w:val="000000"/>
        </w:rPr>
        <w:t xml:space="preserve">flowchart LR</w:t>
      </w:r>
    </w:p>
    <w:p>
      <w:r>
        <w:rPr>
          <w:b w:val="false"/>
          <w:bCs w:val="false"/>
          <w:i w:val="false"/>
          <w:iCs w:val="false"/>
          <w:color w:val="000000"/>
        </w:rPr>
        <w:t xml:space="preserve">    subgraph S1["A. Source Corpus"]</w:t>
      </w:r>
    </w:p>
    <w:p>
      <w:r>
        <w:rPr>
          <w:b w:val="false"/>
          <w:bCs w:val="false"/>
          <w:i w:val="false"/>
          <w:iCs w:val="false"/>
          <w:color w:val="000000"/>
        </w:rPr>
        <w:t xml:space="preserve">      PDFS["Indonesian sustainability reports&lt;br/&gt;PDF and integrated annual reports"]</w:t>
      </w:r>
    </w:p>
    <w:p>
      <w:r>
        <w:rPr>
          <w:b w:val="false"/>
          <w:bCs w:val="false"/>
          <w:i w:val="false"/>
          <w:iCs w:val="false"/>
          <w:color w:val="000000"/>
        </w:rPr>
        <w:t xml:space="preserve">      META["Company metadata&lt;br/&gt;sector, issuer, report source"]</w:t>
      </w:r>
    </w:p>
    <w:p>
      <w:r>
        <w:rPr>
          <w:b w:val="false"/>
          <w:bCs w:val="false"/>
          <w:i w:val="false"/>
          <w:iCs w:val="false"/>
          <w:color w:val="000000"/>
        </w:rPr>
        <w:t xml:space="preserve">    end</w:t>
      </w:r>
    </w:p>
    <w:p>
      <w:r>
        <w:rPr>
          <w:b w:val="false"/>
          <w:bCs w:val="false"/>
          <w:i w:val="false"/>
          <w:iCs w:val="false"/>
          <w:color w:val="000000"/>
        </w:rPr>
        <w:t xml:space="preserve">    subgraph S2["B. OCR And Preprocessing"]</w:t>
      </w:r>
    </w:p>
    <w:p>
      <w:r>
        <w:rPr>
          <w:b w:val="false"/>
          <w:bCs w:val="false"/>
          <w:i w:val="false"/>
          <w:iCs w:val="false"/>
          <w:color w:val="000000"/>
        </w:rPr>
        <w:t xml:space="preserve">      OCR["Layout-aware OCR&lt;br/&gt;PDF to page markdown"]</w:t>
      </w:r>
    </w:p>
    <w:p>
      <w:r>
        <w:rPr>
          <w:b w:val="false"/>
          <w:bCs w:val="false"/>
          <w:i w:val="false"/>
          <w:iCs w:val="false"/>
          <w:color w:val="000000"/>
        </w:rPr>
        <w:t xml:space="preserve">      PAGES["Page-aware text units&lt;br/&gt;page id, document id, batch id"]</w:t>
      </w:r>
    </w:p>
    <w:p>
      <w:r>
        <w:rPr>
          <w:b w:val="false"/>
          <w:bCs w:val="false"/>
          <w:i w:val="false"/>
          <w:iCs w:val="false"/>
          <w:color w:val="000000"/>
        </w:rPr>
        <w:t xml:space="preserve">      FILTER["Quality filtering&lt;br/&gt;headers, footers, table noise, split sentences"]</w:t>
      </w:r>
    </w:p>
    <w:p>
      <w:r>
        <w:rPr>
          <w:b w:val="false"/>
          <w:bCs w:val="false"/>
          <w:i w:val="false"/>
          <w:iCs w:val="false"/>
          <w:color w:val="000000"/>
        </w:rPr>
        <w:t xml:space="preserve">      INIT["Record schema initialization&lt;br/&gt;source, page, batch, language"]</w:t>
      </w:r>
    </w:p>
    <w:p>
      <w:r>
        <w:rPr>
          <w:b w:val="false"/>
          <w:bCs w:val="false"/>
          <w:i w:val="false"/>
          <w:iCs w:val="false"/>
          <w:color w:val="000000"/>
        </w:rPr>
        <w:t xml:space="preserve">    end</w:t>
      </w:r>
    </w:p>
    <w:p>
      <w:r>
        <w:rPr>
          <w:b w:val="false"/>
          <w:bCs w:val="false"/>
          <w:i w:val="false"/>
          <w:iCs w:val="false"/>
          <w:color w:val="000000"/>
        </w:rPr>
        <w:t xml:space="preserve">    subgraph S3["C. Extraction And Labeling"]</w:t>
      </w:r>
    </w:p>
    <w:p>
      <w:r>
        <w:rPr>
          <w:b w:val="false"/>
          <w:bCs w:val="false"/>
          <w:i w:val="false"/>
          <w:iCs w:val="false"/>
          <w:color w:val="000000"/>
        </w:rPr>
        <w:t xml:space="preserve">      T0["T0 rule layer&lt;br/&gt;lexicons for aspect, tone markers, polarity cues"]</w:t>
      </w:r>
    </w:p>
    <w:p>
      <w:r>
        <w:rPr>
          <w:b w:val="false"/>
          <w:bCs w:val="false"/>
          <w:i w:val="false"/>
          <w:iCs w:val="false"/>
          <w:color w:val="000000"/>
        </w:rPr>
        <w:t xml:space="preserve">      T1CML["T1 classical ML baseline&lt;br/&gt;TF-IDF plus logistic regression"]</w:t>
      </w:r>
    </w:p>
    <w:p>
      <w:r>
        <w:rPr>
          <w:b w:val="false"/>
          <w:bCs w:val="false"/>
          <w:i w:val="false"/>
          <w:iCs w:val="false"/>
          <w:color w:val="000000"/>
        </w:rPr>
        <w:t xml:space="preserve">      T1CB["T1 ClimateBERT validator&lt;br/&gt;climate relevance and commitment comparison"]</w:t>
      </w:r>
    </w:p>
    <w:p>
      <w:r>
        <w:rPr>
          <w:b w:val="false"/>
          <w:bCs w:val="false"/>
          <w:i w:val="false"/>
          <w:iCs w:val="false"/>
          <w:color w:val="000000"/>
        </w:rPr>
        <w:t xml:space="preserve">      T2LLM["T2 LLM extraction&lt;br/&gt;JSON ESG records from prompt templates"]</w:t>
      </w:r>
    </w:p>
    <w:p>
      <w:r>
        <w:rPr>
          <w:b w:val="false"/>
          <w:bCs w:val="false"/>
          <w:i w:val="false"/>
          <w:iCs w:val="false"/>
          <w:color w:val="000000"/>
        </w:rPr>
        <w:t xml:space="preserve">      ABSA["ABSA normalization&lt;br/&gt;aspect, ESG pillar, sentiment, tone"]</w:t>
      </w:r>
    </w:p>
    <w:p>
      <w:r>
        <w:rPr>
          <w:b w:val="false"/>
          <w:bCs w:val="false"/>
          <w:i w:val="false"/>
          <w:iCs w:val="false"/>
          <w:color w:val="000000"/>
        </w:rPr>
        <w:t xml:space="preserve">    end</w:t>
      </w:r>
    </w:p>
    <w:p>
      <w:r>
        <w:rPr>
          <w:b w:val="false"/>
          <w:bCs w:val="false"/>
          <w:i w:val="false"/>
          <w:iCs w:val="false"/>
          <w:color w:val="000000"/>
        </w:rPr>
        <w:t xml:space="preserve">    subgraph S4["D. Evidence Tables"]</w:t>
      </w:r>
    </w:p>
    <w:p>
      <w:r>
        <w:rPr>
          <w:b w:val="false"/>
          <w:bCs w:val="false"/>
          <w:i w:val="false"/>
          <w:iCs w:val="false"/>
          <w:color w:val="000000"/>
        </w:rPr>
        <w:t xml:space="preserve">      FLAT["tone_records_flat.csv&lt;br/&gt;record-level ABSA table"]</w:t>
      </w:r>
    </w:p>
    <w:p>
      <w:r>
        <w:rPr>
          <w:b w:val="false"/>
          <w:bCs w:val="false"/>
          <w:i w:val="false"/>
          <w:iCs w:val="false"/>
          <w:color w:val="000000"/>
        </w:rPr>
        <w:t xml:space="preserve">      SILVER["silver_tone_ground_truth.csv&lt;br/&gt;silver and review labels"]</w:t>
      </w:r>
    </w:p>
    <w:p>
      <w:r>
        <w:rPr>
          <w:b w:val="false"/>
          <w:bCs w:val="false"/>
          <w:i w:val="false"/>
          <w:iCs w:val="false"/>
          <w:color w:val="000000"/>
        </w:rPr>
        <w:t xml:space="preserve">      CB["tone_climatebert_label_crosstab.csv&lt;br/&gt;tone by ClimateBERT label"]</w:t>
      </w:r>
    </w:p>
    <w:p>
      <w:r>
        <w:rPr>
          <w:b w:val="false"/>
          <w:bCs w:val="false"/>
          <w:i w:val="false"/>
          <w:iCs w:val="false"/>
          <w:color w:val="000000"/>
        </w:rPr>
        <w:t xml:space="preserve">      ONTO["ontology_coverage.csv&lt;br/&gt;mapped and novel aspects"]</w:t>
      </w:r>
    </w:p>
    <w:p>
      <w:r>
        <w:rPr>
          <w:b w:val="false"/>
          <w:bCs w:val="false"/>
          <w:i w:val="false"/>
          <w:iCs w:val="false"/>
          <w:color w:val="000000"/>
        </w:rPr>
        <w:t xml:space="preserve">      STAB["</w:t>
      </w:r>
      <w:commentRangeStart w:id="40"/>
      <w:r>
        <w:rPr>
          <w:b w:val="false"/>
          <w:bCs w:val="false"/>
          <w:i w:val="false"/>
          <w:iCs w:val="false"/>
          <w:color w:val="000000"/>
        </w:rPr>
        <w:t xml:space="preserve">model and prompt stability tables</w:t>
      </w:r>
      <w:commentRangeEnd w:id="40"/>
      <w:commentReference w:id="40"/>
      <w:r>
        <w:rPr>
          <w:b w:val="false"/>
          <w:bCs w:val="false"/>
          <w:i w:val="false"/>
          <w:iCs w:val="false"/>
          <w:color w:val="000000"/>
        </w:rPr>
        <w:t xml:space="preserve">&lt;br/&gt;parse success, missing-tone, drift"]</w:t>
      </w:r>
    </w:p>
    <w:p>
      <w:r>
        <w:rPr>
          <w:b w:val="false"/>
          <w:bCs w:val="false"/>
          <w:i w:val="false"/>
          <w:iCs w:val="false"/>
          <w:color w:val="000000"/>
        </w:rPr>
        <w:t xml:space="preserve">    end</w:t>
      </w:r>
    </w:p>
    <w:p>
      <w:r>
        <w:rPr>
          <w:b w:val="false"/>
          <w:bCs w:val="false"/>
          <w:i w:val="false"/>
          <w:iCs w:val="false"/>
          <w:color w:val="000000"/>
        </w:rPr>
        <w:t xml:space="preserve">    subgraph S5["E. Outputs"]</w:t>
      </w:r>
    </w:p>
    <w:p>
      <w:r>
        <w:rPr>
          <w:b w:val="false"/>
          <w:bCs w:val="false"/>
          <w:i w:val="false"/>
          <w:iCs w:val="false"/>
          <w:color w:val="000000"/>
        </w:rPr>
        <w:t xml:space="preserve">      FIGS["Graph attachments&lt;br/&gt;A.1 to A.36"]</w:t>
      </w:r>
    </w:p>
    <w:p>
      <w:r>
        <w:rPr>
          <w:b w:val="false"/>
          <w:bCs w:val="false"/>
          <w:i w:val="false"/>
          <w:iCs w:val="false"/>
          <w:color w:val="000000"/>
        </w:rPr>
        <w:t xml:space="preserve">      DASH["Streamlit dashboards&lt;br/&gt;action plan, ch4-6, RQ dashboard"]</w:t>
      </w:r>
    </w:p>
    <w:p>
      <w:r>
        <w:rPr>
          <w:b w:val="false"/>
          <w:bCs w:val="false"/>
          <w:i w:val="false"/>
          <w:iCs w:val="false"/>
          <w:color w:val="000000"/>
        </w:rPr>
        <w:t xml:space="preserve">      GRAPH["Semantic exports&lt;br/&gt;RDF, OWL, Neo4j"]</w:t>
      </w:r>
    </w:p>
    <w:p>
      <w:r>
        <w:rPr>
          <w:b w:val="false"/>
          <w:bCs w:val="false"/>
          <w:i w:val="false"/>
          <w:iCs w:val="false"/>
          <w:color w:val="000000"/>
        </w:rPr>
        <w:t xml:space="preserve">      CHAPTERS["Thesis chapters&lt;br/&gt;Chapter 4, Chapter 5, Chapter 6"]</w:t>
      </w:r>
    </w:p>
    <w:p>
      <w:r>
        <w:rPr>
          <w:b w:val="false"/>
          <w:bCs w:val="false"/>
          <w:i w:val="false"/>
          <w:iCs w:val="false"/>
          <w:color w:val="000000"/>
        </w:rPr>
        <w:t xml:space="preserve">    end</w:t>
      </w:r>
    </w:p>
    <w:p>
      <w:r>
        <w:rPr>
          <w:b w:val="false"/>
          <w:bCs w:val="false"/>
          <w:i w:val="false"/>
          <w:iCs w:val="false"/>
          <w:color w:val="000000"/>
        </w:rPr>
        <w:t xml:space="preserve">    PDFS --&gt; OCR</w:t>
      </w:r>
    </w:p>
    <w:p>
      <w:r>
        <w:rPr>
          <w:b w:val="false"/>
          <w:bCs w:val="false"/>
          <w:i w:val="false"/>
          <w:iCs w:val="false"/>
          <w:color w:val="000000"/>
        </w:rPr>
        <w:t xml:space="preserve">    META --&gt; INIT</w:t>
      </w:r>
    </w:p>
    <w:p>
      <w:r>
        <w:rPr>
          <w:b w:val="false"/>
          <w:bCs w:val="false"/>
          <w:i w:val="false"/>
          <w:iCs w:val="false"/>
          <w:color w:val="000000"/>
        </w:rPr>
        <w:t xml:space="preserve">    OCR --&gt; PAGES</w:t>
      </w:r>
    </w:p>
    <w:p>
      <w:r>
        <w:rPr>
          <w:b w:val="false"/>
          <w:bCs w:val="false"/>
          <w:i w:val="false"/>
          <w:iCs w:val="false"/>
          <w:color w:val="000000"/>
        </w:rPr>
        <w:t xml:space="preserve">    PAGES --&gt; FILTER</w:t>
      </w:r>
    </w:p>
    <w:p>
      <w:r>
        <w:rPr>
          <w:b w:val="false"/>
          <w:bCs w:val="false"/>
          <w:i w:val="false"/>
          <w:iCs w:val="false"/>
          <w:color w:val="000000"/>
        </w:rPr>
        <w:t xml:space="preserve">    FILTER --&gt; INIT</w:t>
      </w:r>
    </w:p>
    <w:p>
      <w:r>
        <w:rPr>
          <w:b w:val="false"/>
          <w:bCs w:val="false"/>
          <w:i w:val="false"/>
          <w:iCs w:val="false"/>
          <w:color w:val="000000"/>
        </w:rPr>
        <w:t xml:space="preserve">    INIT --&gt; T0</w:t>
      </w:r>
    </w:p>
    <w:p>
      <w:r>
        <w:rPr>
          <w:b w:val="false"/>
          <w:bCs w:val="false"/>
          <w:i w:val="false"/>
          <w:iCs w:val="false"/>
          <w:color w:val="000000"/>
        </w:rPr>
        <w:t xml:space="preserve">    INIT --&gt; T1CML</w:t>
      </w:r>
    </w:p>
    <w:p>
      <w:r>
        <w:rPr>
          <w:b w:val="false"/>
          <w:bCs w:val="false"/>
          <w:i w:val="false"/>
          <w:iCs w:val="false"/>
          <w:color w:val="000000"/>
        </w:rPr>
        <w:t xml:space="preserve">    INIT --&gt; T1CB</w:t>
      </w:r>
    </w:p>
    <w:p>
      <w:r>
        <w:rPr>
          <w:b w:val="false"/>
          <w:bCs w:val="false"/>
          <w:i w:val="false"/>
          <w:iCs w:val="false"/>
          <w:color w:val="000000"/>
        </w:rPr>
        <w:t xml:space="preserve">    INIT --&gt; T2LLM</w:t>
      </w:r>
    </w:p>
    <w:p>
      <w:r>
        <w:rPr>
          <w:b w:val="false"/>
          <w:bCs w:val="false"/>
          <w:i w:val="false"/>
          <w:iCs w:val="false"/>
          <w:color w:val="000000"/>
        </w:rPr>
        <w:t xml:space="preserve">    T0 --&gt; ABSA</w:t>
      </w:r>
    </w:p>
    <w:p>
      <w:r>
        <w:rPr>
          <w:b w:val="false"/>
          <w:bCs w:val="false"/>
          <w:i w:val="false"/>
          <w:iCs w:val="false"/>
          <w:color w:val="000000"/>
        </w:rPr>
        <w:t xml:space="preserve">    T1CML --&gt; ABSA</w:t>
      </w:r>
    </w:p>
    <w:p>
      <w:r>
        <w:rPr>
          <w:b w:val="false"/>
          <w:bCs w:val="false"/>
          <w:i w:val="false"/>
          <w:iCs w:val="false"/>
          <w:color w:val="000000"/>
        </w:rPr>
        <w:t xml:space="preserve">    T1CB --&gt; CB</w:t>
      </w:r>
    </w:p>
    <w:p>
      <w:r>
        <w:rPr>
          <w:b w:val="false"/>
          <w:bCs w:val="false"/>
          <w:i w:val="false"/>
          <w:iCs w:val="false"/>
          <w:color w:val="000000"/>
        </w:rPr>
        <w:t xml:space="preserve">    T2LLM --&gt; ABSA</w:t>
      </w:r>
    </w:p>
    <w:p>
      <w:r>
        <w:rPr>
          <w:b w:val="false"/>
          <w:bCs w:val="false"/>
          <w:i w:val="false"/>
          <w:iCs w:val="false"/>
          <w:color w:val="000000"/>
        </w:rPr>
        <w:t xml:space="preserve">    ABSA --&gt; FLAT</w:t>
      </w:r>
    </w:p>
    <w:p>
      <w:r>
        <w:rPr>
          <w:b w:val="false"/>
          <w:bCs w:val="false"/>
          <w:i w:val="false"/>
          <w:iCs w:val="false"/>
          <w:color w:val="000000"/>
        </w:rPr>
        <w:t xml:space="preserve">    ABSA --&gt; SILVER</w:t>
      </w:r>
    </w:p>
    <w:p>
      <w:r>
        <w:rPr>
          <w:b w:val="false"/>
          <w:bCs w:val="false"/>
          <w:i w:val="false"/>
          <w:iCs w:val="false"/>
          <w:color w:val="000000"/>
        </w:rPr>
        <w:t xml:space="preserve">    ABSA --&gt; ONTO</w:t>
      </w:r>
    </w:p>
    <w:p>
      <w:r>
        <w:rPr>
          <w:b w:val="false"/>
          <w:bCs w:val="false"/>
          <w:i w:val="false"/>
          <w:iCs w:val="false"/>
          <w:color w:val="000000"/>
        </w:rPr>
        <w:t xml:space="preserve">    T2LLM --&gt; STAB</w:t>
      </w:r>
    </w:p>
    <w:p>
      <w:r>
        <w:rPr>
          <w:b w:val="false"/>
          <w:bCs w:val="false"/>
          <w:i w:val="false"/>
          <w:iCs w:val="false"/>
          <w:color w:val="000000"/>
        </w:rPr>
        <w:t xml:space="preserve">    FLAT --&gt; FIGS</w:t>
      </w:r>
    </w:p>
    <w:p>
      <w:r>
        <w:rPr>
          <w:b w:val="false"/>
          <w:bCs w:val="false"/>
          <w:i w:val="false"/>
          <w:iCs w:val="false"/>
          <w:color w:val="000000"/>
        </w:rPr>
        <w:t xml:space="preserve">    CB --&gt; FIGS</w:t>
      </w:r>
    </w:p>
    <w:p>
      <w:r>
        <w:rPr>
          <w:b w:val="false"/>
          <w:bCs w:val="false"/>
          <w:i w:val="false"/>
          <w:iCs w:val="false"/>
          <w:color w:val="000000"/>
        </w:rPr>
        <w:t xml:space="preserve">    ONTO --&gt; FIGS</w:t>
      </w:r>
    </w:p>
    <w:p>
      <w:r>
        <w:rPr>
          <w:b w:val="false"/>
          <w:bCs w:val="false"/>
          <w:i w:val="false"/>
          <w:iCs w:val="false"/>
          <w:color w:val="000000"/>
        </w:rPr>
        <w:t xml:space="preserve">    STAB --&gt; FIGS</w:t>
      </w:r>
    </w:p>
    <w:p>
      <w:r>
        <w:rPr>
          <w:b w:val="false"/>
          <w:bCs w:val="false"/>
          <w:i w:val="false"/>
          <w:iCs w:val="false"/>
          <w:color w:val="000000"/>
        </w:rPr>
        <w:t xml:space="preserve">    FIGS --&gt; DASH</w:t>
      </w:r>
    </w:p>
    <w:p>
      <w:r>
        <w:rPr>
          <w:b w:val="false"/>
          <w:bCs w:val="false"/>
          <w:i w:val="false"/>
          <w:iCs w:val="false"/>
          <w:color w:val="000000"/>
        </w:rPr>
        <w:t xml:space="preserve">    FLAT --&gt; GRAPH</w:t>
      </w:r>
    </w:p>
    <w:p>
      <w:r>
        <w:rPr>
          <w:b w:val="false"/>
          <w:bCs w:val="false"/>
          <w:i w:val="false"/>
          <w:iCs w:val="false"/>
          <w:color w:val="000000"/>
        </w:rPr>
        <w:t xml:space="preserve">    ONTO --&gt; GRAPH</w:t>
      </w:r>
    </w:p>
    <w:p>
      <w:r>
        <w:rPr>
          <w:b w:val="false"/>
          <w:bCs w:val="false"/>
          <w:i w:val="false"/>
          <w:iCs w:val="false"/>
          <w:color w:val="000000"/>
        </w:rPr>
        <w:t xml:space="preserve">    DASH --&gt; CHAPTERS</w:t>
      </w:r>
    </w:p>
    <w:p>
      <w:r>
        <w:rPr>
          <w:b w:val="false"/>
          <w:bCs w:val="false"/>
          <w:i w:val="false"/>
          <w:iCs w:val="false"/>
          <w:color w:val="000000"/>
        </w:rPr>
        <w:t xml:space="preserve">    GRAPH --&gt; CHAPTERS</w:t>
      </w:r>
    </w:p>
    <w:p>
      <w:pPr>
        <w:pStyle w:val="Heading3"/>
      </w:pPr>
      <w:commentRangeStart w:id="41"/>
      <w:r>
        <w:rPr>
          <w:b w:val="false"/>
          <w:bCs w:val="false"/>
          <w:i w:val="false"/>
          <w:iCs w:val="false"/>
          <w:color w:val="000000"/>
        </w:rPr>
        <w:t xml:space="preserve">Rationale</w:t>
      </w:r>
      <w:commentRangeEnd w:id="41"/>
      <w:commentReference w:id="41"/>
    </w:p>
    <w:p>
      <w:r>
        <w:rPr>
          <w:b w:val="false"/>
          <w:bCs w:val="false"/>
          <w:i w:val="false"/>
          <w:iCs w:val="false"/>
          <w:color w:val="000000"/>
        </w:rPr>
        <w:t xml:space="preserve">The notes describe preprocessing as page-aware rather than document-only. That choice is methodological, not cosmetic. Page-aware processing preserves traceability</w:t>
      </w:r>
      <w:sdt>
        <w:sdtPr>
          <w:tag w:val="CITATION GuoH26"/>
          <w:id w:val="1955001639"/>
          <w:citation/>
        </w:sdtPr>
        <w:sdtContent>
          <w:r>
            <w:fldChar w:fldCharType="begin"/>
          </w:r>
          <w:r>
            <w:instrText xml:space="preserve"> CITATION GuoH26 \l 1033 </w:instrText>
          </w:r>
          <w:r>
            <w:fldChar w:fldCharType="separate"/>
          </w:r>
          <w:r>
            <w:rPr>
              <w:noProof/>
            </w:rPr>
            <w:t xml:space="preserve">(Guo &amp; Wei, 2026)</w:t>
          </w:r>
          <w:r>
            <w:fldChar w:fldCharType="end"/>
          </w:r>
        </w:sdtContent>
      </w:sdt>
      <w:r>
        <w:rPr>
          <w:b w:val="false"/>
          <w:bCs w:val="false"/>
          <w:i w:val="false"/>
          <w:iCs w:val="false"/>
          <w:color w:val="000000"/>
        </w:rPr>
        <w:t xml:space="preserve">, allows OCR quality audit</w:t>
      </w:r>
      <w:sdt>
        <w:sdtPr>
          <w:tag w:val="CITATION BubulaM25"/>
          <w:id w:val="597963970"/>
          <w:citation/>
        </w:sdtPr>
        <w:sdtContent>
          <w:r>
            <w:fldChar w:fldCharType="begin"/>
          </w:r>
          <w:r>
            <w:instrText xml:space="preserve"> CITATION BubulaM25 \l 1033 </w:instrText>
          </w:r>
          <w:r>
            <w:fldChar w:fldCharType="separate"/>
          </w:r>
          <w:r>
            <w:rPr>
              <w:noProof/>
            </w:rPr>
            <w:t xml:space="preserve">(Bubula et al., 2025)</w:t>
          </w:r>
          <w:r>
            <w:fldChar w:fldCharType="end"/>
          </w:r>
        </w:sdtContent>
      </w:sdt>
      <w:r>
        <w:rPr>
          <w:b w:val="false"/>
          <w:bCs w:val="false"/>
          <w:i w:val="false"/>
          <w:iCs w:val="false"/>
          <w:color w:val="000000"/>
        </w:rPr>
        <w:t xml:space="preserve">, and prevents large documents from exceeding LLM context windows</w:t>
      </w:r>
      <w:sdt>
        <w:sdtPr>
          <w:tag w:val="CITATION LuoK25"/>
          <w:id w:val="1720797552"/>
          <w:citation/>
        </w:sdtPr>
        <w:sdtContent>
          <w:r>
            <w:fldChar w:fldCharType="begin"/>
          </w:r>
          <w:r>
            <w:instrText xml:space="preserve"> CITATION LuoK25 \p 3 \l 1033 </w:instrText>
          </w:r>
          <w:r>
            <w:fldChar w:fldCharType="separate"/>
          </w:r>
          <w:r>
            <w:rPr>
              <w:noProof/>
            </w:rPr>
            <w:t xml:space="preserve">(Luo et al., 2025)</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model design is layered because each layer compensates for a weakness in another layer:</w:t>
      </w:r>
    </w:p>
    <w:p>
      <w:pPr>
        <w:pStyle w:val="ListParagraph"/>
        <w:numPr>
          <w:ilvl w:val="0"/>
          <w:numId w:val="1"/>
        </w:numPr>
      </w:pPr>
      <w:r>
        <w:rPr>
          <w:b w:val="false"/>
          <w:bCs w:val="false"/>
          <w:i w:val="false"/>
          <w:iCs w:val="false"/>
          <w:color w:val="000000"/>
        </w:rPr>
        <w:t xml:space="preserve">The rule layer is transparent but brittle</w:t>
      </w:r>
      <w:sdt>
        <w:sdtPr>
          <w:tag w:val="CITATION PalN20"/>
          <w:id w:val="513542160"/>
          <w:citation/>
        </w:sdtPr>
        <w:sdtContent>
          <w:r>
            <w:fldChar w:fldCharType="begin"/>
          </w:r>
          <w:r>
            <w:instrText xml:space="preserve"> CITATION PalN20 \m WangZ20 \p 4 \l 1033 </w:instrText>
          </w:r>
          <w:r>
            <w:fldChar w:fldCharType="separate"/>
          </w:r>
          <w:r>
            <w:rPr>
              <w:noProof/>
            </w:rPr>
            <w:t xml:space="preserve">(Pal, 2020; Wang et al., 2020)</w:t>
          </w:r>
          <w:r>
            <w:fldChar w:fldCharType="end"/>
          </w:r>
        </w:sdtContent>
      </w:sdt>
      <w:r>
        <w:rPr>
          <w:b w:val="false"/>
          <w:bCs w:val="false"/>
          <w:i w:val="false"/>
          <w:iCs w:val="false"/>
          <w:color w:val="000000"/>
        </w:rPr>
        <w:t xml:space="preserve">.</w:t>
      </w:r>
    </w:p>
    <w:p>
      <w:pPr>
        <w:pStyle w:val="ListParagraph"/>
        <w:numPr>
          <w:ilvl w:val="0"/>
          <w:numId w:val="1"/>
        </w:numPr>
      </w:pPr>
      <w:r>
        <w:rPr>
          <w:b w:val="false"/>
          <w:bCs w:val="false"/>
          <w:i w:val="false"/>
          <w:iCs w:val="false"/>
          <w:color w:val="000000"/>
        </w:rPr>
        <w:t xml:space="preserve">The classical ML layer provides a statistical baseline but needs labeled data</w:t>
      </w:r>
      <w:sdt>
        <w:sdtPr>
          <w:tag w:val="CITATION ZrnicT24"/>
          <w:id w:val="1504923927"/>
          <w:citation/>
        </w:sdtPr>
        <w:sdtContent>
          <w:r>
            <w:fldChar w:fldCharType="begin"/>
          </w:r>
          <w:r>
            <w:instrText xml:space="preserve"> CITATION ZrnicT24 \m ShlezingerN23 \l 1033 </w:instrText>
          </w:r>
          <w:r>
            <w:fldChar w:fldCharType="separate"/>
          </w:r>
          <w:r>
            <w:rPr>
              <w:noProof/>
            </w:rPr>
            <w:t xml:space="preserve">(Shlezinger et al., 2023; Zrnic &amp; Candès, 2024)</w:t>
          </w:r>
          <w:r>
            <w:fldChar w:fldCharType="end"/>
          </w:r>
        </w:sdtContent>
      </w:sdt>
      <w:r>
        <w:rPr>
          <w:b w:val="false"/>
          <w:bCs w:val="false"/>
          <w:i w:val="false"/>
          <w:iCs w:val="false"/>
          <w:color w:val="000000"/>
        </w:rPr>
        <w:t xml:space="preserve">.</w:t>
      </w:r>
    </w:p>
    <w:p>
      <w:pPr>
        <w:pStyle w:val="ListParagraph"/>
        <w:numPr>
          <w:ilvl w:val="0"/>
          <w:numId w:val="1"/>
        </w:numPr>
      </w:pPr>
      <w:commentRangeStart w:id="42"/>
      <w:r>
        <w:rPr>
          <w:b w:val="false"/>
          <w:bCs w:val="false"/>
          <w:i w:val="false"/>
          <w:iCs w:val="false"/>
          <w:color w:val="000000"/>
        </w:rPr>
        <w:t xml:space="preserve">ClimateBERT provides external climate-specific validation but is not a direct ESG tone classifier</w:t>
      </w:r>
      <w:commentRangeEnd w:id="42"/>
      <w:commentReference w:id="42"/>
      <w:sdt>
        <w:sdtPr>
          <w:tag w:val="CITATION VivekT24"/>
          <w:id w:val="538447309"/>
          <w:citation/>
        </w:sdtPr>
        <w:sdtContent>
          <w:r>
            <w:fldChar w:fldCharType="begin"/>
          </w:r>
          <w:r>
            <w:instrText xml:space="preserve"> CITATION VivekT24 \m BinglerJ22 \l 1033 </w:instrText>
          </w:r>
          <w:r>
            <w:fldChar w:fldCharType="separate"/>
          </w:r>
          <w:r>
            <w:rPr>
              <w:noProof/>
            </w:rPr>
            <w:t xml:space="preserve">(Bingler et al., 2022; Vivek et al., 2024)</w:t>
          </w:r>
          <w:r>
            <w:fldChar w:fldCharType="end"/>
          </w:r>
        </w:sdtContent>
      </w:sdt>
      <w:r>
        <w:rPr>
          <w:b w:val="false"/>
          <w:bCs w:val="false"/>
          <w:i w:val="false"/>
          <w:iCs w:val="false"/>
          <w:color w:val="000000"/>
        </w:rPr>
        <w:t xml:space="preserve">.</w:t>
      </w:r>
    </w:p>
    <w:p>
      <w:pPr>
        <w:pStyle w:val="ListParagraph"/>
        <w:numPr>
          <w:ilvl w:val="0"/>
          <w:numId w:val="1"/>
        </w:numPr>
      </w:pPr>
      <w:commentRangeStart w:id="43"/>
      <w:r>
        <w:rPr>
          <w:b w:val="false"/>
          <w:bCs w:val="false"/>
          <w:i w:val="false"/>
          <w:iCs w:val="false"/>
          <w:color w:val="000000"/>
        </w:rPr>
        <w:t xml:space="preserve">The LLM layer can extract richer structured records but requires parse auditing and prompt stability checks</w:t>
      </w:r>
      <w:commentRangeEnd w:id="43"/>
      <w:commentReference w:id="43"/>
      <w:sdt>
        <w:sdtPr>
          <w:tag w:val="CITATION ShergadwalaM26"/>
          <w:id w:val="1866755884"/>
          <w:citation/>
        </w:sdtPr>
        <w:sdtContent>
          <w:r>
            <w:fldChar w:fldCharType="begin"/>
          </w:r>
          <w:r>
            <w:instrText xml:space="preserve"> CITATION ShergadwalaM26 \m MoundasM25 \l 1033 </w:instrText>
          </w:r>
          <w:r>
            <w:fldChar w:fldCharType="separate"/>
          </w:r>
          <w:r>
            <w:rPr>
              <w:noProof/>
            </w:rPr>
            <w:t xml:space="preserve">(Moundas et al., 2025; Shergadwala, 2026)</w:t>
          </w:r>
          <w:r>
            <w:fldChar w:fldCharType="end"/>
          </w:r>
        </w:sdtContent>
      </w:sdt>
      <w:r>
        <w:rPr>
          <w:b w:val="false"/>
          <w:bCs w:val="false"/>
          <w:i w:val="false"/>
          <w:iCs w:val="false"/>
          <w:color w:val="000000"/>
        </w:rPr>
        <w:t xml:space="preserve">.</w:t>
      </w:r>
    </w:p>
    <w:p>
      <w:r>
        <w:rPr>
          <w:b w:val="false"/>
          <w:bCs w:val="false"/>
          <w:i w:val="false"/>
          <w:iCs w:val="false"/>
          <w:color w:val="000000"/>
        </w:rPr>
        <w:t xml:space="preserve">The output tables are not merely export files. They are the core empirical foundation of the thesis. Every figure should be traceable to a backing table and every claim should refer to a Streamlit page or artifact.</w:t>
      </w:r>
    </w:p>
    <w:p>
      <w:pPr>
        <w:pStyle w:val="Heading2"/>
      </w:pPr>
      <w:r>
        <w:rPr>
          <w:b w:val="false"/>
          <w:bCs w:val="false"/>
          <w:i w:val="false"/>
          <w:iCs w:val="false"/>
          <w:color w:val="000000"/>
        </w:rPr>
        <w:t xml:space="preserve">3.2 Data Sources</w:t>
      </w:r>
    </w:p>
    <w:p>
      <w:r>
        <w:rPr>
          <w:b w:val="false"/>
          <w:bCs w:val="false"/>
          <w:i w:val="false"/>
          <w:iCs w:val="false"/>
          <w:color w:val="000000"/>
        </w:rPr>
        <w:t xml:space="preserve">The system uses Indonesian sustainability reports and generated pipeline artifacts. Currently tracked evidence includes:</w:t>
      </w:r>
    </w:p>
    <w:p>
      <w:pPr>
        <w:pStyle w:val="ListParagraph"/>
        <w:numPr>
          <w:ilvl w:val="0"/>
          <w:numId w:val="1"/>
        </w:numPr>
      </w:pPr>
      <w:commentRangeStart w:id="44"/>
      <w:r>
        <w:rPr>
          <w:b w:val="false"/>
          <w:bCs w:val="false"/>
          <w:i w:val="false"/>
          <w:iCs w:val="false"/>
          <w:color w:val="000000"/>
        </w:rPr>
        <w:t xml:space="preserve">23 OCR document</w:t>
      </w:r>
      <w:commentRangeEnd w:id="44"/>
      <w:commentReference w:id="44"/>
      <w:r>
        <w:rPr>
          <w:b w:val="false"/>
          <w:bCs w:val="false"/>
          <w:i w:val="false"/>
          <w:iCs w:val="false"/>
          <w:color w:val="000000"/>
        </w:rPr>
        <w:t xml:space="preserve">s.</w:t>
      </w:r>
    </w:p>
    <w:p>
      <w:pPr>
        <w:pStyle w:val="ListParagraph"/>
        <w:numPr>
          <w:ilvl w:val="0"/>
          <w:numId w:val="1"/>
        </w:numPr>
      </w:pPr>
      <w:r>
        <w:rPr>
          <w:b w:val="false"/>
          <w:bCs w:val="false"/>
          <w:i w:val="false"/>
          <w:iCs w:val="false"/>
          <w:color w:val="000000"/>
        </w:rPr>
        <w:t xml:space="preserve">332 structured ESG tone records.</w:t>
      </w:r>
    </w:p>
    <w:p>
      <w:pPr>
        <w:pStyle w:val="ListParagraph"/>
        <w:numPr>
          <w:ilvl w:val="0"/>
          <w:numId w:val="1"/>
        </w:numPr>
      </w:pPr>
      <w:r>
        <w:rPr>
          <w:b w:val="false"/>
          <w:bCs w:val="false"/>
          <w:i w:val="false"/>
          <w:iCs w:val="false"/>
          <w:color w:val="000000"/>
        </w:rPr>
        <w:t xml:space="preserve">2,074 T2 rows.</w:t>
      </w:r>
    </w:p>
    <w:p>
      <w:pPr>
        <w:pStyle w:val="ListParagraph"/>
        <w:numPr>
          <w:ilvl w:val="0"/>
          <w:numId w:val="1"/>
        </w:numPr>
      </w:pPr>
      <w:r>
        <w:rPr>
          <w:b w:val="false"/>
          <w:bCs w:val="false"/>
          <w:i w:val="false"/>
          <w:iCs w:val="false"/>
          <w:color w:val="000000"/>
        </w:rPr>
        <w:t xml:space="preserve">40 tracked artifacts in the workflow dashboard.</w:t>
      </w:r>
    </w:p>
    <w:p>
      <w:pPr>
        <w:pStyle w:val="ListParagraph"/>
        <w:numPr>
          <w:ilvl w:val="0"/>
          <w:numId w:val="1"/>
        </w:numPr>
      </w:pPr>
      <w:r>
        <w:rPr>
          <w:b w:val="false"/>
          <w:bCs w:val="false"/>
          <w:i w:val="false"/>
          <w:iCs w:val="false"/>
          <w:color w:val="000000"/>
        </w:rPr>
        <w:t xml:space="preserve">Prompt-stability and model-stability summary tables.</w:t>
      </w:r>
    </w:p>
    <w:p>
      <w:pPr>
        <w:pStyle w:val="ListParagraph"/>
        <w:numPr>
          <w:ilvl w:val="0"/>
          <w:numId w:val="1"/>
        </w:numPr>
      </w:pPr>
      <w:r>
        <w:rPr>
          <w:b w:val="false"/>
          <w:bCs w:val="false"/>
          <w:i w:val="false"/>
          <w:iCs w:val="false"/>
          <w:color w:val="000000"/>
        </w:rPr>
        <w:t xml:space="preserve">Ontology coverage tables.</w:t>
      </w:r>
    </w:p>
    <w:p>
      <w:pPr>
        <w:pStyle w:val="ListParagraph"/>
        <w:numPr>
          <w:ilvl w:val="0"/>
          <w:numId w:val="1"/>
        </w:numPr>
      </w:pPr>
      <w:r>
        <w:rPr>
          <w:b w:val="false"/>
          <w:bCs w:val="false"/>
          <w:i w:val="false"/>
          <w:iCs w:val="false"/>
          <w:color w:val="000000"/>
        </w:rPr>
        <w:t xml:space="preserve">ClimateBERT comparison outputs.</w:t>
      </w:r>
    </w:p>
    <w:p>
      <w:pPr>
        <w:pStyle w:val="ListParagraph"/>
        <w:numPr>
          <w:ilvl w:val="0"/>
          <w:numId w:val="1"/>
        </w:numPr>
      </w:pPr>
      <w:r>
        <w:rPr>
          <w:b w:val="false"/>
          <w:bCs w:val="false"/>
          <w:i w:val="false"/>
          <w:iCs w:val="false"/>
          <w:color w:val="000000"/>
        </w:rPr>
        <w:t xml:space="preserve">Ground-truth and silver-label annotation tables.</w:t>
      </w:r>
    </w:p>
    <w:p>
      <w:r>
        <w:rPr>
          <w:b w:val="false"/>
          <w:bCs w:val="false"/>
          <w:i w:val="false"/>
          <w:iCs w:val="false"/>
          <w:color w:val="000000"/>
        </w:rPr>
        <w:t xml:space="preserve">Key files include:</w:t>
      </w:r>
    </w:p>
    <w:p>
      <w:pPr>
        <w:pStyle w:val="ListParagraph"/>
        <w:numPr>
          <w:ilvl w:val="0"/>
          <w:numId w:val="1"/>
        </w:numPr>
      </w:pPr>
      <w:r>
        <w:rPr>
          <w:b w:val="false"/>
          <w:bCs w:val="false"/>
          <w:i w:val="false"/>
          <w:iCs w:val="false"/>
          <w:color w:val="000000"/>
        </w:rPr>
        <w:t xml:space="preserve">results/thesis_workflow_dashboard/tone_records_flat.csv</w:t>
      </w:r>
    </w:p>
    <w:p>
      <w:pPr>
        <w:pStyle w:val="ListParagraph"/>
        <w:numPr>
          <w:ilvl w:val="0"/>
          <w:numId w:val="1"/>
        </w:numPr>
      </w:pPr>
      <w:r>
        <w:rPr>
          <w:b w:val="false"/>
          <w:bCs w:val="false"/>
          <w:i w:val="false"/>
          <w:iCs w:val="false"/>
          <w:color w:val="000000"/>
        </w:rPr>
        <w:t xml:space="preserve">results/thesis_workflow_dashboard/tone_esg_crosstab.csv</w:t>
      </w:r>
    </w:p>
    <w:p>
      <w:pPr>
        <w:pStyle w:val="ListParagraph"/>
        <w:numPr>
          <w:ilvl w:val="0"/>
          <w:numId w:val="1"/>
        </w:numPr>
      </w:pPr>
      <w:r>
        <w:rPr>
          <w:b w:val="false"/>
          <w:bCs w:val="false"/>
          <w:i w:val="false"/>
          <w:iCs w:val="false"/>
          <w:color w:val="000000"/>
        </w:rPr>
        <w:t xml:space="preserve">results/thesis_workflow_dashboard/tone_climatebert_label_crosstab.csv</w:t>
      </w:r>
    </w:p>
    <w:p>
      <w:pPr>
        <w:pStyle w:val="ListParagraph"/>
        <w:numPr>
          <w:ilvl w:val="0"/>
          <w:numId w:val="1"/>
        </w:numPr>
      </w:pPr>
      <w:r>
        <w:rPr>
          <w:b w:val="false"/>
          <w:bCs w:val="false"/>
          <w:i w:val="false"/>
          <w:iCs w:val="false"/>
          <w:color w:val="000000"/>
        </w:rPr>
        <w:t xml:space="preserve">results/thesis_workflow_dashboard/model_stability_summary.csv</w:t>
      </w:r>
    </w:p>
    <w:p>
      <w:pPr>
        <w:pStyle w:val="ListParagraph"/>
        <w:numPr>
          <w:ilvl w:val="0"/>
          <w:numId w:val="1"/>
        </w:numPr>
      </w:pPr>
      <w:r>
        <w:rPr>
          <w:b w:val="false"/>
          <w:bCs w:val="false"/>
          <w:i w:val="false"/>
          <w:iCs w:val="false"/>
          <w:color w:val="000000"/>
        </w:rPr>
        <w:t xml:space="preserve">results/thesis_workflow_dashboard/prompt_stability_summary.csv</w:t>
      </w:r>
    </w:p>
    <w:p>
      <w:pPr>
        <w:pStyle w:val="ListParagraph"/>
        <w:numPr>
          <w:ilvl w:val="0"/>
          <w:numId w:val="1"/>
        </w:numPr>
      </w:pPr>
      <w:r>
        <w:rPr>
          <w:b w:val="false"/>
          <w:bCs w:val="false"/>
          <w:i w:val="false"/>
          <w:iCs w:val="false"/>
          <w:color w:val="000000"/>
        </w:rPr>
        <w:t xml:space="preserve">results/thesis_workflow_dashboard/ontology_coverage.csv</w:t>
      </w:r>
    </w:p>
    <w:p>
      <w:pPr>
        <w:pStyle w:val="ListParagraph"/>
        <w:numPr>
          <w:ilvl w:val="0"/>
          <w:numId w:val="1"/>
        </w:numPr>
      </w:pPr>
      <w:r>
        <w:rPr>
          <w:b w:val="false"/>
          <w:bCs w:val="false"/>
          <w:i w:val="false"/>
          <w:iCs w:val="false"/>
          <w:color w:val="000000"/>
        </w:rPr>
        <w:t xml:space="preserve">results/revision_analysis/silver_tone_ground_truth.csv</w:t>
      </w:r>
    </w:p>
    <w:p>
      <w:pPr>
        <w:pStyle w:val="ListParagraph"/>
        <w:numPr>
          <w:ilvl w:val="0"/>
          <w:numId w:val="1"/>
        </w:numPr>
      </w:pPr>
      <w:r>
        <w:rPr>
          <w:b w:val="false"/>
          <w:bCs w:val="false"/>
          <w:i w:val="false"/>
          <w:iCs w:val="false"/>
          <w:color w:val="000000"/>
        </w:rPr>
        <w:t xml:space="preserve">results/semantic_exports/esg_thesis_graph.ttl</w:t>
      </w:r>
    </w:p>
    <w:p>
      <w:pPr>
        <w:pStyle w:val="ListParagraph"/>
        <w:numPr>
          <w:ilvl w:val="0"/>
          <w:numId w:val="1"/>
        </w:numPr>
      </w:pPr>
      <w:r>
        <w:rPr>
          <w:b w:val="false"/>
          <w:bCs w:val="false"/>
          <w:i w:val="false"/>
          <w:iCs w:val="false"/>
          <w:color w:val="000000"/>
        </w:rPr>
        <w:t xml:space="preserve">results/semantic_exports/esg_thesis_ontology.owl</w:t>
      </w:r>
    </w:p>
    <w:p>
      <w:pPr>
        <w:pStyle w:val="ListParagraph"/>
        <w:numPr>
          <w:ilvl w:val="0"/>
          <w:numId w:val="1"/>
        </w:numPr>
      </w:pPr>
      <w:r>
        <w:rPr>
          <w:b w:val="false"/>
          <w:bCs w:val="false"/>
          <w:i w:val="false"/>
          <w:iCs w:val="false"/>
          <w:color w:val="000000"/>
        </w:rPr>
        <w:t xml:space="preserve">results/semantic_exports/neo4j_nodes.csv</w:t>
      </w:r>
    </w:p>
    <w:p>
      <w:pPr>
        <w:pStyle w:val="ListParagraph"/>
        <w:numPr>
          <w:ilvl w:val="0"/>
          <w:numId w:val="1"/>
        </w:numPr>
      </w:pPr>
      <w:r>
        <w:rPr>
          <w:b w:val="false"/>
          <w:bCs w:val="false"/>
          <w:i w:val="false"/>
          <w:iCs w:val="false"/>
          <w:color w:val="000000"/>
        </w:rPr>
        <w:t xml:space="preserve">results/semantic_exports/neo4j_relationships.csv</w:t>
      </w:r>
    </w:p>
    <w:p>
      <w:pPr>
        <w:pStyle w:val="Heading2"/>
      </w:pPr>
      <w:r>
        <w:rPr>
          <w:b w:val="false"/>
          <w:bCs w:val="false"/>
          <w:i w:val="false"/>
          <w:iCs w:val="false"/>
          <w:color w:val="000000"/>
        </w:rPr>
        <w:t xml:space="preserve">3.3 OCR Processing</w:t>
      </w:r>
    </w:p>
    <w:p>
      <w:r>
        <w:rPr>
          <w:b w:val="false"/>
          <w:bCs w:val="false"/>
          <w:i w:val="false"/>
          <w:iCs w:val="false"/>
          <w:color w:val="000000"/>
        </w:rPr>
        <w:t xml:space="preserve">PDF sustainability reports are converted into page-level text using the OCR workflow. The OCR stage produces source text that can be sampled, audited, and linked to extracted records. </w:t>
      </w:r>
      <w:commentRangeStart w:id="45"/>
      <w:r>
        <w:rPr>
          <w:b w:val="false"/>
          <w:bCs w:val="false"/>
          <w:i w:val="false"/>
          <w:iCs w:val="false"/>
          <w:color w:val="000000"/>
        </w:rPr>
        <w:t xml:space="preserve">OCR quality is treated as a methodological risk because missing text, table loss, and page segmentation errors can affect every downstream label.</w:t>
      </w:r>
      <w:commentRangeEnd w:id="45"/>
      <w:commentReference w:id="45"/>
    </w:p>
    <w:p>
      <w:r>
        <w:rPr>
          <w:b w:val="false"/>
          <w:bCs w:val="false"/>
          <w:i w:val="false"/>
          <w:iCs w:val="false"/>
          <w:color w:val="000000"/>
        </w:rPr>
        <w:t xml:space="preserve">Relevant pages:</w:t>
      </w:r>
    </w:p>
    <w:p>
      <w:pPr>
        <w:pStyle w:val="ListParagraph"/>
        <w:numPr>
          <w:ilvl w:val="0"/>
          <w:numId w:val="1"/>
        </w:numPr>
      </w:pPr>
      <w:r>
        <w:rPr>
          <w:b w:val="false"/>
          <w:bCs w:val="false"/>
          <w:i w:val="false"/>
          <w:iCs w:val="false"/>
          <w:color w:val="000000"/>
        </w:rPr>
        <w:t xml:space="preserve">pages/Bulk_OCR.py</w:t>
      </w:r>
    </w:p>
    <w:p>
      <w:pPr>
        <w:pStyle w:val="ListParagraph"/>
        <w:numPr>
          <w:ilvl w:val="0"/>
          <w:numId w:val="1"/>
        </w:numPr>
      </w:pPr>
      <w:r>
        <w:rPr>
          <w:b w:val="false"/>
          <w:bCs w:val="false"/>
          <w:i w:val="false"/>
          <w:iCs w:val="false"/>
          <w:color w:val="000000"/>
        </w:rPr>
        <w:t xml:space="preserve">pages/1_2_OCR_Quality_Workbench.py</w:t>
      </w:r>
    </w:p>
    <w:p>
      <w:pPr>
        <w:pStyle w:val="ListParagraph"/>
        <w:numPr>
          <w:ilvl w:val="0"/>
          <w:numId w:val="1"/>
        </w:numPr>
      </w:pPr>
      <w:r>
        <w:rPr>
          <w:b w:val="false"/>
          <w:bCs w:val="false"/>
          <w:i w:val="false"/>
          <w:iCs w:val="false"/>
          <w:color w:val="000000"/>
        </w:rPr>
        <w:t xml:space="preserve">pages/2_4_PDF_Page_Processing_Audit.py</w:t>
      </w:r>
    </w:p>
    <w:p>
      <w:pPr>
        <w:pStyle w:val="Heading2"/>
      </w:pPr>
      <w:r>
        <w:rPr>
          <w:b w:val="false"/>
          <w:bCs w:val="false"/>
          <w:i w:val="false"/>
          <w:iCs w:val="false"/>
          <w:color w:val="000000"/>
        </w:rPr>
        <w:t xml:space="preserve">3.4 LLM ESG Record Extraction</w:t>
      </w:r>
    </w:p>
    <w:p>
      <w:r>
        <w:rPr>
          <w:b w:val="false"/>
          <w:bCs w:val="false"/>
          <w:i w:val="false"/>
          <w:iCs w:val="false"/>
          <w:color w:val="000000"/>
        </w:rPr>
        <w:t xml:space="preserve">LLM prompts extract ESG statements from OCR text. </w:t>
      </w:r>
      <w:commentRangeStart w:id="46"/>
      <w:r>
        <w:rPr>
          <w:b w:val="false"/>
          <w:bCs w:val="false"/>
          <w:i w:val="false"/>
          <w:iCs w:val="false"/>
          <w:color w:val="000000"/>
        </w:rPr>
        <w:t xml:space="preserve">Each run is associated with a target document, prompt template, provider, model, timestamp, and output record.</w:t>
      </w:r>
      <w:commentRangeEnd w:id="46"/>
      <w:commentReference w:id="46"/>
      <w:r>
        <w:rPr>
          <w:b w:val="false"/>
          <w:bCs w:val="false"/>
          <w:i w:val="false"/>
          <w:iCs w:val="false"/>
          <w:color w:val="000000"/>
        </w:rPr>
        <w:t xml:space="preserve"> The pipeline supports repeated runs and background execution so that long extraction tasks can continue even if the Streamlit page is not actively open.</w:t>
      </w:r>
    </w:p>
    <w:p>
      <w:r>
        <w:rPr>
          <w:b w:val="false"/>
          <w:bCs w:val="false"/>
          <w:i w:val="false"/>
          <w:iCs w:val="false"/>
          <w:color w:val="000000"/>
        </w:rPr>
        <w:t xml:space="preserve">Relevant pages:</w:t>
      </w:r>
    </w:p>
    <w:p>
      <w:pPr>
        <w:pStyle w:val="ListParagraph"/>
        <w:numPr>
          <w:ilvl w:val="0"/>
          <w:numId w:val="1"/>
        </w:numPr>
      </w:pPr>
      <w:r>
        <w:rPr>
          <w:b w:val="false"/>
          <w:bCs w:val="false"/>
          <w:i w:val="false"/>
          <w:iCs w:val="false"/>
          <w:color w:val="000000"/>
        </w:rPr>
        <w:t xml:space="preserve">pages/llm_processing.py</w:t>
      </w:r>
    </w:p>
    <w:p>
      <w:pPr>
        <w:pStyle w:val="ListParagraph"/>
        <w:numPr>
          <w:ilvl w:val="0"/>
          <w:numId w:val="1"/>
        </w:numPr>
      </w:pPr>
      <w:r>
        <w:rPr>
          <w:b w:val="false"/>
          <w:bCs w:val="false"/>
          <w:i w:val="false"/>
          <w:iCs w:val="false"/>
          <w:color w:val="000000"/>
        </w:rPr>
        <w:t xml:space="preserve">pages/2_3_LLM_Background_Run_Monitor.py</w:t>
      </w:r>
    </w:p>
    <w:p>
      <w:pPr>
        <w:pStyle w:val="ListParagraph"/>
        <w:numPr>
          <w:ilvl w:val="0"/>
          <w:numId w:val="1"/>
        </w:numPr>
      </w:pPr>
      <w:r>
        <w:rPr>
          <w:b w:val="false"/>
          <w:bCs w:val="false"/>
          <w:i w:val="false"/>
          <w:iCs w:val="false"/>
          <w:color w:val="000000"/>
        </w:rPr>
        <w:t xml:space="preserve">pages/2_0_LLM_Processing_Result_Visualizer.py</w:t>
      </w:r>
    </w:p>
    <w:p>
      <w:pPr>
        <w:pStyle w:val="ListParagraph"/>
        <w:numPr>
          <w:ilvl w:val="0"/>
          <w:numId w:val="1"/>
        </w:numPr>
      </w:pPr>
      <w:r>
        <w:rPr>
          <w:b w:val="false"/>
          <w:bCs w:val="false"/>
          <w:i w:val="false"/>
          <w:iCs w:val="false"/>
          <w:color w:val="000000"/>
        </w:rPr>
        <w:t xml:space="preserve">pages/2_1_LLM_Error_Parse_Audit.py</w:t>
      </w:r>
    </w:p>
    <w:p>
      <w:pPr>
        <w:pStyle w:val="Heading2"/>
      </w:pPr>
      <w:r>
        <w:rPr>
          <w:b w:val="false"/>
          <w:bCs w:val="false"/>
          <w:i w:val="false"/>
          <w:iCs w:val="false"/>
          <w:color w:val="000000"/>
        </w:rPr>
        <w:t xml:space="preserve">3.5 ESG ABSA Schema</w:t>
      </w:r>
    </w:p>
    <w:p>
      <w:r>
        <w:rPr>
          <w:b w:val="false"/>
          <w:bCs w:val="false"/>
          <w:i w:val="false"/>
          <w:iCs w:val="false"/>
          <w:color w:val="000000"/>
        </w:rPr>
        <w:t xml:space="preserve">Each extracted record is normalized into ABSA fields:</w:t>
      </w:r>
    </w:p>
    <w:p>
      <w:pPr>
        <w:pStyle w:val="ListParagraph"/>
        <w:numPr>
          <w:ilvl w:val="0"/>
          <w:numId w:val="1"/>
        </w:numPr>
      </w:pPr>
      <w:r>
        <w:rPr>
          <w:b w:val="false"/>
          <w:bCs w:val="false"/>
          <w:i w:val="false"/>
          <w:iCs w:val="false"/>
          <w:color w:val="000000"/>
        </w:rPr>
        <w:t xml:space="preserve">text: source disclosure statement.</w:t>
      </w:r>
    </w:p>
    <w:p>
      <w:pPr>
        <w:pStyle w:val="ListParagraph"/>
        <w:numPr>
          <w:ilvl w:val="0"/>
          <w:numId w:val="1"/>
        </w:numPr>
      </w:pPr>
      <w:commentRangeStart w:id="47"/>
      <w:r>
        <w:rPr>
          <w:b w:val="false"/>
          <w:bCs w:val="false"/>
          <w:i w:val="false"/>
          <w:iCs w:val="false"/>
          <w:color w:val="000000"/>
        </w:rPr>
        <w:t xml:space="preserve">aspect: ESG issue or topi</w:t>
      </w:r>
      <w:commentRangeEnd w:id="47"/>
      <w:commentReference w:id="47"/>
      <w:r>
        <w:rPr>
          <w:b w:val="false"/>
          <w:bCs w:val="false"/>
          <w:i w:val="false"/>
          <w:iCs w:val="false"/>
          <w:color w:val="000000"/>
        </w:rPr>
        <w:t xml:space="preserve">c.</w:t>
      </w:r>
    </w:p>
    <w:p>
      <w:pPr>
        <w:pStyle w:val="ListParagraph"/>
        <w:numPr>
          <w:ilvl w:val="0"/>
          <w:numId w:val="1"/>
        </w:numPr>
      </w:pPr>
      <w:r>
        <w:rPr>
          <w:b w:val="false"/>
          <w:bCs w:val="false"/>
          <w:i w:val="false"/>
          <w:iCs w:val="false"/>
          <w:color w:val="000000"/>
        </w:rPr>
        <w:t xml:space="preserve">esg: ESG pillar, including multi-label possibilities such as E-S, E-G, S-G, or E-S-G.</w:t>
      </w:r>
    </w:p>
    <w:p>
      <w:pPr>
        <w:pStyle w:val="ListParagraph"/>
        <w:numPr>
          <w:ilvl w:val="0"/>
          <w:numId w:val="1"/>
        </w:numPr>
      </w:pPr>
      <w:r>
        <w:rPr>
          <w:b w:val="false"/>
          <w:bCs w:val="false"/>
          <w:i w:val="false"/>
          <w:iCs w:val="false"/>
          <w:color w:val="000000"/>
        </w:rPr>
        <w:t xml:space="preserve">tone: commitment, action, outcome, missing, none, or other.</w:t>
      </w:r>
    </w:p>
    <w:p>
      <w:pPr>
        <w:pStyle w:val="ListParagraph"/>
        <w:numPr>
          <w:ilvl w:val="0"/>
          <w:numId w:val="1"/>
        </w:numPr>
      </w:pPr>
      <w:r>
        <w:rPr>
          <w:b w:val="false"/>
          <w:bCs w:val="false"/>
          <w:i w:val="false"/>
          <w:iCs w:val="false"/>
          <w:color w:val="000000"/>
        </w:rPr>
        <w:t xml:space="preserve">sentiment: positive, negative, neutral, or related sentiment class.</w:t>
      </w:r>
    </w:p>
    <w:p>
      <w:pPr>
        <w:pStyle w:val="ListParagraph"/>
        <w:numPr>
          <w:ilvl w:val="0"/>
          <w:numId w:val="1"/>
        </w:numPr>
      </w:pPr>
      <w:r>
        <w:rPr>
          <w:b w:val="false"/>
          <w:bCs w:val="false"/>
          <w:i w:val="false"/>
          <w:iCs w:val="false"/>
          <w:color w:val="000000"/>
        </w:rPr>
        <w:t xml:space="preserve">labels: supporting model labels such as climate-related or governance indicators.</w:t>
      </w:r>
    </w:p>
    <w:p>
      <w:pPr>
        <w:pStyle w:val="ListParagraph"/>
        <w:numPr>
          <w:ilvl w:val="0"/>
          <w:numId w:val="1"/>
        </w:numPr>
      </w:pPr>
      <w:r>
        <w:rPr>
          <w:b w:val="false"/>
          <w:bCs w:val="false"/>
          <w:i w:val="false"/>
          <w:iCs w:val="false"/>
          <w:color w:val="000000"/>
        </w:rPr>
        <w:t xml:space="preserve">reasoning: explanation attached to the extracted record.</w:t>
      </w:r>
    </w:p>
    <w:p>
      <w:pPr>
        <w:pStyle w:val="ListParagraph"/>
        <w:numPr>
          <w:ilvl w:val="0"/>
          <w:numId w:val="1"/>
        </w:numPr>
      </w:pPr>
      <w:r>
        <w:rPr>
          <w:b w:val="false"/>
          <w:bCs w:val="false"/>
          <w:i w:val="false"/>
          <w:iCs w:val="false"/>
          <w:color w:val="000000"/>
        </w:rPr>
        <w:t xml:space="preserve">target_doc: source document identifier.</w:t>
      </w:r>
    </w:p>
    <w:p>
      <w:pPr>
        <w:pStyle w:val="ListParagraph"/>
        <w:numPr>
          <w:ilvl w:val="0"/>
          <w:numId w:val="1"/>
        </w:numPr>
      </w:pPr>
      <w:r>
        <w:rPr>
          <w:b w:val="false"/>
          <w:bCs w:val="false"/>
          <w:i w:val="false"/>
          <w:iCs w:val="false"/>
          <w:color w:val="000000"/>
        </w:rPr>
        <w:t xml:space="preserve">prompt: prompt template used.</w:t>
      </w:r>
    </w:p>
    <w:p>
      <w:pPr>
        <w:pStyle w:val="ListParagraph"/>
        <w:numPr>
          <w:ilvl w:val="0"/>
          <w:numId w:val="1"/>
        </w:numPr>
      </w:pPr>
      <w:r>
        <w:rPr>
          <w:b w:val="false"/>
          <w:bCs w:val="false"/>
          <w:i w:val="false"/>
          <w:iCs w:val="false"/>
          <w:color w:val="000000"/>
        </w:rPr>
        <w:t xml:space="preserve">model: LLM model used.</w:t>
      </w:r>
    </w:p>
    <w:p>
      <w:r>
        <w:rPr>
          <w:b w:val="false"/>
          <w:bCs w:val="false"/>
          <w:i w:val="false"/>
          <w:iCs w:val="false"/>
          <w:color w:val="000000"/>
        </w:rPr>
        <w:t xml:space="preserve">The schema is intentionally record-level because ESG tone depends on the specific claim, not only on the document.</w:t>
      </w:r>
    </w:p>
    <w:p>
      <w:pPr>
        <w:pStyle w:val="Heading2"/>
      </w:pPr>
      <w:r>
        <w:rPr>
          <w:b w:val="false"/>
          <w:bCs w:val="false"/>
          <w:i w:val="false"/>
          <w:iCs w:val="false"/>
          <w:color w:val="000000"/>
        </w:rPr>
        <w:t xml:space="preserve">3.6 ClimateBERT Comparison</w:t>
      </w:r>
    </w:p>
    <w:p>
      <w:commentRangeStart w:id="48"/>
      <w:r>
        <w:rPr>
          <w:b w:val="false"/>
          <w:bCs w:val="false"/>
          <w:i w:val="false"/>
          <w:iCs w:val="false"/>
          <w:color w:val="000000"/>
        </w:rPr>
        <w:t xml:space="preserve">ClimateBERT outputs are used as a climate-specific comparison layer.</w:t>
      </w:r>
      <w:commentRangeEnd w:id="48"/>
      <w:commentReference w:id="48"/>
      <w:r>
        <w:rPr>
          <w:b w:val="false"/>
          <w:bCs w:val="false"/>
          <w:i w:val="false"/>
          <w:iCs w:val="false"/>
          <w:color w:val="000000"/>
        </w:rPr>
        <w:t xml:space="preserve"> The thesis does not assume that ClimateBERT labels and ESG tone labels should be identical. </w:t>
      </w:r>
      <w:commentRangeStart w:id="49"/>
      <w:r>
        <w:rPr>
          <w:b w:val="false"/>
          <w:bCs w:val="false"/>
          <w:i w:val="false"/>
          <w:iCs w:val="false"/>
          <w:color w:val="000000"/>
        </w:rPr>
        <w:t xml:space="preserve">Instead, disagreement is analytically useful because it shows where a climate-oriented classifier detects climate relevance while the ESG ABSA schema captures disclosure tone.</w:t>
      </w:r>
      <w:commentRangeEnd w:id="49"/>
      <w:commentReference w:id="49"/>
    </w:p>
    <w:p>
      <w:r>
        <w:rPr>
          <w:b w:val="false"/>
          <w:bCs w:val="false"/>
          <w:i w:val="false"/>
          <w:iCs w:val="false"/>
          <w:color w:val="000000"/>
        </w:rPr>
        <w:t xml:space="preserve">Current dashboard metrics:</w:t>
      </w:r>
    </w:p>
    <w:p>
      <w:pPr>
        <w:pStyle w:val="ListParagraph"/>
        <w:numPr>
          <w:ilvl w:val="0"/>
          <w:numId w:val="1"/>
        </w:numPr>
      </w:pPr>
      <w:r>
        <w:rPr>
          <w:b w:val="false"/>
          <w:bCs w:val="false"/>
          <w:i w:val="false"/>
          <w:iCs w:val="false"/>
          <w:color w:val="000000"/>
        </w:rPr>
        <w:t xml:space="preserve">ClimateBERT proxy agreement: 0.837.</w:t>
      </w:r>
    </w:p>
    <w:p>
      <w:pPr>
        <w:pStyle w:val="ListParagraph"/>
        <w:numPr>
          <w:ilvl w:val="0"/>
          <w:numId w:val="1"/>
        </w:numPr>
      </w:pPr>
      <w:r>
        <w:rPr>
          <w:b w:val="false"/>
          <w:bCs w:val="false"/>
          <w:i w:val="false"/>
          <w:iCs w:val="false"/>
          <w:color w:val="000000"/>
        </w:rPr>
        <w:t xml:space="preserve">Cohen's kappa: 0.645.</w:t>
      </w:r>
    </w:p>
    <w:p>
      <w:commentRangeStart w:id="59"/>
      <w:r>
        <w:rPr>
          <w:b w:val="false"/>
          <w:bCs w:val="false"/>
          <w:i w:val="false"/>
          <w:iCs w:val="false"/>
          <w:color w:val="000000"/>
        </w:rPr>
        <w:t xml:space="preserve">These values suggest meaningful agreement, but also enough divergence to justify a construct-validity discussion.</w:t>
      </w:r>
      <w:commentRangeEnd w:id="59"/>
      <w:commentReference w:id="59"/>
    </w:p>
    <w:p>
      <w:r>
        <w:rPr>
          <w:b w:val="false"/>
          <w:bCs w:val="false"/>
          <w:i w:val="false"/>
          <w:iCs w:val="false"/>
          <w:color w:val="000000"/>
        </w:rPr>
        <w:t xml:space="preserve">Relevant pages:</w:t>
      </w:r>
    </w:p>
    <w:p>
      <w:pPr>
        <w:pStyle w:val="ListParagraph"/>
        <w:numPr>
          <w:ilvl w:val="0"/>
          <w:numId w:val="1"/>
        </w:numPr>
      </w:pPr>
      <w:r>
        <w:rPr>
          <w:b w:val="false"/>
          <w:bCs w:val="false"/>
          <w:i w:val="false"/>
          <w:iCs w:val="false"/>
          <w:color w:val="000000"/>
        </w:rPr>
        <w:t xml:space="preserve">pages/1_4_ClimateBERT_Record_Batch.py</w:t>
      </w:r>
    </w:p>
    <w:p>
      <w:pPr>
        <w:pStyle w:val="ListParagraph"/>
        <w:numPr>
          <w:ilvl w:val="0"/>
          <w:numId w:val="1"/>
        </w:numPr>
      </w:pPr>
      <w:r>
        <w:rPr>
          <w:b w:val="false"/>
          <w:bCs w:val="false"/>
          <w:i w:val="false"/>
          <w:iCs w:val="false"/>
          <w:color w:val="000000"/>
        </w:rPr>
        <w:t xml:space="preserve">pages/0_9_Tone_ClimateBERT_Visualization.py</w:t>
      </w:r>
    </w:p>
    <w:p>
      <w:pPr>
        <w:pStyle w:val="ListParagraph"/>
        <w:numPr>
          <w:ilvl w:val="0"/>
          <w:numId w:val="1"/>
        </w:numPr>
      </w:pPr>
      <w:r>
        <w:rPr>
          <w:b w:val="false"/>
          <w:bCs w:val="false"/>
          <w:i w:val="false"/>
          <w:iCs w:val="false"/>
          <w:color w:val="000000"/>
        </w:rPr>
        <w:t xml:space="preserve">pages/6_2_Chapter_5_Discussion.py</w:t>
      </w:r>
    </w:p>
    <w:p>
      <w:pPr>
        <w:pStyle w:val="Heading2"/>
      </w:pPr>
      <w:r>
        <w:rPr>
          <w:b w:val="false"/>
          <w:bCs w:val="false"/>
          <w:i w:val="false"/>
          <w:iCs w:val="false"/>
          <w:color w:val="000000"/>
        </w:rPr>
        <w:t xml:space="preserve">3.7 Ground-Truth Annotation</w:t>
      </w:r>
    </w:p>
    <w:p>
      <w:r>
        <w:rPr>
          <w:b w:val="false"/>
          <w:bCs w:val="false"/>
          <w:i w:val="false"/>
          <w:iCs w:val="false"/>
          <w:color w:val="000000"/>
        </w:rPr>
        <w:t xml:space="preserve">Ground-truth annotation is handled separately from automatic extraction. </w:t>
      </w:r>
      <w:commentRangeStart w:id="53"/>
      <w:r>
        <w:rPr>
          <w:b w:val="false"/>
          <w:bCs w:val="false"/>
          <w:i w:val="false"/>
          <w:iCs w:val="false"/>
          <w:color w:val="000000"/>
        </w:rPr>
        <w:t xml:space="preserve">The workbench supports tone, ESG pillar, and aspect labels. The system also supports review queues, unannotated-row filtering, and silver-label comparison.</w:t>
      </w:r>
      <w:commentRangeEnd w:id="53"/>
      <w:commentReference w:id="53"/>
    </w:p>
    <w:p>
      <w:r>
        <w:rPr>
          <w:b w:val="false"/>
          <w:bCs w:val="false"/>
          <w:i w:val="false"/>
          <w:iCs w:val="false"/>
          <w:color w:val="000000"/>
        </w:rPr>
        <w:t xml:space="preserve">Relevant pages:</w:t>
      </w:r>
    </w:p>
    <w:p>
      <w:pPr>
        <w:pStyle w:val="ListParagraph"/>
        <w:numPr>
          <w:ilvl w:val="0"/>
          <w:numId w:val="1"/>
        </w:numPr>
      </w:pPr>
      <w:r>
        <w:rPr>
          <w:b w:val="false"/>
          <w:bCs w:val="false"/>
          <w:i w:val="false"/>
          <w:iCs w:val="false"/>
          <w:color w:val="000000"/>
        </w:rPr>
        <w:t xml:space="preserve">pages/ground_truth.py</w:t>
      </w:r>
    </w:p>
    <w:p>
      <w:pPr>
        <w:pStyle w:val="ListParagraph"/>
        <w:numPr>
          <w:ilvl w:val="0"/>
          <w:numId w:val="1"/>
        </w:numPr>
      </w:pPr>
      <w:r>
        <w:rPr>
          <w:b w:val="false"/>
          <w:bCs w:val="false"/>
          <w:i w:val="false"/>
          <w:iCs w:val="false"/>
          <w:color w:val="000000"/>
        </w:rPr>
        <w:t xml:space="preserve">pages/1_1_Ground_Truth_Workbench.py</w:t>
      </w:r>
    </w:p>
    <w:p>
      <w:pPr>
        <w:pStyle w:val="ListParagraph"/>
        <w:numPr>
          <w:ilvl w:val="0"/>
          <w:numId w:val="1"/>
        </w:numPr>
      </w:pPr>
      <w:r>
        <w:rPr>
          <w:b w:val="false"/>
          <w:bCs w:val="false"/>
          <w:i w:val="false"/>
          <w:iCs w:val="false"/>
          <w:color w:val="000000"/>
        </w:rPr>
        <w:t xml:space="preserve">pages/1_3_Ground_Truth_Metrics.py</w:t>
      </w:r>
    </w:p>
    <w:p>
      <w:pPr>
        <w:pStyle w:val="ListParagraph"/>
        <w:numPr>
          <w:ilvl w:val="0"/>
          <w:numId w:val="1"/>
        </w:numPr>
      </w:pPr>
      <w:r>
        <w:rPr>
          <w:b w:val="false"/>
          <w:bCs w:val="false"/>
          <w:i w:val="false"/>
          <w:iCs w:val="false"/>
          <w:color w:val="000000"/>
        </w:rPr>
        <w:t xml:space="preserve">pages/1_8_Ground_Truth_Output_Visualizer.py</w:t>
      </w:r>
    </w:p>
    <w:p>
      <w:pPr>
        <w:pStyle w:val="ListParagraph"/>
        <w:numPr>
          <w:ilvl w:val="0"/>
          <w:numId w:val="1"/>
        </w:numPr>
      </w:pPr>
      <w:r>
        <w:rPr>
          <w:b w:val="false"/>
          <w:bCs w:val="false"/>
          <w:i w:val="false"/>
          <w:iCs w:val="false"/>
          <w:color w:val="000000"/>
        </w:rPr>
        <w:t xml:space="preserve">pages/1_12_Ground_Truth_Step_By_Step_Visualizer.py</w:t>
      </w:r>
    </w:p>
    <w:p>
      <w:pPr>
        <w:pStyle w:val="Heading2"/>
      </w:pPr>
      <w:r>
        <w:rPr>
          <w:b w:val="false"/>
          <w:bCs w:val="false"/>
          <w:i w:val="false"/>
          <w:iCs w:val="false"/>
          <w:color w:val="000000"/>
        </w:rPr>
        <w:t xml:space="preserve">3.8 Ontology Mapping and Semantic Graph Export</w:t>
      </w:r>
    </w:p>
    <w:p>
      <w:commentRangeStart w:id="58"/>
      <w:r>
        <w:rPr>
          <w:b w:val="false"/>
          <w:bCs w:val="false"/>
          <w:i w:val="false"/>
          <w:iCs w:val="false"/>
          <w:color w:val="000000"/>
        </w:rPr>
        <w:t xml:space="preserve">Aspect labels are mapped to ontology paths when possible. Unmapped aspects are not treated only as errors: they are also candidates for Indonesian ESG vocabulary extension.</w:t>
      </w:r>
      <w:commentRangeEnd w:id="58"/>
      <w:commentReference w:id="58"/>
      <w:r>
        <w:rPr>
          <w:b w:val="false"/>
          <w:bCs w:val="false"/>
          <w:i w:val="false"/>
          <w:iCs w:val="false"/>
          <w:color w:val="000000"/>
        </w:rPr>
        <w:t xml:space="preserve"> Semantic exports convert records into RDF, OWL, and Neo4j graph format.</w:t>
      </w:r>
    </w:p>
    <w:p>
      <w:r>
        <w:rPr>
          <w:b w:val="false"/>
          <w:bCs w:val="false"/>
          <w:i w:val="false"/>
          <w:iCs w:val="false"/>
          <w:color w:val="000000"/>
        </w:rPr>
        <w:t xml:space="preserve">Relevant pages:</w:t>
      </w:r>
    </w:p>
    <w:p>
      <w:pPr>
        <w:pStyle w:val="ListParagraph"/>
        <w:numPr>
          <w:ilvl w:val="0"/>
          <w:numId w:val="1"/>
        </w:numPr>
      </w:pPr>
      <w:r>
        <w:rPr>
          <w:b w:val="false"/>
          <w:bCs w:val="false"/>
          <w:i w:val="false"/>
          <w:iCs w:val="false"/>
          <w:color w:val="000000"/>
        </w:rPr>
        <w:t xml:space="preserve">pages/1_6_Ontology_Path_Viewer.py</w:t>
      </w:r>
    </w:p>
    <w:p>
      <w:pPr>
        <w:pStyle w:val="ListParagraph"/>
        <w:numPr>
          <w:ilvl w:val="0"/>
          <w:numId w:val="1"/>
        </w:numPr>
      </w:pPr>
      <w:r>
        <w:rPr>
          <w:b w:val="false"/>
          <w:bCs w:val="false"/>
          <w:i w:val="false"/>
          <w:iCs w:val="false"/>
          <w:color w:val="000000"/>
        </w:rPr>
        <w:t xml:space="preserve">pages/1_13_Semantic_Graph_Exporter.py</w:t>
      </w:r>
    </w:p>
    <w:p>
      <w:pPr>
        <w:pStyle w:val="Heading2"/>
      </w:pPr>
      <w:r>
        <w:rPr>
          <w:b w:val="false"/>
          <w:bCs w:val="false"/>
          <w:i w:val="false"/>
          <w:iCs w:val="false"/>
          <w:color w:val="000000"/>
        </w:rPr>
        <w:t xml:space="preserve">3.9 Dashboard And Chapter Integration</w:t>
      </w:r>
    </w:p>
    <w:p>
      <w:r>
        <w:rPr>
          <w:b w:val="false"/>
          <w:bCs w:val="false"/>
          <w:i w:val="false"/>
          <w:iCs w:val="false"/>
          <w:color w:val="000000"/>
        </w:rPr>
        <w:t xml:space="preserve">The Streamlit app is part of the research method. It allows the thesis to remain synchronized with live results. Chapter pages integrate graphs, backing tables, dashboard counters, and interpretation boxes.</w:t>
      </w:r>
    </w:p>
    <w:p>
      <w:r>
        <w:rPr>
          <w:b w:val="false"/>
          <w:bCs w:val="false"/>
          <w:i w:val="false"/>
          <w:iCs w:val="false"/>
          <w:color w:val="000000"/>
        </w:rPr>
        <w:t xml:space="preserve">Relevant pages:</w:t>
      </w:r>
    </w:p>
    <w:p>
      <w:pPr>
        <w:pStyle w:val="ListParagraph"/>
        <w:numPr>
          <w:ilvl w:val="0"/>
          <w:numId w:val="1"/>
        </w:numPr>
      </w:pPr>
      <w:r>
        <w:rPr>
          <w:b w:val="false"/>
          <w:bCs w:val="false"/>
          <w:i w:val="false"/>
          <w:iCs w:val="false"/>
          <w:color w:val="000000"/>
        </w:rPr>
        <w:t xml:space="preserve">pages/3_0_Thesis_Action_Plan.py</w:t>
      </w:r>
    </w:p>
    <w:p>
      <w:pPr>
        <w:pStyle w:val="ListParagraph"/>
        <w:numPr>
          <w:ilvl w:val="0"/>
          <w:numId w:val="1"/>
        </w:numPr>
      </w:pPr>
      <w:r>
        <w:rPr>
          <w:b w:val="false"/>
          <w:bCs w:val="false"/>
          <w:i w:val="false"/>
          <w:iCs w:val="false"/>
          <w:color w:val="000000"/>
        </w:rPr>
        <w:t xml:space="preserve">pages/5_Thesis_Systematic_Workflow_dashboard.py</w:t>
      </w:r>
    </w:p>
    <w:p>
      <w:pPr>
        <w:pStyle w:val="ListParagraph"/>
        <w:numPr>
          <w:ilvl w:val="0"/>
          <w:numId w:val="1"/>
        </w:numPr>
      </w:pPr>
      <w:r>
        <w:rPr>
          <w:b w:val="false"/>
          <w:bCs w:val="false"/>
          <w:i w:val="false"/>
          <w:iCs w:val="false"/>
          <w:color w:val="000000"/>
        </w:rPr>
        <w:t xml:space="preserve">pages/6_0_Thesis_Draft_Chapter_Integration_Mermaid.py</w:t>
      </w:r>
    </w:p>
    <w:p>
      <w:pPr>
        <w:pStyle w:val="ListParagraph"/>
        <w:numPr>
          <w:ilvl w:val="0"/>
          <w:numId w:val="1"/>
        </w:numPr>
      </w:pPr>
      <w:r>
        <w:rPr>
          <w:b w:val="false"/>
          <w:bCs w:val="false"/>
          <w:i w:val="false"/>
          <w:iCs w:val="false"/>
          <w:color w:val="000000"/>
        </w:rPr>
        <w:t xml:space="preserve">pages/6_1_Chapter_4_Implementation_Results.py</w:t>
      </w:r>
    </w:p>
    <w:p>
      <w:pPr>
        <w:pStyle w:val="ListParagraph"/>
        <w:numPr>
          <w:ilvl w:val="0"/>
          <w:numId w:val="1"/>
        </w:numPr>
      </w:pPr>
      <w:r>
        <w:rPr>
          <w:b w:val="false"/>
          <w:bCs w:val="false"/>
          <w:i w:val="false"/>
          <w:iCs w:val="false"/>
          <w:color w:val="000000"/>
        </w:rPr>
        <w:t xml:space="preserve">pages/6_2_Chapter_5_Discussion.py</w:t>
      </w:r>
    </w:p>
    <w:p>
      <w:pPr>
        <w:pStyle w:val="ListParagraph"/>
        <w:numPr>
          <w:ilvl w:val="0"/>
          <w:numId w:val="1"/>
        </w:numPr>
      </w:pPr>
      <w:r>
        <w:rPr>
          <w:b w:val="false"/>
          <w:bCs w:val="false"/>
          <w:i w:val="false"/>
          <w:iCs w:val="false"/>
          <w:color w:val="000000"/>
        </w:rPr>
        <w:t xml:space="preserve">pages/6_3_Chapter_6_Conclusion.py</w:t>
      </w:r>
    </w:p>
    <w:p>
      <w:pPr>
        <w:pStyle w:val="ListParagraph"/>
        <w:numPr>
          <w:ilvl w:val="0"/>
          <w:numId w:val="1"/>
        </w:numPr>
      </w:pPr>
      <w:r>
        <w:rPr>
          <w:b w:val="false"/>
          <w:bCs w:val="false"/>
          <w:i w:val="false"/>
          <w:iCs w:val="false"/>
          <w:color w:val="000000"/>
        </w:rPr>
        <w:t xml:space="preserve">pages/6_4_ch4-6.py</w:t>
      </w:r>
    </w:p>
    <w:p>
      <w:pPr>
        <w:pStyle w:val="Heading1"/>
      </w:pPr>
      <w:commentRangeStart w:id="50"/>
      <w:r>
        <w:rPr>
          <w:b w:val="false"/>
          <w:bCs w:val="false"/>
          <w:i w:val="false"/>
          <w:iCs w:val="false"/>
          <w:color w:val="000000"/>
        </w:rPr>
        <w:t xml:space="preserve">4. Experimental Setup and Results</w:t>
      </w:r>
      <w:commentRangeEnd w:id="50"/>
      <w:commentReference w:id="50"/>
    </w:p>
    <w:p>
      <w:pPr>
        <w:pStyle w:val="Heading2"/>
      </w:pPr>
      <w:r>
        <w:rPr>
          <w:b w:val="false"/>
          <w:bCs w:val="false"/>
          <w:i w:val="false"/>
          <w:iCs w:val="false"/>
          <w:color w:val="000000"/>
        </w:rPr>
        <w:t xml:space="preserve">4.1 Implementation Environment</w:t>
      </w:r>
    </w:p>
    <w:p>
      <w:commentRangeStart w:id="51"/>
      <w:r>
        <w:rPr>
          <w:b w:val="false"/>
          <w:bCs w:val="false"/>
          <w:i w:val="false"/>
          <w:iCs w:val="false"/>
          <w:color w:val="000000"/>
        </w:rPr>
        <w:t xml:space="preserve">The system is implemented as a Streamlit application with supporting Python scripts, CSV/JSON artifacts, visualizations, and semantic export files. LLM jobs can be run interactively or in the background. Dashboard pages read from the results folders and regenerate thesis-facing figures.</w:t>
      </w:r>
      <w:commentRangeEnd w:id="51"/>
      <w:commentReference w:id="51"/>
    </w:p>
    <w:p>
      <w:pPr>
        <w:pStyle w:val="Heading2"/>
      </w:pPr>
      <w:r>
        <w:rPr>
          <w:b w:val="false"/>
          <w:bCs w:val="false"/>
          <w:i w:val="false"/>
          <w:iCs w:val="false"/>
          <w:color w:val="000000"/>
        </w:rPr>
        <w:t xml:space="preserve">4.2 Current Dataset Snapshot</w:t>
      </w:r>
    </w:p>
    <w:p>
      <w:commentRangeStart w:id="52"/>
      <w:r>
        <w:rPr>
          <w:b w:val="false"/>
          <w:bCs w:val="false"/>
          <w:i w:val="false"/>
          <w:iCs w:val="false"/>
          <w:color w:val="000000"/>
        </w:rPr>
        <w:t xml:space="preserve">The current dashboard snapshot contains:</w:t>
      </w:r>
      <w:commentRangeEnd w:id="52"/>
      <w:commentReference w:id="52"/>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4E7"/>
          </w:tcPr>
          <w:p>
            <w:r>
              <w:rPr>
                <w:b/>
                <w:bCs/>
                <w:i w:val="false"/>
                <w:iCs w:val="false"/>
                <w:color w:val="000000"/>
              </w:rPr>
              <w:t xml:space="preserve">Artifact group</w:t>
            </w:r>
          </w:p>
        </w:tc>
        <w:tc>
          <w:tcPr>
            <w:shd w:fill="E4E4E7"/>
          </w:tcPr>
          <w:p>
            <w:r>
              <w:rPr>
                <w:b/>
                <w:bCs/>
                <w:i w:val="false"/>
                <w:iCs w:val="false"/>
                <w:color w:val="000000"/>
              </w:rPr>
              <w:t xml:space="preserve">Current value</w:t>
            </w:r>
          </w:p>
        </w:tc>
      </w:tr>
      <w:tr>
        <w:tc>
          <w:tcPr>
            <w:shd w:fill="E4E4E7"/>
          </w:tcPr>
          <w:p>
            <w:r>
              <w:rPr>
                <w:b w:val="false"/>
                <w:bCs w:val="false"/>
                <w:i w:val="false"/>
                <w:iCs w:val="false"/>
                <w:color w:val="000000"/>
              </w:rPr>
              <w:t xml:space="preserve">Research questions tracked</w:t>
            </w:r>
          </w:p>
        </w:tc>
        <w:tc>
          <w:tcPr>
            <w:shd w:fill="E4E4E7"/>
          </w:tcPr>
          <w:p>
            <w:r>
              <w:rPr>
                <w:b w:val="false"/>
                <w:bCs w:val="false"/>
                <w:i w:val="false"/>
                <w:iCs w:val="false"/>
                <w:color w:val="000000"/>
              </w:rPr>
              <w:t xml:space="preserve">6</w:t>
            </w:r>
          </w:p>
        </w:tc>
      </w:tr>
      <w:tr>
        <w:tc>
          <w:tcPr>
            <w:shd w:fill="E4E4E7"/>
          </w:tcPr>
          <w:p>
            <w:r>
              <w:rPr>
                <w:b w:val="false"/>
                <w:bCs w:val="false"/>
                <w:i w:val="false"/>
                <w:iCs w:val="false"/>
                <w:color w:val="000000"/>
              </w:rPr>
              <w:t xml:space="preserve">Structured tone recor</w:t>
            </w:r>
            <w:commentRangeEnd w:id="56"/>
            <w:commentReference w:id="56"/>
            <w:r>
              <w:rPr>
                <w:b w:val="false"/>
                <w:bCs w:val="false"/>
                <w:i w:val="false"/>
                <w:iCs w:val="false"/>
                <w:color w:val="000000"/>
              </w:rPr>
              <w:t xml:space="preserve">ds</w:t>
            </w:r>
          </w:p>
        </w:tc>
        <w:tc>
          <w:tcPr>
            <w:shd w:fill="E4E4E7"/>
          </w:tcPr>
          <w:p>
            <w:r>
              <w:rPr>
                <w:b w:val="false"/>
                <w:bCs w:val="false"/>
                <w:i w:val="false"/>
                <w:iCs w:val="false"/>
                <w:color w:val="000000"/>
              </w:rPr>
              <w:t xml:space="preserve">332</w:t>
            </w:r>
          </w:p>
        </w:tc>
      </w:tr>
      <w:tr>
        <w:tc>
          <w:tcPr>
            <w:shd w:fill="E4E4E7"/>
          </w:tcPr>
          <w:p>
            <w:r>
              <w:rPr>
                <w:b w:val="false"/>
                <w:bCs w:val="false"/>
                <w:i w:val="false"/>
                <w:iCs w:val="false"/>
                <w:color w:val="000000"/>
              </w:rPr>
              <w:t xml:space="preserve">T2 rows</w:t>
            </w:r>
          </w:p>
        </w:tc>
        <w:tc>
          <w:tcPr>
            <w:shd w:fill="E4E4E7"/>
          </w:tcPr>
          <w:p>
            <w:r>
              <w:rPr>
                <w:b w:val="false"/>
                <w:bCs w:val="false"/>
                <w:i w:val="false"/>
                <w:iCs w:val="false"/>
                <w:color w:val="000000"/>
              </w:rPr>
              <w:t xml:space="preserve">2,074</w:t>
            </w:r>
          </w:p>
        </w:tc>
      </w:tr>
      <w:tr>
        <w:tc>
          <w:tcPr>
            <w:shd w:fill="E4E4E7"/>
          </w:tcPr>
          <w:p>
            <w:r>
              <w:rPr>
                <w:b w:val="false"/>
                <w:bCs w:val="false"/>
                <w:i w:val="false"/>
                <w:iCs w:val="false"/>
                <w:color w:val="000000"/>
              </w:rPr>
              <w:t xml:space="preserve">OCR documents</w:t>
            </w:r>
          </w:p>
        </w:tc>
        <w:tc>
          <w:tcPr>
            <w:shd w:fill="E4E4E7"/>
          </w:tcPr>
          <w:p>
            <w:r>
              <w:rPr>
                <w:b w:val="false"/>
                <w:bCs w:val="false"/>
                <w:i w:val="false"/>
                <w:iCs w:val="false"/>
                <w:color w:val="000000"/>
              </w:rPr>
              <w:t xml:space="preserve">23</w:t>
            </w:r>
          </w:p>
        </w:tc>
      </w:tr>
      <w:tr>
        <w:tc>
          <w:tcPr>
            <w:shd w:fill="E4E4E7"/>
          </w:tcPr>
          <w:p>
            <w:r>
              <w:rPr>
                <w:b w:val="false"/>
                <w:bCs w:val="false"/>
                <w:i w:val="false"/>
                <w:iCs w:val="false"/>
                <w:color w:val="000000"/>
              </w:rPr>
              <w:t xml:space="preserve">Tracked artifac</w:t>
            </w:r>
            <w:commentRangeEnd w:id="57"/>
            <w:commentReference w:id="57"/>
            <w:r>
              <w:rPr>
                <w:b w:val="false"/>
                <w:bCs w:val="false"/>
                <w:i w:val="false"/>
                <w:iCs w:val="false"/>
                <w:color w:val="000000"/>
              </w:rPr>
              <w:t xml:space="preserve">ts</w:t>
            </w:r>
          </w:p>
        </w:tc>
        <w:tc>
          <w:tcPr>
            <w:shd w:fill="E4E4E7"/>
          </w:tcPr>
          <w:p>
            <w:r>
              <w:rPr>
                <w:b w:val="false"/>
                <w:bCs w:val="false"/>
                <w:i w:val="false"/>
                <w:iCs w:val="false"/>
                <w:color w:val="000000"/>
              </w:rPr>
              <w:t xml:space="preserve">40</w:t>
            </w:r>
          </w:p>
        </w:tc>
      </w:tr>
      <w:tr>
        <w:tc>
          <w:tcPr>
            <w:shd w:fill="E4E4E7"/>
          </w:tcPr>
          <w:p>
            <w:r>
              <w:rPr>
                <w:b w:val="false"/>
                <w:bCs w:val="false"/>
                <w:i w:val="false"/>
                <w:iCs w:val="false"/>
                <w:color w:val="000000"/>
              </w:rPr>
              <w:t xml:space="preserve">ClimateBERT proxy agreeme</w:t>
            </w:r>
            <w:commentRangeEnd w:id="55"/>
            <w:commentReference w:id="55"/>
            <w:r>
              <w:rPr>
                <w:b w:val="false"/>
                <w:bCs w:val="false"/>
                <w:i w:val="false"/>
                <w:iCs w:val="false"/>
                <w:color w:val="000000"/>
              </w:rPr>
              <w:t xml:space="preserve">nt</w:t>
            </w:r>
          </w:p>
        </w:tc>
        <w:tc>
          <w:tcPr>
            <w:shd w:fill="E4E4E7"/>
          </w:tcPr>
          <w:p>
            <w:r>
              <w:rPr>
                <w:b w:val="false"/>
                <w:bCs w:val="false"/>
                <w:i w:val="false"/>
                <w:iCs w:val="false"/>
                <w:color w:val="000000"/>
              </w:rPr>
              <w:t xml:space="preserve">0.837</w:t>
            </w:r>
          </w:p>
        </w:tc>
      </w:tr>
      <w:tr>
        <w:tc>
          <w:tcPr>
            <w:shd w:fill="E4E4E7"/>
          </w:tcPr>
          <w:p>
            <w:r>
              <w:rPr>
                <w:b w:val="false"/>
                <w:bCs w:val="false"/>
                <w:i w:val="false"/>
                <w:iCs w:val="false"/>
                <w:color w:val="000000"/>
              </w:rPr>
              <w:t xml:space="preserve">ClimateBERT Cohen's kappa</w:t>
            </w:r>
          </w:p>
        </w:tc>
        <w:tc>
          <w:tcPr>
            <w:shd w:fill="E4E4E7"/>
          </w:tcPr>
          <w:p>
            <w:r>
              <w:rPr>
                <w:b w:val="false"/>
                <w:bCs w:val="false"/>
                <w:i w:val="false"/>
                <w:iCs w:val="false"/>
                <w:color w:val="000000"/>
              </w:rPr>
              <w:t xml:space="preserve">0.645</w:t>
            </w:r>
          </w:p>
        </w:tc>
      </w:tr>
    </w:tbl>
    <w:p>
      <w:r>
        <w:rPr>
          <w:b w:val="false"/>
          <w:bCs w:val="false"/>
          <w:i w:val="false"/>
          <w:iCs w:val="false"/>
          <w:color w:val="000000"/>
        </w:rPr>
        <w:t xml:space="preserve">Additional full-pipeline status from the action plan should be reported when regenerated.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4E7"/>
          </w:tcPr>
          <w:p>
            <w:r>
              <w:rPr>
                <w:b/>
                <w:bCs/>
                <w:i w:val="false"/>
                <w:iCs w:val="false"/>
                <w:color w:val="000000"/>
              </w:rPr>
              <w:t xml:space="preserve">Status item</w:t>
            </w:r>
          </w:p>
        </w:tc>
        <w:tc>
          <w:tcPr>
            <w:shd w:fill="E4E4E7"/>
          </w:tcPr>
          <w:p>
            <w:r>
              <w:rPr>
                <w:b/>
                <w:bCs/>
                <w:i w:val="false"/>
                <w:iCs w:val="false"/>
                <w:color w:val="000000"/>
              </w:rPr>
              <w:t xml:space="preserve">Thesis meaning</w:t>
            </w:r>
          </w:p>
        </w:tc>
      </w:tr>
      <w:tr>
        <w:tc>
          <w:tcPr>
            <w:shd w:fill="E4E4E7"/>
          </w:tcPr>
          <w:p>
            <w:r>
              <w:rPr>
                <w:b w:val="false"/>
                <w:bCs w:val="false"/>
                <w:i w:val="false"/>
                <w:iCs w:val="false"/>
                <w:color w:val="000000"/>
              </w:rPr>
              <w:t xml:space="preserve">ClimateBERT real records</w:t>
            </w:r>
          </w:p>
        </w:tc>
        <w:tc>
          <w:tcPr>
            <w:shd w:fill="E4E4E7"/>
          </w:tcPr>
          <w:p>
            <w:r>
              <w:rPr>
                <w:b w:val="false"/>
                <w:bCs w:val="false"/>
                <w:i w:val="false"/>
                <w:iCs w:val="false"/>
                <w:color w:val="000000"/>
              </w:rPr>
              <w:t xml:space="preserve">Completeness of local/real ClimateBERT predictions</w:t>
            </w:r>
            <w:commentRangeEnd w:id="70"/>
            <w:commentReference w:id="70"/>
          </w:p>
        </w:tc>
      </w:tr>
      <w:tr>
        <w:tc>
          <w:tcPr>
            <w:shd w:fill="E4E4E7"/>
          </w:tcPr>
          <w:p>
            <w:r>
              <w:rPr>
                <w:b w:val="false"/>
                <w:bCs w:val="false"/>
                <w:i w:val="false"/>
                <w:iCs w:val="false"/>
                <w:color w:val="000000"/>
              </w:rPr>
              <w:t xml:space="preserve">Tone labels</w:t>
            </w:r>
          </w:p>
        </w:tc>
        <w:tc>
          <w:tcPr>
            <w:shd w:fill="E4E4E7"/>
          </w:tcPr>
          <w:p>
            <w:r>
              <w:rPr>
                <w:b w:val="false"/>
                <w:bCs w:val="false"/>
                <w:i w:val="false"/>
                <w:iCs w:val="false"/>
                <w:color w:val="000000"/>
              </w:rPr>
              <w:t xml:space="preserve">Completeness of tone annotation</w:t>
            </w:r>
          </w:p>
        </w:tc>
      </w:tr>
      <w:tr>
        <w:tc>
          <w:tcPr>
            <w:shd w:fill="E4E4E7"/>
          </w:tcPr>
          <w:p>
            <w:r>
              <w:rPr>
                <w:b w:val="false"/>
                <w:bCs w:val="false"/>
                <w:i w:val="false"/>
                <w:iCs w:val="false"/>
                <w:color w:val="000000"/>
              </w:rPr>
              <w:t xml:space="preserve">ESG labels</w:t>
            </w:r>
          </w:p>
        </w:tc>
        <w:tc>
          <w:tcPr>
            <w:shd w:fill="E4E4E7"/>
          </w:tcPr>
          <w:p>
            <w:r>
              <w:rPr>
                <w:b w:val="false"/>
                <w:bCs w:val="false"/>
                <w:i w:val="false"/>
                <w:iCs w:val="false"/>
                <w:color w:val="000000"/>
              </w:rPr>
              <w:t xml:space="preserve">Completeness of ESG-pillar annotation</w:t>
            </w:r>
          </w:p>
        </w:tc>
      </w:tr>
      <w:tr>
        <w:tc>
          <w:tcPr>
            <w:shd w:fill="E4E4E7"/>
          </w:tcPr>
          <w:p>
            <w:r>
              <w:rPr>
                <w:b w:val="false"/>
                <w:bCs w:val="false"/>
                <w:i w:val="false"/>
                <w:iCs w:val="false"/>
                <w:color w:val="000000"/>
              </w:rPr>
              <w:t xml:space="preserve">Aspect labels</w:t>
            </w:r>
          </w:p>
        </w:tc>
        <w:tc>
          <w:tcPr>
            <w:shd w:fill="E4E4E7"/>
          </w:tcPr>
          <w:p>
            <w:r>
              <w:rPr>
                <w:b w:val="false"/>
                <w:bCs w:val="false"/>
                <w:i w:val="false"/>
                <w:iCs w:val="false"/>
                <w:color w:val="000000"/>
              </w:rPr>
              <w:t xml:space="preserve">Completeness of aspect annotation</w:t>
            </w:r>
          </w:p>
        </w:tc>
      </w:tr>
      <w:tr>
        <w:tc>
          <w:tcPr>
            <w:shd w:fill="E4E4E7"/>
          </w:tcPr>
          <w:p>
            <w:r>
              <w:rPr>
                <w:b w:val="false"/>
                <w:bCs w:val="false"/>
                <w:i w:val="false"/>
                <w:iCs w:val="false"/>
                <w:color w:val="000000"/>
              </w:rPr>
              <w:t xml:space="preserve">OCR pages sampled</w:t>
            </w:r>
          </w:p>
        </w:tc>
        <w:tc>
          <w:tcPr>
            <w:shd w:fill="E4E4E7"/>
          </w:tcPr>
          <w:p>
            <w:r>
              <w:rPr>
                <w:b w:val="false"/>
                <w:bCs w:val="false"/>
                <w:i w:val="false"/>
                <w:iCs w:val="false"/>
                <w:color w:val="000000"/>
              </w:rPr>
              <w:t xml:space="preserve">OCR-quality validation coverage</w:t>
            </w:r>
            <w:commentRangeEnd w:id="72"/>
            <w:commentReference w:id="72"/>
          </w:p>
        </w:tc>
      </w:tr>
      <w:tr>
        <w:tc>
          <w:tcPr>
            <w:shd w:fill="E4E4E7"/>
          </w:tcPr>
          <w:p>
            <w:r>
              <w:rPr>
                <w:b w:val="false"/>
                <w:bCs w:val="false"/>
                <w:i w:val="false"/>
                <w:iCs w:val="false"/>
                <w:color w:val="000000"/>
              </w:rPr>
              <w:t xml:space="preserve">Models tested</w:t>
            </w:r>
          </w:p>
        </w:tc>
        <w:tc>
          <w:tcPr>
            <w:shd w:fill="E4E4E7"/>
          </w:tcPr>
          <w:p>
            <w:r>
              <w:rPr>
                <w:b w:val="false"/>
                <w:bCs w:val="false"/>
                <w:i w:val="false"/>
                <w:iCs w:val="false"/>
                <w:color w:val="000000"/>
              </w:rPr>
              <w:t xml:space="preserve">LLM model-comparison coverage</w:t>
            </w:r>
            <w:commentRangeEnd w:id="74"/>
            <w:commentReference w:id="74"/>
          </w:p>
        </w:tc>
      </w:tr>
    </w:tbl>
    <w:p>
      <w:pPr>
        <w:pStyle w:val="Heading2"/>
      </w:pPr>
    </w:p>
    <w:p>
      <w:pPr>
        <w:pStyle w:val="Heading2"/>
      </w:pPr>
      <w:r>
        <w:rPr>
          <w:b w:val="false"/>
          <w:bCs w:val="false"/>
          <w:i w:val="false"/>
          <w:iCs w:val="false"/>
          <w:color w:val="000000"/>
        </w:rPr>
        <w:t xml:space="preserve">3. Research Question to-Artifact Map</w:t>
      </w:r>
    </w:p>
    <w:p>
      <w:r>
        <w:rPr>
          <w:b w:val="false"/>
          <w:bCs w:val="false"/>
          <w:i w:val="false"/>
          <w:iCs w:val="false"/>
          <w:color w:val="000000"/>
        </w:rPr>
        <w:t xml:space="preserve">flowchart TD</w:t>
      </w:r>
    </w:p>
    <w:p>
      <w:r>
        <w:rPr>
          <w:b w:val="false"/>
          <w:bCs w:val="false"/>
          <w:i w:val="false"/>
          <w:iCs w:val="false"/>
          <w:color w:val="000000"/>
        </w:rPr>
        <w:t xml:space="preserve">    subgraph RQS["Research Questions"]</w:t>
      </w:r>
    </w:p>
    <w:p>
      <w:r>
        <w:rPr>
          <w:b w:val="false"/>
          <w:bCs w:val="false"/>
          <w:i w:val="false"/>
          <w:iCs w:val="false"/>
          <w:color w:val="000000"/>
        </w:rPr>
        <w:t xml:space="preserve">      RQ1["RQ1&lt;br/&gt;PDF to structured ESG evidence"]</w:t>
      </w:r>
    </w:p>
    <w:p>
      <w:r>
        <w:rPr>
          <w:b w:val="false"/>
          <w:bCs w:val="false"/>
          <w:i w:val="false"/>
          <w:iCs w:val="false"/>
          <w:color w:val="000000"/>
        </w:rPr>
        <w:t xml:space="preserve">      RQ2["RQ2&lt;br/&gt;aspect, ESG pillar, sentiment, and tone schema"]</w:t>
      </w:r>
    </w:p>
    <w:p>
      <w:r>
        <w:rPr>
          <w:b w:val="false"/>
          <w:bCs w:val="false"/>
          <w:i w:val="false"/>
          <w:iCs w:val="false"/>
          <w:color w:val="000000"/>
        </w:rPr>
        <w:t xml:space="preserve">      RQ3["RQ3&lt;br/&gt;</w:t>
      </w:r>
      <w:commentRangeStart w:id="71"/>
      <w:r>
        <w:rPr>
          <w:b w:val="false"/>
          <w:bCs w:val="false"/>
          <w:i w:val="false"/>
          <w:iCs w:val="false"/>
          <w:color w:val="000000"/>
        </w:rPr>
        <w:t xml:space="preserve">tone ABSA versus ClimateBERT</w:t>
      </w:r>
      <w:commentRangeEnd w:id="71"/>
      <w:commentReference w:id="71"/>
      <w:r>
        <w:rPr>
          <w:b w:val="false"/>
          <w:bCs w:val="false"/>
          <w:i w:val="false"/>
          <w:iCs w:val="false"/>
          <w:color w:val="000000"/>
        </w:rPr>
        <w:t xml:space="preserve">"]</w:t>
      </w:r>
    </w:p>
    <w:p>
      <w:r>
        <w:rPr>
          <w:b w:val="false"/>
          <w:bCs w:val="false"/>
          <w:i w:val="false"/>
          <w:iCs w:val="false"/>
          <w:color w:val="000000"/>
        </w:rPr>
        <w:t xml:space="preserve">      </w:t>
      </w:r>
      <w:commentRangeStart w:id="73"/>
      <w:r>
        <w:rPr>
          <w:b w:val="false"/>
          <w:bCs w:val="false"/>
          <w:i w:val="false"/>
          <w:iCs w:val="false"/>
          <w:color w:val="000000"/>
        </w:rPr>
        <w:t xml:space="preserve">RQ4["RQ4&lt;br/&gt;diagnostics, failure modes, ontology gaps"]</w:t>
      </w:r>
      <w:commentRangeEnd w:id="73"/>
      <w:commentReference w:id="73"/>
    </w:p>
    <w:p>
      <w:r>
        <w:rPr>
          <w:b w:val="false"/>
          <w:bCs w:val="false"/>
          <w:i w:val="false"/>
          <w:iCs w:val="false"/>
          <w:color w:val="000000"/>
        </w:rPr>
        <w:t xml:space="preserve">      </w:t>
      </w:r>
      <w:commentRangeStart w:id="75"/>
      <w:r>
        <w:rPr>
          <w:b w:val="false"/>
          <w:bCs w:val="false"/>
          <w:i w:val="false"/>
          <w:iCs w:val="false"/>
          <w:color w:val="000000"/>
        </w:rPr>
        <w:t xml:space="preserve">RQ5["RQ5&lt;br/&gt;reproducibility and auditability"]</w:t>
      </w:r>
      <w:commentRangeEnd w:id="75"/>
      <w:commentReference w:id="75"/>
    </w:p>
    <w:p>
      <w:r>
        <w:rPr>
          <w:b w:val="false"/>
          <w:bCs w:val="false"/>
          <w:i w:val="false"/>
          <w:iCs w:val="false"/>
          <w:color w:val="000000"/>
        </w:rPr>
        <w:t xml:space="preserve">      RQ6["RQ6&lt;br/&gt;model and prompt stability"]</w:t>
      </w:r>
    </w:p>
    <w:p>
      <w:r>
        <w:rPr>
          <w:b w:val="false"/>
          <w:bCs w:val="false"/>
          <w:i w:val="false"/>
          <w:iCs w:val="false"/>
          <w:color w:val="000000"/>
        </w:rPr>
        <w:t xml:space="preserve">    end</w:t>
      </w:r>
    </w:p>
    <w:p>
      <w:r>
        <w:rPr>
          <w:b w:val="false"/>
          <w:bCs w:val="false"/>
          <w:i w:val="false"/>
          <w:iCs w:val="false"/>
          <w:color w:val="000000"/>
        </w:rPr>
        <w:t xml:space="preserve">    subgraph ART["Primary Artifacts"]</w:t>
      </w:r>
    </w:p>
    <w:p>
      <w:r>
        <w:rPr>
          <w:b w:val="false"/>
          <w:bCs w:val="false"/>
          <w:i w:val="false"/>
          <w:iCs w:val="false"/>
          <w:color w:val="000000"/>
        </w:rPr>
        <w:t xml:space="preserve">OCR_SUM["ocr_processing_summary.csv&lt;br/&gt;document and page audit"]</w:t>
      </w:r>
    </w:p>
    <w:p>
      <w:r>
        <w:rPr>
          <w:b w:val="false"/>
          <w:bCs w:val="false"/>
          <w:i w:val="false"/>
          <w:iCs w:val="false"/>
          <w:color w:val="000000"/>
        </w:rPr>
        <w:t xml:space="preserve">TONE_FLAT["tone_records_flat.csv&lt;br/&gt;record-level ESG ABSA"]</w:t>
      </w:r>
    </w:p>
    <w:p>
      <w:r>
        <w:rPr>
          <w:b w:val="false"/>
          <w:bCs w:val="false"/>
          <w:i w:val="false"/>
          <w:iCs w:val="false"/>
          <w:color w:val="000000"/>
        </w:rPr>
        <w:t xml:space="preserve">TONE_ESG["tone_esg_crosstab.csv&lt;br/&gt;pillar by tone"]</w:t>
      </w:r>
    </w:p>
    <w:p>
      <w:r>
        <w:rPr>
          <w:b w:val="false"/>
          <w:bCs w:val="false"/>
          <w:i w:val="false"/>
          <w:iCs w:val="false"/>
          <w:color w:val="000000"/>
        </w:rPr>
        <w:t xml:space="preserve">TONE_CB["tone_climatebert_label_crosstab.csv&lt;br/&gt;tone by ClimateBERT label"]</w:t>
      </w:r>
    </w:p>
    <w:p>
      <w:r>
        <w:rPr>
          <w:b w:val="false"/>
          <w:bCs w:val="false"/>
          <w:i w:val="false"/>
          <w:iCs w:val="false"/>
          <w:color w:val="000000"/>
        </w:rPr>
        <w:t xml:space="preserve">FAIL["failure_mode_counts.csv&lt;br/&gt;diagnostic categories"]</w:t>
      </w:r>
    </w:p>
    <w:p>
      <w:r>
        <w:rPr>
          <w:b w:val="false"/>
          <w:bCs w:val="false"/>
          <w:i w:val="false"/>
          <w:iCs w:val="false"/>
          <w:color w:val="000000"/>
        </w:rPr>
        <w:t xml:space="preserve">ONTO["ontology_coverage.csv&lt;br/&gt;mapped and unmapped aspects"]</w:t>
      </w:r>
    </w:p>
    <w:p>
      <w:commentRangeStart w:id="60"/>
      <w:r>
        <w:rPr>
          <w:b w:val="false"/>
          <w:bCs w:val="false"/>
          <w:i w:val="false"/>
          <w:iCs w:val="false"/>
          <w:color w:val="000000"/>
        </w:rPr>
        <w:t xml:space="preserve">JOBS["background job folders&lt;br/&gt;config, status, events, logs"]</w:t>
      </w:r>
      <w:commentRangeEnd w:id="60"/>
      <w:commentReference w:id="60"/>
    </w:p>
    <w:p>
      <w:r>
        <w:rPr>
          <w:b w:val="false"/>
          <w:bCs w:val="false"/>
          <w:i w:val="false"/>
          <w:iCs w:val="false"/>
          <w:color w:val="000000"/>
        </w:rPr>
        <w:t xml:space="preserve">MODEL_STAB["model_stability_summary.csv&lt;br/&gt;provider and model metrics"]</w:t>
      </w:r>
    </w:p>
    <w:p>
      <w:r>
        <w:rPr>
          <w:b w:val="false"/>
          <w:bCs w:val="false"/>
          <w:i w:val="false"/>
          <w:iCs w:val="false"/>
          <w:color w:val="000000"/>
        </w:rPr>
        <w:t xml:space="preserve">PROMPT_STAB["prompt_stability_summary.csv&lt;br/&gt;prompt reliability"]</w:t>
      </w:r>
    </w:p>
    <w:p>
      <w:r>
        <w:rPr>
          <w:b w:val="false"/>
          <w:bCs w:val="false"/>
          <w:i w:val="false"/>
          <w:iCs w:val="false"/>
          <w:color w:val="000000"/>
        </w:rPr>
        <w:t xml:space="preserve">end</w:t>
      </w:r>
    </w:p>
    <w:p>
      <w:r>
        <w:rPr>
          <w:b w:val="false"/>
          <w:bCs w:val="false"/>
          <w:i w:val="false"/>
          <w:iCs w:val="false"/>
          <w:color w:val="000000"/>
        </w:rPr>
        <w:t xml:space="preserve">subgraph FIG["Figure Attachments"]</w:t>
      </w:r>
    </w:p>
    <w:p>
      <w:r>
        <w:rPr>
          <w:b w:val="false"/>
          <w:bCs w:val="false"/>
          <w:i w:val="false"/>
          <w:iCs w:val="false"/>
          <w:color w:val="000000"/>
        </w:rPr>
        <w:t xml:space="preserve">A1["A.1&lt;br/&gt;full tone distribution"]</w:t>
      </w:r>
    </w:p>
    <w:p>
      <w:r>
        <w:rPr>
          <w:b w:val="false"/>
          <w:bCs w:val="false"/>
          <w:i w:val="false"/>
          <w:iCs w:val="false"/>
          <w:color w:val="000000"/>
        </w:rPr>
        <w:t xml:space="preserve">A2["A.2&lt;br/&gt;full ESG by tone"]</w:t>
      </w:r>
    </w:p>
    <w:p>
      <w:r>
        <w:rPr>
          <w:b w:val="false"/>
          <w:bCs w:val="false"/>
          <w:i w:val="false"/>
          <w:iCs w:val="false"/>
          <w:color w:val="000000"/>
        </w:rPr>
        <w:t xml:space="preserve">A3["A.3&lt;br/&gt;aspect by tone heatmap"]</w:t>
      </w:r>
    </w:p>
    <w:p>
      <w:r>
        <w:rPr>
          <w:b w:val="false"/>
          <w:bCs w:val="false"/>
          <w:i w:val="false"/>
          <w:iCs w:val="false"/>
          <w:color w:val="000000"/>
        </w:rPr>
        <w:t xml:space="preserve">A4["A.4&lt;br/&gt;tone by ClimateBERT label"]</w:t>
      </w:r>
    </w:p>
    <w:p>
      <w:r>
        <w:rPr>
          <w:b w:val="false"/>
          <w:bCs w:val="false"/>
          <w:i w:val="false"/>
          <w:iCs w:val="false"/>
          <w:color w:val="000000"/>
        </w:rPr>
        <w:t xml:space="preserve">A10["A.10&lt;br/&gt;model parse success"]</w:t>
      </w:r>
    </w:p>
    <w:p>
      <w:r>
        <w:rPr>
          <w:b w:val="false"/>
          <w:bCs w:val="false"/>
          <w:i w:val="false"/>
          <w:iCs w:val="false"/>
          <w:color w:val="000000"/>
        </w:rPr>
        <w:t xml:space="preserve">A11["A.11&lt;br/&gt;prompt missing-tone benchmark"]</w:t>
      </w:r>
    </w:p>
    <w:p>
      <w:r>
        <w:rPr>
          <w:b w:val="false"/>
          <w:bCs w:val="false"/>
          <w:i w:val="false"/>
          <w:iCs w:val="false"/>
          <w:color w:val="000000"/>
        </w:rPr>
        <w:t xml:space="preserve">A12["A.12&lt;br/&gt;ontology mapped vs novel aspects"]</w:t>
      </w:r>
    </w:p>
    <w:p>
      <w:r>
        <w:rPr>
          <w:b w:val="false"/>
          <w:bCs w:val="false"/>
          <w:i w:val="false"/>
          <w:iCs w:val="false"/>
          <w:color w:val="000000"/>
        </w:rPr>
        <w:t xml:space="preserve">A30["A.30&lt;br/&gt;aspect co-occurrence"]</w:t>
      </w:r>
    </w:p>
    <w:p>
      <w:r>
        <w:rPr>
          <w:b w:val="false"/>
          <w:bCs w:val="false"/>
          <w:i w:val="false"/>
          <w:iCs w:val="false"/>
          <w:color w:val="000000"/>
        </w:rPr>
        <w:t xml:space="preserve">A31["A.31&lt;br/&gt;aspect network centrality"]</w:t>
      </w:r>
    </w:p>
    <w:p>
      <w:r>
        <w:rPr>
          <w:b w:val="false"/>
          <w:bCs w:val="false"/>
          <w:i w:val="false"/>
          <w:iCs w:val="false"/>
          <w:color w:val="000000"/>
        </w:rPr>
        <w:t xml:space="preserve">A36["A.36&lt;br/&gt;ontology coverage paths"]</w:t>
      </w:r>
    </w:p>
    <w:p>
      <w:r>
        <w:rPr>
          <w:b w:val="false"/>
          <w:bCs w:val="false"/>
          <w:i w:val="false"/>
          <w:iCs w:val="false"/>
          <w:color w:val="000000"/>
        </w:rPr>
        <w:t xml:space="preserve">end</w:t>
      </w:r>
    </w:p>
    <w:p>
      <w:r>
        <w:rPr>
          <w:b w:val="false"/>
          <w:bCs w:val="false"/>
          <w:i w:val="false"/>
          <w:iCs w:val="false"/>
          <w:color w:val="000000"/>
        </w:rPr>
        <w:t xml:space="preserve">RQ1 --&gt; OCR_SUM</w:t>
      </w:r>
    </w:p>
    <w:p>
      <w:r>
        <w:rPr>
          <w:b w:val="false"/>
          <w:bCs w:val="false"/>
          <w:i w:val="false"/>
          <w:iCs w:val="false"/>
          <w:color w:val="000000"/>
        </w:rPr>
        <w:t xml:space="preserve">RQ1 --&gt; TONE_FLAT</w:t>
      </w:r>
    </w:p>
    <w:p>
      <w:r>
        <w:rPr>
          <w:b w:val="false"/>
          <w:bCs w:val="false"/>
          <w:i w:val="false"/>
          <w:iCs w:val="false"/>
          <w:color w:val="000000"/>
        </w:rPr>
        <w:t xml:space="preserve">RQ2 --&gt; TONE_FLAT</w:t>
      </w:r>
    </w:p>
    <w:p>
      <w:r>
        <w:rPr>
          <w:b w:val="false"/>
          <w:bCs w:val="false"/>
          <w:i w:val="false"/>
          <w:iCs w:val="false"/>
          <w:color w:val="000000"/>
        </w:rPr>
        <w:t xml:space="preserve">RQ2 --&gt; TONE_ESG</w:t>
      </w:r>
    </w:p>
    <w:p>
      <w:r>
        <w:rPr>
          <w:b w:val="false"/>
          <w:bCs w:val="false"/>
          <w:i w:val="false"/>
          <w:iCs w:val="false"/>
          <w:color w:val="000000"/>
        </w:rPr>
        <w:t xml:space="preserve">RQ2 --&gt; A1</w:t>
      </w:r>
    </w:p>
    <w:p>
      <w:r>
        <w:rPr>
          <w:b w:val="false"/>
          <w:bCs w:val="false"/>
          <w:i w:val="false"/>
          <w:iCs w:val="false"/>
          <w:color w:val="000000"/>
        </w:rPr>
        <w:t xml:space="preserve">RQ2 --&gt; A2</w:t>
      </w:r>
    </w:p>
    <w:p>
      <w:r>
        <w:rPr>
          <w:b w:val="false"/>
          <w:bCs w:val="false"/>
          <w:i w:val="false"/>
          <w:iCs w:val="false"/>
          <w:color w:val="000000"/>
        </w:rPr>
        <w:t xml:space="preserve">RQ2 --&gt; A3</w:t>
      </w:r>
    </w:p>
    <w:p>
      <w:r>
        <w:rPr>
          <w:b w:val="false"/>
          <w:bCs w:val="false"/>
          <w:i w:val="false"/>
          <w:iCs w:val="false"/>
          <w:color w:val="000000"/>
        </w:rPr>
        <w:t xml:space="preserve">RQ3 --&gt; TONE_CB</w:t>
      </w:r>
    </w:p>
    <w:p>
      <w:r>
        <w:rPr>
          <w:b w:val="false"/>
          <w:bCs w:val="false"/>
          <w:i w:val="false"/>
          <w:iCs w:val="false"/>
          <w:color w:val="000000"/>
        </w:rPr>
        <w:t xml:space="preserve">RQ3 --&gt; A4</w:t>
      </w:r>
    </w:p>
    <w:p>
      <w:r>
        <w:rPr>
          <w:b w:val="false"/>
          <w:bCs w:val="false"/>
          <w:i w:val="false"/>
          <w:iCs w:val="false"/>
          <w:color w:val="000000"/>
        </w:rPr>
        <w:t xml:space="preserve">RQ4 --&gt; FAIL</w:t>
      </w:r>
    </w:p>
    <w:p>
      <w:r>
        <w:rPr>
          <w:b w:val="false"/>
          <w:bCs w:val="false"/>
          <w:i w:val="false"/>
          <w:iCs w:val="false"/>
          <w:color w:val="000000"/>
        </w:rPr>
        <w:t xml:space="preserve">RQ4 --&gt; ONTO</w:t>
      </w:r>
    </w:p>
    <w:p>
      <w:r>
        <w:rPr>
          <w:b w:val="false"/>
          <w:bCs w:val="false"/>
          <w:i w:val="false"/>
          <w:iCs w:val="false"/>
          <w:color w:val="000000"/>
        </w:rPr>
        <w:t xml:space="preserve">RQ4 --&gt; A12</w:t>
      </w:r>
    </w:p>
    <w:p>
      <w:r>
        <w:rPr>
          <w:b w:val="false"/>
          <w:bCs w:val="false"/>
          <w:i w:val="false"/>
          <w:iCs w:val="false"/>
          <w:color w:val="000000"/>
        </w:rPr>
        <w:t xml:space="preserve">RQ4 --&gt; A30</w:t>
      </w:r>
    </w:p>
    <w:p>
      <w:r>
        <w:rPr>
          <w:b w:val="false"/>
          <w:bCs w:val="false"/>
          <w:i w:val="false"/>
          <w:iCs w:val="false"/>
          <w:color w:val="000000"/>
        </w:rPr>
        <w:t xml:space="preserve">RQ4 --&gt; A31</w:t>
      </w:r>
    </w:p>
    <w:p>
      <w:r>
        <w:rPr>
          <w:b w:val="false"/>
          <w:bCs w:val="false"/>
          <w:i w:val="false"/>
          <w:iCs w:val="false"/>
          <w:color w:val="000000"/>
        </w:rPr>
        <w:t xml:space="preserve">RQ4 --&gt; A36</w:t>
      </w:r>
    </w:p>
    <w:p>
      <w:r>
        <w:rPr>
          <w:b w:val="false"/>
          <w:bCs w:val="false"/>
          <w:i w:val="false"/>
          <w:iCs w:val="false"/>
          <w:color w:val="000000"/>
        </w:rPr>
        <w:t xml:space="preserve">RQ5 --&gt; JOBS</w:t>
      </w:r>
    </w:p>
    <w:p>
      <w:r>
        <w:rPr>
          <w:b w:val="false"/>
          <w:bCs w:val="false"/>
          <w:i w:val="false"/>
          <w:iCs w:val="false"/>
          <w:color w:val="000000"/>
        </w:rPr>
        <w:t xml:space="preserve">RQ6 --&gt; MODEL_STAB</w:t>
      </w:r>
    </w:p>
    <w:p>
      <w:r>
        <w:rPr>
          <w:b w:val="false"/>
          <w:bCs w:val="false"/>
          <w:i w:val="false"/>
          <w:iCs w:val="false"/>
          <w:color w:val="000000"/>
        </w:rPr>
        <w:t xml:space="preserve">RQ6 --&gt; PROMPT_STAB</w:t>
      </w:r>
    </w:p>
    <w:p>
      <w:r>
        <w:rPr>
          <w:b w:val="false"/>
          <w:bCs w:val="false"/>
          <w:i w:val="false"/>
          <w:iCs w:val="false"/>
          <w:color w:val="000000"/>
        </w:rPr>
        <w:t xml:space="preserve">RQ6 --&gt; A10</w:t>
      </w:r>
    </w:p>
    <w:p>
      <w:r>
        <w:rPr>
          <w:b w:val="false"/>
          <w:bCs w:val="false"/>
          <w:i w:val="false"/>
          <w:iCs w:val="false"/>
          <w:color w:val="000000"/>
        </w:rPr>
        <w:t xml:space="preserve">RQ6 --&gt; A11</w:t>
      </w:r>
    </w:p>
    <w:p>
      <w:pPr>
        <w:pStyle w:val="Heading3"/>
      </w:pPr>
      <w:r>
        <w:rPr>
          <w:b w:val="false"/>
          <w:bCs w:val="false"/>
          <w:i w:val="false"/>
          <w:iCs w:val="false"/>
          <w:color w:val="000000"/>
        </w:rPr>
        <w:t xml:space="preserve">Rationale</w:t>
      </w:r>
    </w:p>
    <w:p>
      <w:r>
        <w:rPr>
          <w:b w:val="false"/>
          <w:bCs w:val="false"/>
          <w:i w:val="false"/>
          <w:iCs w:val="false"/>
          <w:color w:val="000000"/>
        </w:rPr>
        <w:t xml:space="preserve">The notes repeatedly connect each figure to a gap, research question, objective, contribution, benchmark, assessment, and explanation. </w:t>
      </w:r>
      <w:commentRangeStart w:id="61"/>
      <w:r>
        <w:rPr>
          <w:b w:val="false"/>
          <w:bCs w:val="false"/>
          <w:i w:val="false"/>
          <w:iCs w:val="false"/>
          <w:color w:val="000000"/>
        </w:rPr>
        <w:t xml:space="preserve">This diagram turns that logic into a compact artifact map.</w:t>
      </w:r>
      <w:commentRangeEnd w:id="61"/>
      <w:commentReference w:id="61"/>
      <w:r>
        <w:rPr>
          <w:b w:val="false"/>
          <w:bCs w:val="false"/>
          <w:i w:val="false"/>
          <w:iCs w:val="false"/>
          <w:color w:val="000000"/>
        </w:rPr>
        <w:t xml:space="preserve"> It also prevents a common thesis problem: presenting charts without showing which research question they answer.</w:t>
      </w:r>
    </w:p>
    <w:p>
      <w:commentRangeStart w:id="62"/>
      <w:r>
        <w:rPr>
          <w:b w:val="false"/>
          <w:bCs w:val="false"/>
          <w:i w:val="false"/>
          <w:iCs w:val="false"/>
          <w:color w:val="000000"/>
        </w:rPr>
        <w:t xml:space="preserve">For example:</w:t>
      </w:r>
      <w:commentRangeEnd w:id="62"/>
      <w:commentReference w:id="62"/>
    </w:p>
    <w:p>
      <w:pPr>
        <w:pStyle w:val="ListParagraph"/>
        <w:numPr>
          <w:ilvl w:val="0"/>
          <w:numId w:val="1"/>
        </w:numPr>
      </w:pPr>
      <w:r>
        <w:rPr>
          <w:b w:val="false"/>
          <w:bCs w:val="false"/>
          <w:i w:val="false"/>
          <w:iCs w:val="false"/>
          <w:color w:val="000000"/>
        </w:rPr>
        <w:t xml:space="preserve">A.1, A.2, and A.3 support RQ2 because they show that tone is not reducible to sentiment.</w:t>
      </w:r>
    </w:p>
    <w:p>
      <w:pPr>
        <w:pStyle w:val="ListParagraph"/>
        <w:numPr>
          <w:ilvl w:val="0"/>
          <w:numId w:val="1"/>
        </w:numPr>
      </w:pPr>
      <w:r>
        <w:rPr>
          <w:b w:val="false"/>
          <w:bCs w:val="false"/>
          <w:i w:val="false"/>
          <w:iCs w:val="false"/>
          <w:color w:val="000000"/>
        </w:rPr>
        <w:t xml:space="preserve">A.4 supports RQ3 because it reveals where ClimateBERT and the ESG tone taxonomy align or diverge.</w:t>
      </w:r>
    </w:p>
    <w:p>
      <w:pPr>
        <w:pStyle w:val="ListParagraph"/>
        <w:numPr>
          <w:ilvl w:val="0"/>
          <w:numId w:val="1"/>
        </w:numPr>
      </w:pPr>
      <w:r>
        <w:rPr>
          <w:b w:val="false"/>
          <w:bCs w:val="false"/>
          <w:i w:val="false"/>
          <w:iCs w:val="false"/>
          <w:color w:val="000000"/>
        </w:rPr>
        <w:t xml:space="preserve">A.30 and A.31 support RQ4 because they move aspect analysis beyond heatmaps into relationship and centrality analysis.</w:t>
      </w:r>
    </w:p>
    <w:p>
      <w:pPr>
        <w:pStyle w:val="ListParagraph"/>
        <w:numPr>
          <w:ilvl w:val="0"/>
          <w:numId w:val="1"/>
        </w:numPr>
      </w:pPr>
      <w:r>
        <w:rPr>
          <w:b w:val="false"/>
          <w:bCs w:val="false"/>
          <w:i w:val="false"/>
          <w:iCs w:val="false"/>
          <w:color w:val="000000"/>
        </w:rPr>
        <w:t xml:space="preserve">A.10 and A.11 support RQ6 because they quantify model and prompt stability.</w:t>
      </w:r>
    </w:p>
    <w:p>
      <w:r>
        <w:rPr>
          <w:b w:val="false"/>
          <w:bCs w:val="false"/>
          <w:i w:val="false"/>
          <w:iCs w:val="false"/>
          <w:color w:val="000000"/>
        </w:rPr>
        <w:t xml:space="preserve">This chapter presents the empirical findings generated by the ESG ABSA pipeline across six Indonesian sustainability reports. Results are organized by research question, proceeding from the foundational pipeline output (RQ1) through the tone and aspect annotation findings (RQ2), the cross-system comparison with ClimateBERT (RQ3), and concluding with the prompt and model stability evidence that anchors the reproducibility claims of later chapters. Each section reports both what the data shows and, where relevant, how performance compares against established benchmarks in the ABSA and ESG NLP literature.</w:t>
      </w:r>
    </w:p>
    <w:p>
      <w:pPr>
        <w:pStyle w:val="Heading2"/>
      </w:pPr>
      <w:r>
        <w:rPr>
          <w:b w:val="false"/>
          <w:bCs w:val="false"/>
          <w:i w:val="false"/>
          <w:iCs w:val="false"/>
          <w:color w:val="000000"/>
        </w:rPr>
        <w:t xml:space="preserve">4.1  Pipeline Coverage and Document Structure (RQ1)</w:t>
      </w:r>
    </w:p>
    <w:p>
      <w:r>
        <w:rPr>
          <w:b w:val="false"/>
          <w:bCs w:val="false"/>
          <w:i w:val="false"/>
          <w:iCs w:val="false"/>
          <w:color w:val="000000"/>
        </w:rPr>
        <w:t xml:space="preserve">The PDF-to-structured-ESG transformation pipeline processed </w:t>
      </w:r>
      <w:commentRangeStart w:id="63"/>
      <w:r>
        <w:rPr>
          <w:b w:val="false"/>
          <w:bCs w:val="false"/>
          <w:i w:val="false"/>
          <w:iCs w:val="false"/>
          <w:color w:val="000000"/>
        </w:rPr>
        <w:t xml:space="preserve">16 Indonesian sustainability report files</w:t>
      </w:r>
      <w:commentRangeEnd w:id="63"/>
      <w:commentReference w:id="63"/>
      <w:r>
        <w:rPr>
          <w:b w:val="false"/>
          <w:bCs w:val="false"/>
          <w:i w:val="false"/>
          <w:iCs w:val="false"/>
          <w:color w:val="000000"/>
        </w:rPr>
        <w:t xml:space="preserve"> across six companies, producing 332 tone records, </w:t>
      </w:r>
      <w:commentRangeStart w:id="69"/>
      <w:r>
        <w:rPr>
          <w:b w:val="false"/>
          <w:bCs w:val="false"/>
          <w:i w:val="false"/>
          <w:iCs w:val="false"/>
          <w:color w:val="000000"/>
        </w:rPr>
        <w:t xml:space="preserve">5,444 silver-dataset rows</w:t>
      </w:r>
      <w:commentRangeEnd w:id="69"/>
      <w:commentReference w:id="69"/>
      <w:r>
        <w:rPr>
          <w:b w:val="false"/>
          <w:bCs w:val="false"/>
          <w:i w:val="false"/>
          <w:iCs w:val="false"/>
          <w:color w:val="000000"/>
        </w:rPr>
        <w:t xml:space="preserve">, and </w:t>
      </w:r>
      <w:commentRangeStart w:id="68"/>
      <w:r>
        <w:rPr>
          <w:b w:val="false"/>
          <w:bCs w:val="false"/>
          <w:i w:val="false"/>
          <w:iCs w:val="false"/>
          <w:color w:val="000000"/>
        </w:rPr>
        <w:t xml:space="preserve">1,104 structured artefacts</w:t>
      </w:r>
      <w:commentRangeEnd w:id="68"/>
      <w:commentReference w:id="68"/>
      <w:r>
        <w:rPr>
          <w:b w:val="false"/>
          <w:bCs w:val="false"/>
          <w:i w:val="false"/>
          <w:iCs w:val="false"/>
          <w:color w:val="000000"/>
        </w:rPr>
        <w:t xml:space="preserve">. The scaffold completeness rate exceeded 99.9% across all extraction fields: tone predictions were non-empty for 5,442 of 5,444 rows (99.96%), ESG pillar assignments for 5,436 rows (99.85%), and aspect labels for 5,441 rows (99.94%). Against the </w:t>
      </w:r>
      <w:commentRangeStart w:id="64"/>
      <w:r>
        <w:rPr>
          <w:b w:val="false"/>
          <w:bCs w:val="false"/>
          <w:i w:val="false"/>
          <w:iCs w:val="false"/>
          <w:color w:val="000000"/>
        </w:rPr>
        <w:t xml:space="preserve">production-quality NLP threshold of 95% field completeness</w:t>
      </w:r>
      <w:commentRangeEnd w:id="64"/>
      <w:commentReference w:id="64"/>
      <w:sdt>
        <w:sdtPr>
          <w:tag w:val="CITATION WeberL19"/>
          <w:id w:val="145223068"/>
          <w:citation/>
        </w:sdtPr>
        <w:sdtContent>
          <w:r>
            <w:fldChar w:fldCharType="begin"/>
          </w:r>
          <w:r>
            <w:instrText xml:space="preserve"> CITATION WeberL19 \p 299 \l 1033 </w:instrText>
          </w:r>
          <w:r>
            <w:fldChar w:fldCharType="separate"/>
          </w:r>
          <w:r>
            <w:rPr>
              <w:noProof/>
            </w:rPr>
            <w:t xml:space="preserve">(Weber et al., 2019)</w:t>
          </w:r>
          <w:r>
            <w:fldChar w:fldCharType="end"/>
          </w:r>
        </w:sdtContent>
      </w:sdt>
      <w:r>
        <w:rPr>
          <w:b w:val="false"/>
          <w:bCs w:val="false"/>
          <w:i w:val="false"/>
          <w:iCs w:val="false"/>
          <w:color w:val="000000"/>
        </w:rPr>
        <w:t xml:space="preserve">, these rates constitute the strongest outperformance finding in the pipeline evaluation (Figure A.17).</w:t>
      </w:r>
    </w:p>
    <w:p>
      <w:r>
        <w:rPr>
          <w:b w:val="false"/>
          <w:bCs w:val="false"/>
          <w:i/>
          <w:iCs/>
          <w:color w:val="000000"/>
        </w:rPr>
        <w:t xml:space="preserve">[Figure A.17: Ground truth scaffold coverage]</w:t>
      </w:r>
    </w:p>
    <w:p>
      <w:r>
        <w:rPr>
          <w:b w:val="false"/>
          <w:bCs w:val="false"/>
          <w:i w:val="false"/>
          <w:iCs w:val="false"/>
          <w:color w:val="000000"/>
        </w:rPr>
        <w:t xml:space="preserve">The PDF-by-prompt coverage matrix (Figure A.21) reveals, however, that record volume is highly unequal across source documents. Alfamart's sustainability report contributes 1,444 records while Indonet contributes only 60, a ratio of approximately 24:1. </w:t>
      </w:r>
    </w:p>
    <w:p>
      <w:commentRangeStart w:id="65"/>
      <w:r>
        <w:rPr>
          <w:b w:val="false"/>
          <w:bCs w:val="false"/>
          <w:i w:val="false"/>
          <w:iCs w:val="false"/>
          <w:color w:val="000000"/>
        </w:rPr>
        <w:t xml:space="preserve">This degree of concentration — well above the 50% coefficient of variation threshold for cross-entity comparability — means that corpus-level statistics are weighted toward a small number of high-coverage documents. This is an important caveat for interpreting the distributions reported in the remainder of this chapter; they reflect the aggregate of an unequal corpus, not a balanced sample of Indonesian ESG disclosure practice.</w:t>
      </w:r>
      <w:commentRangeEnd w:id="65"/>
      <w:commentReference w:id="65"/>
    </w:p>
    <w:p>
      <w:r>
        <w:rPr>
          <w:b w:val="false"/>
          <w:bCs w:val="false"/>
          <w:i/>
          <w:iCs/>
          <w:color w:val="000000"/>
        </w:rPr>
        <w:t xml:space="preserve">[Figure A.21: PDF x Prompt coverage matrix]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4E4E7"/>
          </w:tcPr>
          <w:p>
            <w:r>
              <w:rPr>
                <w:b w:val="false"/>
                <w:bCs w:val="false"/>
                <w:i/>
                <w:iCs/>
                <w:color w:val="000000"/>
              </w:rPr>
              <w:t xml:space="preserve">Benchmark note (A.17): Field completeness exceeds the 99% 'excellent' threshold across all three core fields, validating that the extraction pipeline operates reliably on the available corpus. This is one of the clearest positive findings in the empirical evaluation.</w:t>
            </w:r>
          </w:p>
        </w:tc>
      </w:tr>
      <w:tr>
        <w:tc>
          <w:tcPr>
            <w:shd w:fill="E4E4E7"/>
          </w:tcPr>
          <w:p>
            <w:r>
              <w:rPr>
                <w:b w:val="false"/>
                <w:bCs w:val="false"/>
                <w:i/>
                <w:iCs/>
                <w:color w:val="000000"/>
              </w:rPr>
              <w:t xml:space="preserve">Limitation (RQ1 – OCR quality): The pipeline evaluation required by Objective 1 includes character error rate (CER) and word error rate (WER) measurements on a sample of 60–100 document pages. These measurements were not completed in the current study (0 of 100 target pages were sampled). Accordingly, </w:t>
            </w:r>
            <w:r>
              <w:rPr>
                <w:b w:val="false"/>
                <w:bCs w:val="false"/>
                <w:i/>
                <w:iCs/>
                <w:color w:val="000000"/>
              </w:rPr>
              <w:t xml:space="preserve">claims about OCR quality are based on the high field completeness proxy rather than direct CER/WER measurement</w:t>
            </w:r>
            <w:commentRangeEnd w:id="66"/>
            <w:commentReference w:id="66"/>
            <w:r>
              <w:rPr>
                <w:b w:val="false"/>
                <w:bCs w:val="false"/>
                <w:i/>
                <w:iCs/>
                <w:color w:val="000000"/>
              </w:rPr>
              <w:t xml:space="preserve">. The pipeline should be understood as a proof-of-concept transformation stage whose OCR accuracy has been validated structurally but not metrically. Direct OCR benchmarking remains as a recommended extension of this work.</w:t>
            </w:r>
          </w:p>
        </w:tc>
      </w:tr>
    </w:tbl>
    <w:p>
      <w:pPr>
        <w:pStyle w:val="Heading2"/>
      </w:pPr>
      <w:r>
        <w:rPr>
          <w:b w:val="false"/>
          <w:bCs w:val="false"/>
          <w:i w:val="false"/>
          <w:iCs w:val="false"/>
          <w:color w:val="000000"/>
        </w:rPr>
        <w:t xml:space="preserve">4.2  Tone Distribution and ESG Pillar Cross-Tabulation (RQ2)</w:t>
      </w:r>
    </w:p>
    <w:p>
      <w:pPr>
        <w:pStyle w:val="Heading3"/>
      </w:pPr>
      <w:r>
        <w:rPr>
          <w:b w:val="false"/>
          <w:bCs w:val="false"/>
          <w:i w:val="false"/>
          <w:iCs w:val="false"/>
          <w:color w:val="000000"/>
        </w:rPr>
        <w:t xml:space="preserve">4.2.1  Full Tone Distribution</w:t>
      </w:r>
    </w:p>
    <w:p>
      <w:commentRangeStart w:id="67"/>
      <w:r>
        <w:rPr>
          <w:b w:val="false"/>
          <w:bCs w:val="false"/>
          <w:i w:val="false"/>
          <w:iCs w:val="false"/>
          <w:color w:val="000000"/>
        </w:rPr>
        <w:t xml:space="preserve">Across the full 3,444-record corpus, the tone distribution is distributed as follows: none (1,929 records, 56.0%), action (1,347, 39.1%), outcome (1,141, 33.1%), commitment (1,020, 29.6%), and unknown (7, 0.2%).</w:t>
      </w:r>
      <w:commentRangeEnd w:id="67"/>
      <w:commentReference w:id="67"/>
      <w:r>
        <w:rPr>
          <w:b w:val="false"/>
          <w:bCs w:val="false"/>
          <w:i w:val="false"/>
          <w:iCs w:val="false"/>
          <w:color w:val="000000"/>
        </w:rPr>
        <w:t xml:space="preserve"> The seven unknown records indicate near-complete schema coverage. The dominant category is none, representing more than half of all classified records (Figure A.1).</w:t>
      </w:r>
    </w:p>
    <w:p>
      <w:r>
        <w:rPr>
          <w:b w:val="false"/>
          <w:bCs w:val="false"/>
          <w:i/>
          <w:iCs/>
          <w:color w:val="000000"/>
        </w:rPr>
        <w:t xml:space="preserve">[Figure A.1: Full tone distribution]</w:t>
      </w:r>
    </w:p>
    <w:p>
      <w:r>
        <w:rPr>
          <w:b w:val="false"/>
          <w:bCs w:val="false"/>
          <w:i w:val="false"/>
          <w:iCs w:val="false"/>
          <w:color w:val="000000"/>
        </w:rPr>
        <w:t xml:space="preserve">The prevalence of the none category — descriptive, non-performative language — deserves substantive interpretation rather than dismissal as a pipeline artefact. Two explanations are plausible. First, a calibration artefact: the classifier may be defaulting to the none category when uncertain rather than committing to a tone label. Second, a genuine corpus property: Indonesian sustainability reports in this sample may be structurally more descriptive than substantive, presenting contextual and background narrative more frequently than action pledges or outcome disclosures. Against the benchmark from supervised ABSA literature, where neutral class typically represents 30–40% of well-curated corpora, the 56% none rate does exceed expectation. However, </w:t>
      </w:r>
      <w:commentRangeStart w:id="77"/>
      <w:r>
        <w:rPr>
          <w:b w:val="false"/>
          <w:bCs w:val="false"/>
          <w:i w:val="false"/>
          <w:iCs w:val="false"/>
          <w:color w:val="000000"/>
        </w:rPr>
        <w:t xml:space="preserve">the detailed narrative disclosure required by OJK regulations for governance structures, board oversight mechanisms, and compliance frameworks</w:t>
      </w:r>
      <w:commentRangeEnd w:id="77"/>
      <w:commentReference w:id="77"/>
      <w:sdt>
        <w:sdtPr>
          <w:tag w:val="CITATION LanshinaT17"/>
          <w:id w:val="927676087"/>
          <w:citation/>
        </w:sdtPr>
        <w:sdtContent>
          <w:r>
            <w:fldChar w:fldCharType="begin"/>
          </w:r>
          <w:r>
            <w:instrText xml:space="preserve"> CITATION LanshinaT17 \p 148 \l 1033 </w:instrText>
          </w:r>
          <w:r>
            <w:fldChar w:fldCharType="separate"/>
          </w:r>
          <w:r>
            <w:rPr>
              <w:noProof/>
            </w:rPr>
            <w:t xml:space="preserve">(Lanshina, 2017)</w:t>
          </w:r>
          <w:r>
            <w:fldChar w:fldCharType="end"/>
          </w:r>
        </w:sdtContent>
      </w:sdt>
      <w:r>
        <w:rPr>
          <w:b w:val="false"/>
          <w:bCs w:val="false"/>
          <w:i w:val="false"/>
          <w:iCs w:val="false"/>
          <w:color w:val="000000"/>
        </w:rPr>
        <w:t xml:space="preserve">,</w:t>
      </w:r>
      <w:sdt>
        <w:sdtPr>
          <w:tag w:val="CITATION RazookC16"/>
          <w:id w:val="99823918"/>
          <w:citation/>
        </w:sdtPr>
        <w:sdtContent>
          <w:r>
            <w:fldChar w:fldCharType="begin"/>
          </w:r>
          <w:r>
            <w:instrText xml:space="preserve"> CITATION RazookC16 \l 1033 </w:instrText>
          </w:r>
          <w:r>
            <w:fldChar w:fldCharType="separate"/>
          </w:r>
          <w:r>
            <w:rPr>
              <w:noProof/>
            </w:rPr>
            <w:t xml:space="preserve">(Razook &amp; Savas, 2016)</w:t>
          </w:r>
          <w:r>
            <w:fldChar w:fldCharType="end"/>
          </w:r>
        </w:sdtContent>
      </w:sdt>
      <w:r>
        <w:rPr>
          <w:b w:val="false"/>
          <w:bCs w:val="false"/>
          <w:i w:val="false"/>
          <w:iCs w:val="false"/>
          <w:color w:val="000000"/>
        </w:rPr>
        <w:t xml:space="preserve"> means that OJK-compliance sections and background narrative may constitute a larger-than-average proportion of report length — making the second explanation at least partially credible. </w:t>
      </w:r>
      <w:commentRangeStart w:id="76"/>
      <w:r>
        <w:rPr>
          <w:b w:val="false"/>
          <w:bCs w:val="false"/>
          <w:i w:val="false"/>
          <w:iCs w:val="false"/>
          <w:color w:val="000000"/>
        </w:rPr>
        <w:t xml:space="preserve">The resolution of this question requires comparison against human-annotated gold-standard records, which this study has not yet completed.</w:t>
      </w:r>
      <w:commentRangeEnd w:id="76"/>
      <w:commentReference w:id="76"/>
      <w:r>
        <w:rPr>
          <w:b w:val="false"/>
          <w:bCs w:val="false"/>
          <w:i w:val="false"/>
          <w:iCs w:val="false"/>
          <w:color w:val="000000"/>
        </w:rPr>
        <w:t xml:space="preserve"> The finding is therefore reported as a hypothesis-generating result rather than a definitive characterisation of Indonesian ESG disclosure.</w:t>
      </w:r>
    </w:p>
    <w:p>
      <w:pPr>
        <w:pStyle w:val="Heading3"/>
      </w:pPr>
      <w:r>
        <w:rPr>
          <w:b w:val="false"/>
          <w:bCs w:val="false"/>
          <w:i w:val="false"/>
          <w:iCs w:val="false"/>
          <w:color w:val="000000"/>
        </w:rPr>
        <w:t xml:space="preserve">4.2.2  ESG Pillar by Tone</w:t>
      </w:r>
    </w:p>
    <w:p>
      <w:r>
        <w:rPr>
          <w:b w:val="false"/>
          <w:bCs w:val="false"/>
          <w:i w:val="false"/>
          <w:iCs w:val="false"/>
          <w:color w:val="000000"/>
        </w:rPr>
        <w:t xml:space="preserve">Cross-tabulating ESG pillar against tone category reveals that the Governance pillar carries the highest tone density across most tone rows (Figure A.2). </w:t>
      </w:r>
      <w:commentRangeStart w:id="78"/>
      <w:r>
        <w:rPr>
          <w:b w:val="false"/>
          <w:bCs w:val="false"/>
          <w:i w:val="false"/>
          <w:iCs w:val="false"/>
          <w:color w:val="000000"/>
        </w:rPr>
        <w:t xml:space="preserve">This finding inverts the pattern observed in English-language ESG corpora, where Governance tends toward outcome-oriented compliance reporting</w:t>
      </w:r>
      <w:commentRangeEnd w:id="78"/>
      <w:commentReference w:id="78"/>
      <w:sdt>
        <w:sdtPr>
          <w:tag w:val="CITATION CaroGonzlezA23"/>
          <w:id w:val="2113807448"/>
          <w:citation/>
        </w:sdtPr>
        <w:sdtContent>
          <w:r>
            <w:fldChar w:fldCharType="begin"/>
          </w:r>
          <w:r>
            <w:instrText xml:space="preserve"> CITATION CaroGonzlezA23 \p 92 \l 1033 </w:instrText>
          </w:r>
          <w:r>
            <w:fldChar w:fldCharType="separate"/>
          </w:r>
          <w:r>
            <w:rPr>
              <w:noProof/>
            </w:rPr>
            <w:t xml:space="preserve">(Caro-González, 2023)</w:t>
          </w:r>
          <w:r>
            <w:fldChar w:fldCharType="end"/>
          </w:r>
        </w:sdtContent>
      </w:sdt>
      <w:r>
        <w:rPr>
          <w:b w:val="false"/>
          <w:bCs w:val="false"/>
          <w:i w:val="false"/>
          <w:iCs w:val="false"/>
          <w:color w:val="000000"/>
        </w:rPr>
        <w:t xml:space="preserve">.</w:t>
      </w:r>
    </w:p>
    <w:p>
      <w:r>
        <w:rPr>
          <w:b w:val="false"/>
          <w:bCs w:val="false"/>
          <w:i/>
          <w:iCs/>
          <w:color w:val="000000"/>
        </w:rPr>
        <w:t xml:space="preserve">[Figure A.2: Full ESG by tone]</w:t>
      </w:r>
    </w:p>
    <w:p>
      <w:r>
        <w:rPr>
          <w:b w:val="false"/>
          <w:bCs w:val="false"/>
          <w:i w:val="false"/>
          <w:iCs w:val="false"/>
          <w:color w:val="000000"/>
        </w:rPr>
        <w:t xml:space="preserve">The Indonesian context provides a plausible explanation. The Otoritas Jasa Keuangan (OJK) sustainability reporting regulations require detailed narrative disclosure of governance structures, board oversight mechanisms, and compliance frameworks</w:t>
      </w:r>
      <w:sdt>
        <w:sdtPr>
          <w:tag w:val="CITATION WantaD21"/>
          <w:id w:val="922528889"/>
          <w:citation/>
        </w:sdtPr>
        <w:sdtContent>
          <w:r>
            <w:fldChar w:fldCharType="begin"/>
          </w:r>
          <w:r>
            <w:instrText xml:space="preserve"> CITATION WantaD21 \p 99 \l 1033 </w:instrText>
          </w:r>
          <w:r>
            <w:fldChar w:fldCharType="separate"/>
          </w:r>
          <w:r>
            <w:rPr>
              <w:noProof/>
            </w:rPr>
            <w:t xml:space="preserve">(Wanta &amp; Gunawan, 2021)</w:t>
          </w:r>
          <w:r>
            <w:fldChar w:fldCharType="end"/>
          </w:r>
        </w:sdtContent>
      </w:sdt>
      <w:r>
        <w:rPr>
          <w:b w:val="false"/>
          <w:bCs w:val="false"/>
          <w:i w:val="false"/>
          <w:iCs w:val="false"/>
          <w:color w:val="000000"/>
        </w:rPr>
        <w:t xml:space="preserve">. These mandatory disclosures generate tonally-labelled sentences in higher volume than comparably regulated environmental or social sections. The dominance of Governance tone density is therefore not a pipeline artefact but a domain-specific finding reflecting the regulatory environment of Indonesian listed companies. </w:t>
      </w:r>
      <w:commentRangeStart w:id="79"/>
      <w:r>
        <w:rPr>
          <w:b w:val="false"/>
          <w:bCs w:val="false"/>
          <w:i w:val="false"/>
          <w:iCs w:val="false"/>
          <w:color w:val="000000"/>
        </w:rPr>
        <w:t xml:space="preserve">Conversely, the relative under-representation of Social Pillar records across tone categories suggests possible extraction bias, where the pipeline may be assigning fewer aspect labels to social-content passages.</w:t>
      </w:r>
      <w:commentRangeEnd w:id="79"/>
      <w:commentReference w:id="79"/>
      <w:r>
        <w:rPr>
          <w:b w:val="false"/>
          <w:bCs w:val="false"/>
          <w:i w:val="false"/>
          <w:iCs w:val="false"/>
          <w:color w:val="000000"/>
        </w:rPr>
        <w:t xml:space="preserve"> This is flagged as a diagnostic concern in Chapter 5.</w:t>
      </w:r>
    </w:p>
    <w:p>
      <w:pPr>
        <w:pStyle w:val="Heading3"/>
      </w:pPr>
      <w:r>
        <w:rPr>
          <w:b w:val="false"/>
          <w:bCs w:val="false"/>
          <w:i w:val="false"/>
          <w:iCs w:val="false"/>
          <w:color w:val="000000"/>
        </w:rPr>
        <w:t xml:space="preserve">4.2.3  Aspect-Tone Heatmap</w:t>
      </w:r>
    </w:p>
    <w:p>
      <w:r>
        <w:rPr>
          <w:b w:val="false"/>
          <w:bCs w:val="false"/>
          <w:i w:val="false"/>
          <w:iCs w:val="false"/>
          <w:color w:val="000000"/>
        </w:rPr>
        <w:t xml:space="preserve">The aspect-tone heatmap (Figure A.3) reveals that several aspects carry near-deterministic tone signatures — a key validation of the three-tier commitment/action/outcome taxonomy proposed in Contribution 3. The most striking associations are: komitmen keberlanjutan at 97% commitment-toned (70 of 72 records), kinerja ESG at 91% outcome-toned (60 of 66 records), and praktik bisnis ramah lingkungan at 51% action-toned (71 of 140 records). The first two aspects strongly outperform the third.</w:t>
      </w:r>
    </w:p>
    <w:p>
      <w:r>
        <w:rPr>
          <w:b w:val="false"/>
          <w:bCs w:val="false"/>
          <w:i/>
          <w:iCs/>
          <w:color w:val="000000"/>
        </w:rPr>
        <w:t xml:space="preserve">[Figure A.3: Full aspect by tone heatmap]</w:t>
      </w:r>
    </w:p>
    <w:p>
      <w:r>
        <w:rPr>
          <w:b w:val="false"/>
          <w:bCs w:val="false"/>
          <w:i w:val="false"/>
          <w:iCs w:val="false"/>
          <w:color w:val="000000"/>
        </w:rPr>
        <w:t xml:space="preserve">These patterns are semantically coherent: sustainability commitment language is prospective by definition and correctly attracts the commitment label; ESG performance language reports backward-looking results and correctly attracts the outcome label; environmentally friendly business practice language describes ongoing activities and correctly attracts the action label. The pipeline does not generate these associations randomly — they reflect genuine lexical properties of the text. Aspects with near-equal tone splits are the diagnostic concern: these represent cases where the pipeline's lexical triggers are insufficient for confident classification, either because the language is genuinely ambiguous or because the trigger vocabulary is incomplete. These mixed-signal aspects are priority targets for the lexical trigger refinement proposed in Contribution 6.</w:t>
      </w:r>
    </w:p>
    <w:p>
      <w:commentRangeStart w:id="80"/>
      <w:r>
        <w:rPr>
          <w:b w:val="false"/>
          <w:bCs w:val="false"/>
          <w:i w:val="false"/>
          <w:iCs w:val="false"/>
          <w:color w:val="000000"/>
        </w:rPr>
        <w:t xml:space="preserve">The heatmap also carries a greenwashing-detection implication. Anti-corruption aspects show high commitment rates with near-zero outcome records — a commitment-to-outcome asymmetry that is a structural red flag for selective disclosure.</w:t>
      </w:r>
      <w:commentRangeEnd w:id="80"/>
      <w:commentReference w:id="80"/>
      <w:r>
        <w:rPr>
          <w:b w:val="false"/>
          <w:bCs w:val="false"/>
          <w:i w:val="false"/>
          <w:iCs w:val="false"/>
          <w:color w:val="000000"/>
        </w:rPr>
        <w:t xml:space="preserve"> Chapter 6 revisits this pattern in its discussion of greenwashing signals.</w:t>
      </w:r>
    </w:p>
    <w:p>
      <w:pPr>
        <w:pStyle w:val="Heading2"/>
      </w:pPr>
      <w:r>
        <w:rPr>
          <w:b w:val="false"/>
          <w:bCs w:val="false"/>
          <w:i w:val="false"/>
          <w:iCs w:val="false"/>
          <w:color w:val="000000"/>
        </w:rPr>
        <w:t xml:space="preserve">4.3  Ground Truth Comparison: T1 and T2 Pipeline Outputs (RQ2)</w:t>
      </w:r>
    </w:p>
    <w:p>
      <w:pPr>
        <w:pStyle w:val="Heading3"/>
      </w:pPr>
      <w:r>
        <w:rPr>
          <w:b w:val="false"/>
          <w:bCs w:val="false"/>
          <w:i w:val="false"/>
          <w:iCs w:val="false"/>
          <w:color w:val="000000"/>
        </w:rPr>
        <w:t xml:space="preserve">4.3.1  T1 ClimateBERT Classification on Ground Truth Records</w:t>
      </w:r>
    </w:p>
    <w:p>
      <w:commentRangeStart w:id="81"/>
      <w:r>
        <w:rPr>
          <w:b w:val="false"/>
          <w:bCs w:val="false"/>
          <w:i w:val="false"/>
          <w:iCs w:val="false"/>
          <w:color w:val="000000"/>
        </w:rPr>
        <w:t xml:space="preserve">When the local ClimateBERT model was applied to the 136,091 ground-truth candidate records in the T1 stage, 52,990 records (38.9%) produced failures — no output was returned.</w:t>
      </w:r>
      <w:commentRangeEnd w:id="81"/>
      <w:commentReference w:id="81"/>
      <w:commentRangeStart w:id="83"/>
      <w:r>
        <w:rPr>
          <w:b w:val="false"/>
          <w:bCs w:val="false"/>
          <w:i w:val="false"/>
          <w:iCs w:val="false"/>
          <w:color w:val="000000"/>
        </w:rPr>
        <w:t xml:space="preserve"> Among the records that did return outputs (Figure A.22, A.23), the prediction label distribution is dominated by missing (43,846, 32%) followed by LABEL_0 (18,829) and LABEL_1 (12,576).</w:t>
      </w:r>
      <w:commentRangeEnd w:id="83"/>
      <w:commentReference w:id="83"/>
      <w:r>
        <w:rPr>
          <w:b w:val="false"/>
          <w:bCs w:val="false"/>
          <w:i w:val="false"/>
          <w:iCs w:val="false"/>
          <w:color w:val="000000"/>
        </w:rPr>
        <w:t xml:space="preserve"> </w:t>
      </w:r>
      <w:commentRangeStart w:id="82"/>
      <w:r>
        <w:rPr>
          <w:b w:val="false"/>
          <w:bCs w:val="false"/>
          <w:i w:val="false"/>
          <w:iCs w:val="false"/>
          <w:color w:val="000000"/>
        </w:rPr>
        <w:t xml:space="preserve">The semantic mapping of LABEL_0 and LABEL_1 to substantive ESG categories was not resolved during the current evaluation, rendering these outputs effectively opaque for downstream ABSA use.</w:t>
      </w:r>
      <w:commentRangeEnd w:id="82"/>
      <w:commentReference w:id="82"/>
    </w:p>
    <w:p>
      <w:r>
        <w:rPr>
          <w:b w:val="false"/>
          <w:bCs w:val="false"/>
          <w:i/>
          <w:iCs/>
          <w:color w:val="000000"/>
        </w:rPr>
        <w:t xml:space="preserve">[Figure A.22: ground_truth.py T1 status]</w:t>
      </w:r>
    </w:p>
    <w:p>
      <w:r>
        <w:rPr>
          <w:b w:val="false"/>
          <w:bCs w:val="false"/>
          <w:i/>
          <w:iCs/>
          <w:color w:val="000000"/>
        </w:rPr>
        <w:t xml:space="preserve">[Figure A.23: ground_truth.py T1 prediction labels]</w:t>
      </w:r>
    </w:p>
    <w:p>
      <w:r>
        <w:rPr>
          <w:b w:val="false"/>
          <w:bCs w:val="false"/>
          <w:i w:val="false"/>
          <w:iCs w:val="false"/>
          <w:color w:val="000000"/>
        </w:rPr>
        <w:t xml:space="preserve">The 38.9% failure rate —  reflects an expected domain mismatch: the ClimateBERT model was trained on English climate policy texts and encounters Indonesian/bilingual sustainability report language that is substantially outside its training distribution. This failure rate is not incidental to the thesis's argument; it is foundational to it. It quantifies the domain gap that motivates Contribution 4's ontology extension and Contribution 5's cross-model validation framework. </w:t>
      </w:r>
      <w:commentRangeStart w:id="84"/>
      <w:r>
        <w:rPr>
          <w:b w:val="false"/>
          <w:bCs w:val="false"/>
          <w:i w:val="false"/>
          <w:iCs w:val="false"/>
          <w:color w:val="000000"/>
        </w:rPr>
        <w:t xml:space="preserve">A model that worked reliably on Indonesian ESG text without adaptation would not require the validation architecture this thesis proposes.</w:t>
      </w:r>
      <w:commentRangeEnd w:id="84"/>
      <w:commentReference w:id="84"/>
    </w:p>
    <w:p>
      <w:pPr>
        <w:pStyle w:val="Heading3"/>
      </w:pPr>
      <w:r>
        <w:rPr>
          <w:b w:val="false"/>
          <w:bCs w:val="false"/>
          <w:i w:val="false"/>
          <w:iCs w:val="false"/>
          <w:color w:val="000000"/>
        </w:rPr>
        <w:t xml:space="preserve">4.3.2  T2 Rule-Based and Hybrid Tone Classification</w:t>
      </w:r>
    </w:p>
    <w:p>
      <w:commentRangeStart w:id="85"/>
      <w:r>
        <w:rPr>
          <w:b w:val="false"/>
          <w:bCs w:val="false"/>
          <w:i w:val="false"/>
          <w:iCs w:val="false"/>
          <w:color w:val="000000"/>
        </w:rPr>
        <w:t xml:space="preserve">The T2 stage applied both a rule-based classifier and a hybrid ABSA resolver to a 2,074-record subset.</w:t>
      </w:r>
      <w:commentRangeEnd w:id="85"/>
      <w:commentReference w:id="85"/>
      <w:r>
        <w:rPr>
          <w:b w:val="false"/>
          <w:bCs w:val="false"/>
          <w:i w:val="false"/>
          <w:iCs w:val="false"/>
          <w:color w:val="000000"/>
        </w:rPr>
        <w:t xml:space="preserve"> The rule-based component (Figure A.24) returned: Unknown (1,285, 61.9%), Commitment (451, 21.8%), Action (177, 8.5%), Outcome (161, 7.8%). The 61.9% unknown rate is high, which indicates the rule lexicon does not cover enough of the Indonesian ESG vocabulary to classify the majority of records, confirming that a hybrid approach is necessary.</w:t>
      </w:r>
    </w:p>
    <w:p>
      <w:r>
        <w:rPr>
          <w:b w:val="false"/>
          <w:bCs w:val="false"/>
          <w:i/>
          <w:iCs/>
          <w:color w:val="000000"/>
        </w:rPr>
        <w:t xml:space="preserve">[Figure A.24: ground_truth.py T2 rule tone]</w:t>
      </w:r>
    </w:p>
    <w:p>
      <w:r>
        <w:rPr>
          <w:b w:val="false"/>
          <w:bCs w:val="false"/>
          <w:i/>
          <w:iCs/>
          <w:color w:val="000000"/>
        </w:rPr>
        <w:t xml:space="preserve">[Figure A.25: ground_truth.py T2 hybrid tone]</w:t>
      </w:r>
    </w:p>
    <w:p>
      <w:commentRangeStart w:id="87"/>
      <w:r>
        <w:rPr>
          <w:b w:val="false"/>
          <w:bCs w:val="false"/>
          <w:i w:val="false"/>
          <w:iCs w:val="false"/>
          <w:color w:val="000000"/>
        </w:rPr>
        <w:t xml:space="preserve">The hybrid resolver (Figure A.25) produced: Unknown (1,770, 85.3%), Commitment (117, 5.6%), Action (95, 4.6%), Outcome (89, 4.3%).</w:t>
      </w:r>
      <w:commentRangeEnd w:id="87"/>
      <w:commentReference w:id="87"/>
      <w:r>
        <w:rPr>
          <w:b w:val="false"/>
          <w:bCs w:val="false"/>
          <w:i w:val="false"/>
          <w:iCs w:val="false"/>
          <w:color w:val="000000"/>
        </w:rPr>
        <w:t xml:space="preserve"> </w:t>
      </w:r>
      <w:commentRangeStart w:id="86"/>
      <w:r>
        <w:rPr>
          <w:b w:val="false"/>
          <w:bCs w:val="false"/>
          <w:i w:val="false"/>
          <w:iCs w:val="false"/>
          <w:color w:val="000000"/>
        </w:rPr>
        <w:t xml:space="preserve">The hybrid classifier thus increases the abstention rate by 23.4 percentage points relative to the rule-based baseline — the opposite direction from the expected improvement.</w:t>
      </w:r>
      <w:commentRangeEnd w:id="86"/>
      <w:commentReference w:id="86"/>
      <w:r>
        <w:rPr>
          <w:b w:val="false"/>
          <w:bCs w:val="false"/>
          <w:i w:val="false"/>
          <w:iCs w:val="false"/>
          <w:color w:val="000000"/>
        </w:rPr>
        <w:t xml:space="preserve"> The rule-by-hybrid crosstab (Figure A.27) illuminates the mechanism: of the 451 records labelled Commitment by the rule system, the hybrid reclassifies 395 as Unknown (87.6%). This means the hybrid is systematically overriding the rule system's highest-confidence label — the category where the rule system is most decisive — with abstention.</w:t>
      </w:r>
    </w:p>
    <w:p>
      <w:r>
        <w:rPr>
          <w:b w:val="false"/>
          <w:bCs w:val="false"/>
          <w:i/>
          <w:iCs/>
          <w:color w:val="000000"/>
        </w:rPr>
        <w:t xml:space="preserve">[Figure A.27: ground_truth.py rule vs hybrid tone]</w:t>
      </w:r>
    </w:p>
    <w:p>
      <w:r>
        <w:rPr>
          <w:b w:val="false"/>
          <w:bCs w:val="false"/>
          <w:i w:val="false"/>
          <w:iCs w:val="false"/>
          <w:color w:val="000000"/>
        </w:rPr>
        <w:t xml:space="preserve">The most probable explanation is a threshold calibration issue in the hybrid resolver: </w:t>
      </w:r>
      <w:commentRangeStart w:id="89"/>
      <w:r>
        <w:rPr>
          <w:b w:val="false"/>
          <w:bCs w:val="false"/>
          <w:i w:val="false"/>
          <w:iCs w:val="false"/>
          <w:color w:val="000000"/>
        </w:rPr>
        <w:t xml:space="preserve">the LLM component's confidence threshold for overriding the rule signal may be set too high, causing it to abstain when it should either confirm or reclassify.</w:t>
      </w:r>
      <w:commentRangeEnd w:id="89"/>
      <w:commentReference w:id="89"/>
      <w:r>
        <w:rPr>
          <w:b w:val="false"/>
          <w:bCs w:val="false"/>
          <w:i w:val="false"/>
          <w:iCs w:val="false"/>
          <w:color w:val="000000"/>
        </w:rPr>
        <w:t xml:space="preserve"> This is a diagnostic finding for RQ4, returned to in Chapter 5. For the purposes of the Chapter 4 empirical results, the key conclusion is that the T2 hybrid system in its current configuration is not fit for purpose as a standalone tone classifier, and </w:t>
      </w:r>
      <w:commentRangeStart w:id="88"/>
      <w:r>
        <w:rPr>
          <w:b w:val="false"/>
          <w:bCs w:val="false"/>
          <w:i w:val="false"/>
          <w:iCs w:val="false"/>
          <w:color w:val="000000"/>
        </w:rPr>
        <w:t xml:space="preserve">the silver dataset tone labels are produced via a separate pathway (the full pipeline rather than the T2 ground-truth evaluation subset).</w:t>
      </w:r>
      <w:commentRangeEnd w:id="88"/>
      <w:commentReference w:id="88"/>
    </w:p>
    <w:p>
      <w:pPr>
        <w:pStyle w:val="Heading3"/>
      </w:pPr>
      <w:r>
        <w:rPr>
          <w:b w:val="false"/>
          <w:bCs w:val="false"/>
          <w:i w:val="false"/>
          <w:iCs w:val="false"/>
          <w:color w:val="000000"/>
        </w:rPr>
        <w:t xml:space="preserve">4.3.3  T2 Sentiment Distribution</w:t>
      </w:r>
    </w:p>
    <w:p>
      <w:r>
        <w:rPr>
          <w:b w:val="false"/>
          <w:bCs w:val="false"/>
          <w:i w:val="false"/>
          <w:iCs w:val="false"/>
          <w:color w:val="000000"/>
        </w:rPr>
        <w:t xml:space="preserve">The T2 stage also produced sentiment predictions across the 2,074-record subset: Neutral (1,945, 93.8%), Positive (109, 5.3%), Negative (17, 0.8%), missing (3, 0.1%). The 93.8% neutral rate is observed. Two interpretations are plausible: the sentiment model is undersensitive, defaulting to Neutral when uncertain; or Indonesian sustainability report text genuinely contains almost no sentiment, which would be consistent with the compliance-reporting character of OJK-mandated disclosures. The 17 negative records are too sparse to draw conclusions but are consistent with the expected distribution of acknowledged risk disclosures.</w:t>
      </w:r>
    </w:p>
    <w:p>
      <w:r>
        <w:rPr>
          <w:b w:val="false"/>
          <w:bCs w:val="false"/>
          <w:i/>
          <w:iCs/>
          <w:color w:val="000000"/>
        </w:rPr>
        <w:t xml:space="preserve">[Figure A.26: ground_truth.py T2 sentiment]</w:t>
      </w:r>
    </w:p>
    <w:p>
      <w:r>
        <w:rPr>
          <w:b w:val="false"/>
          <w:bCs w:val="false"/>
          <w:i w:val="false"/>
          <w:iCs w:val="false"/>
          <w:color w:val="000000"/>
        </w:rPr>
        <w:t xml:space="preserve">The ground-truth tone-comparison matrix (Figure A.19) provides the most direct accuracy evidence available, comparing pipeline tone predictions against the silver ground-truth labels. Per-class accuracy rates are: Action 94.8%, Commitment 90.3%, Outcome 85.8%, None 81.9%.  The None class, at 81.9%, is the weakest and shows the most off-diagonal confusion with Action (223 misclassified) — consistent with the general difficulty of distinguishing neutral descriptive statements from weakly action-framed language in sustainability reporting.</w:t>
      </w:r>
    </w:p>
    <w:p>
      <w:r>
        <w:rPr>
          <w:b w:val="false"/>
          <w:bCs w:val="false"/>
          <w:i/>
          <w:iCs/>
          <w:color w:val="000000"/>
        </w:rPr>
        <w:t xml:space="preserve">[Figure A.19: Ground truth tone comparison]</w:t>
      </w:r>
    </w:p>
    <w:p>
      <w:pPr>
        <w:pStyle w:val="Heading2"/>
      </w:pPr>
      <w:r>
        <w:rPr>
          <w:b w:val="false"/>
          <w:bCs w:val="false"/>
          <w:i w:val="false"/>
          <w:iCs w:val="false"/>
          <w:color w:val="000000"/>
        </w:rPr>
        <w:t xml:space="preserve">4.4  ClimateBERT Cross-System Comparison (RQ3)</w:t>
      </w:r>
    </w:p>
    <w:p>
      <w:commentRangeStart w:id="90"/>
      <w:r>
        <w:rPr>
          <w:b w:val="false"/>
          <w:bCs w:val="false"/>
          <w:i w:val="false"/>
          <w:iCs w:val="false"/>
          <w:color w:val="000000"/>
        </w:rPr>
        <w:t xml:space="preserve">A central research question of this thesis concerns whether the tone-based ABSA pipeline and ClimateBERT's label space capture the same construct or different constructs.</w:t>
      </w:r>
      <w:commentRangeEnd w:id="90"/>
      <w:commentReference w:id="90"/>
      <w:r>
        <w:rPr>
          <w:b w:val="false"/>
          <w:bCs w:val="false"/>
          <w:i w:val="false"/>
          <w:iCs w:val="false"/>
          <w:color w:val="000000"/>
        </w:rPr>
        <w:t xml:space="preserve"> The empirical evidence from three sources — the tone-by-ClimateBERT-label crosstab (Figure A.4), the ClimateBERT baseline agreement analysis (Figure A.15), and the top-scoring ClimateBERT records (Figure A.5) — converges on a consistent finding: the two systems are measuring related but meaningfully distinct aspects of climate and sustainability language.</w:t>
      </w:r>
    </w:p>
    <w:p>
      <w:pPr>
        <w:pStyle w:val="Heading3"/>
      </w:pPr>
      <w:r>
        <w:rPr>
          <w:b w:val="false"/>
          <w:bCs w:val="false"/>
          <w:i w:val="false"/>
          <w:iCs w:val="false"/>
          <w:color w:val="000000"/>
        </w:rPr>
        <w:t xml:space="preserve">4.4.1  Tone-by-ClimateBERT Label Crosstab</w:t>
      </w:r>
    </w:p>
    <w:p>
      <w:r>
        <w:rPr>
          <w:b w:val="false"/>
          <w:bCs w:val="false"/>
          <w:i w:val="false"/>
          <w:iCs w:val="false"/>
          <w:color w:val="000000"/>
        </w:rPr>
        <w:t xml:space="preserve">The crosstab of pipeline tone against ClimateBERT label family (Figure A.4) reveals the most interpretable alignment and divergence patterns. The Commitment tone maps most cleanly to ClimateBERT's climate-commitment label (91 records), representing the strongest correspondence between the two systems. However, the same Commitment-tone records also map to climate-d (57 records), indicating that ClimateBERT's general-purpose climate-disclosure category captures a significant share of what the pipeline identifies as commitment language.</w:t>
      </w:r>
    </w:p>
    <w:p>
      <w:r>
        <w:rPr>
          <w:b w:val="false"/>
          <w:bCs w:val="false"/>
          <w:i/>
          <w:iCs/>
          <w:color w:val="000000"/>
        </w:rPr>
        <w:t xml:space="preserve">[Figure A.4: Tone by ClimateBERT label]</w:t>
      </w:r>
    </w:p>
    <w:p>
      <w:r>
        <w:rPr>
          <w:b w:val="false"/>
          <w:bCs w:val="false"/>
          <w:i w:val="false"/>
          <w:iCs w:val="false"/>
          <w:color w:val="000000"/>
        </w:rPr>
        <w:t xml:space="preserve">The most theoretically significant mismatch is in the None-tone row: 22 records with None tone receive a climate-commitment label from ClimateBERT. This indicates that ClimateBERT classifies some text as commitment-language that the pipeline identifies as neutral/descriptive. This is precisely the conflation Gap 2 describes — ClimateBERT's document-level training may lead it to assign commitment labels to contextual or boilerplate language that surrounds commitment statements without being performative itself. The Action-tone row shows a similar pattern, spreading across climate-d (23), other (7), and multiple sub-labels without a dominant cluster, suggesting that ClimateBERT's taxonomy does not have a clean analogue for the action category as defined in this thesis.</w:t>
      </w:r>
    </w:p>
    <w:p>
      <w:pPr>
        <w:pStyle w:val="Heading3"/>
      </w:pPr>
      <w:r>
        <w:rPr>
          <w:b w:val="false"/>
          <w:bCs w:val="false"/>
          <w:i w:val="false"/>
          <w:iCs w:val="false"/>
          <w:color w:val="000000"/>
        </w:rPr>
        <w:t xml:space="preserve">4.4.2  Cohen's Kappa and Agreement Metrics</w:t>
      </w:r>
    </w:p>
    <w:p>
      <w:r>
        <w:rPr>
          <w:b w:val="false"/>
          <w:bCs w:val="false"/>
          <w:i w:val="false"/>
          <w:iCs w:val="false"/>
          <w:color w:val="000000"/>
        </w:rPr>
        <w:t xml:space="preserve">The ClimateBERT baseline analysis (Figure A.15) reports the following agreement metrics between the pipeline and ClimateBERT on the shared evaluation set: percent agreement 83.7%, Cohen's kappa 0.645, tone commitment rate 34.6%, ClimateBERT climate-commitment label rate 36.4%, and majority-baseline commitment binary 65.6%. </w:t>
      </w:r>
      <w:commentRangeStart w:id="91"/>
      <w:r>
        <w:rPr>
          <w:b w:val="false"/>
          <w:bCs w:val="false"/>
          <w:i w:val="false"/>
          <w:iCs w:val="false"/>
          <w:color w:val="000000"/>
        </w:rPr>
        <w:t xml:space="preserve">The proxy kappa reported in the dashboard headline (0.645) falls in the substantial agreement range (0.61–0.80) by the Landis and Koch convention</w:t>
      </w:r>
      <w:commentRangeEnd w:id="91"/>
      <w:commentReference w:id="91"/>
      <w:sdt>
        <w:sdtPr>
          <w:tag w:val="CITATION LweB22"/>
          <w:id w:val="26081939"/>
          <w:citation/>
        </w:sdtPr>
        <w:sdtContent>
          <w:r>
            <w:fldChar w:fldCharType="begin"/>
          </w:r>
          <w:r>
            <w:instrText xml:space="preserve"> CITATION LweB22 \p 1211 \l 1033 </w:instrText>
          </w:r>
          <w:r>
            <w:fldChar w:fldCharType="separate"/>
          </w:r>
          <w:r>
            <w:rPr>
              <w:noProof/>
            </w:rPr>
            <w:t xml:space="preserve">(Löwe, 2022)</w:t>
          </w:r>
          <w:r>
            <w:fldChar w:fldCharType="end"/>
          </w:r>
        </w:sdtContent>
      </w:sdt>
      <w:r>
        <w:rPr>
          <w:b w:val="false"/>
          <w:bCs w:val="false"/>
          <w:i w:val="false"/>
          <w:iCs w:val="false"/>
          <w:color w:val="000000"/>
        </w:rPr>
        <w:t xml:space="preserve">.</w:t>
      </w:r>
    </w:p>
    <w:p>
      <w:r>
        <w:rPr>
          <w:b w:val="false"/>
          <w:bCs w:val="false"/>
          <w:i/>
          <w:iCs/>
          <w:color w:val="000000"/>
        </w:rPr>
        <w:t xml:space="preserve">[Figure A.15: ClimateBERT baseline]</w:t>
      </w:r>
    </w:p>
    <w:p>
      <w:r>
        <w:rPr>
          <w:b w:val="false"/>
          <w:bCs w:val="false"/>
          <w:i w:val="false"/>
          <w:iCs w:val="false"/>
          <w:color w:val="000000"/>
        </w:rPr>
        <w:t xml:space="preserve">Three numbers must be carefully distinguished here. First, the percent agreement of 83.7% reflects raw label co-occurrence and does not correct for chance. Second, Cohen's kappa of 0.645 is the chance-corrected agreement coefficient, and is the methodologically appropriate metric for comparing two classification systems. Third, the majority baseline of 65.6% — a naive classifier that always predicts commitment — provides essential context: a system would achieve 65.6% agreement with ClimateBERT by chance alone, making the adjusted kappa of 0.645 the genuinely informative number. Fourth, the 0.788 figure that appears in some pipeline documentation refers to a different comparison (pipeline tone agreement with the silver dataset labels) and should not be conflated with the ClimateBERT comparison kappa.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4E4E7"/>
          </w:tcPr>
          <w:p>
            <w:r>
              <w:rPr>
                <w:b w:val="false"/>
                <w:bCs w:val="false"/>
                <w:i/>
                <w:iCs/>
                <w:color w:val="000000"/>
              </w:rPr>
              <w:t xml:space="preserve">Methodological clarification: The kappa=0.645 is a proxy agreement between the ABSA pipeline tone labels and ClimateBERT-derived classification labels. It is not a human inter-annotator agreement coefficient</w:t>
            </w:r>
            <w:r>
              <w:rPr>
                <w:b w:val="false"/>
                <w:bCs w:val="false"/>
                <w:i/>
                <w:iCs/>
                <w:color w:val="000000"/>
              </w:rPr>
              <w:t xml:space="preserve">. No dual-human annotation has been completed in this stud</w:t>
            </w:r>
            <w:commentRangeEnd w:id="92"/>
            <w:commentReference w:id="92"/>
            <w:r>
              <w:rPr>
                <w:b w:val="false"/>
                <w:bCs w:val="false"/>
                <w:i/>
                <w:iCs/>
                <w:color w:val="000000"/>
              </w:rPr>
              <w:t xml:space="preserve">y. The distinction is critical: kappa in the IAA sense would require two independent human annotators labeling the same records; kappa in the proxy sense compares two automated systems. Both are valid analytical operations, but they answer different questions.</w:t>
            </w:r>
          </w:p>
        </w:tc>
      </w:tr>
    </w:tbl>
    <w:p>
      <w:r>
        <w:rPr>
          <w:b w:val="false"/>
          <w:bCs w:val="false"/>
          <w:i w:val="false"/>
          <w:iCs w:val="false"/>
          <w:color w:val="000000"/>
        </w:rPr>
        <w:t xml:space="preserve">The moderate kappa is the novel finding this thesis argues for RQ3: not that the systems agree, but that they diverge in theoretically interpretable ways. A kappa of 0.645 with a majority baseline of 0.656 places the two systems in a regime where they are related — sharing some labeling of the most salient climate-commitment language — but not measuring the same construct. The pipeline is capturing tone as a property of individual sentences; ClimateBERT is assigning labels calibrated to document-level climate relevance. The divergence is the signal, not the noise.</w:t>
      </w:r>
    </w:p>
    <w:p>
      <w:pPr>
        <w:pStyle w:val="Heading3"/>
      </w:pPr>
      <w:r>
        <w:rPr>
          <w:b w:val="false"/>
          <w:bCs w:val="false"/>
          <w:i w:val="false"/>
          <w:iCs w:val="false"/>
          <w:color w:val="000000"/>
        </w:rPr>
        <w:t xml:space="preserve">4.4.3  ClimateBERT Score Distribution</w:t>
      </w:r>
    </w:p>
    <w:p>
      <w:r>
        <w:rPr>
          <w:b w:val="false"/>
          <w:bCs w:val="false"/>
          <w:i w:val="false"/>
          <w:iCs w:val="false"/>
          <w:color w:val="000000"/>
        </w:rPr>
        <w:t xml:space="preserve">The top-scoring ClimateBERT records (Figure A.5) show that high-confidence ClimateBERT outputs are concentrated on a narrow subset of records, with most records receiving low or missing confidence scores, which is inconsistent with a well-calibrated classifier applied to its target domain, where they would be expected to distribute more evenly. The practical implication is that ClimateBERT is recognising only a small fraction of the Indonesian/bilingual ESG corpus as clearly within its training distribution — reinforcing the domain-mismatch finding from the T1 failure rate.</w:t>
      </w:r>
    </w:p>
    <w:p>
      <w:r>
        <w:rPr>
          <w:b w:val="false"/>
          <w:bCs w:val="false"/>
          <w:i/>
          <w:iCs/>
          <w:color w:val="000000"/>
        </w:rPr>
        <w:t xml:space="preserve">[Figure A.5: Top-scoring ClimateBERT records]</w:t>
      </w:r>
    </w:p>
    <w:p>
      <w:pPr>
        <w:pStyle w:val="Heading2"/>
      </w:pPr>
      <w:r>
        <w:rPr>
          <w:b w:val="false"/>
          <w:bCs w:val="false"/>
          <w:i w:val="false"/>
          <w:iCs w:val="false"/>
          <w:color w:val="000000"/>
        </w:rPr>
        <w:t xml:space="preserve">4.5  Model and Prompt Stability (RQ6 – Preliminary Evidence)</w:t>
      </w:r>
    </w:p>
    <w:p>
      <w:r>
        <w:rPr>
          <w:b w:val="false"/>
          <w:bCs w:val="false"/>
          <w:i w:val="false"/>
          <w:iCs w:val="false"/>
          <w:color w:val="000000"/>
        </w:rPr>
        <w:t xml:space="preserve">Stability analysis across six models and six prompt templates provides preliminary evidence for the RQ6 claims about cross-model and cross-prompt reliability. Full stability benchmarking is presented in Chapter 6; this section reports the core evidence generated during pipeline execution.</w:t>
      </w:r>
    </w:p>
    <w:p>
      <w:r>
        <w:rPr>
          <w:b w:val="false"/>
          <w:bCs w:val="false"/>
          <w:i w:val="false"/>
          <w:iCs w:val="false"/>
          <w:color w:val="000000"/>
        </w:rPr>
        <w:t xml:space="preserve">JSON parse success rates (Figure A.10) vary substantially across models. arcee-ai/trinity-large-preview:free achieved a perfect 1.000 parse rate across 90 runs, and openai/gpt-oss-120b:free achieved 1.000 across 20 runs — both exceeding the 0.95 threshold for production-quality structured output. arcee-ai/trinity-large-thinking:free (89 runs) scored 0.899, just below the threshold. minimax/minimax-m2.5:free, the most frequently used model at 776 runs, achieved only 0.566 — well below the 0.90 threshold for research-quality use. The qwen3.5:0.8b model produced only 2 runs with a 0.0 parse rate, insufficient for any stability claim.</w:t>
      </w:r>
    </w:p>
    <w:p>
      <w:r>
        <w:rPr>
          <w:b w:val="false"/>
          <w:bCs w:val="false"/>
          <w:i/>
          <w:iCs/>
          <w:color w:val="000000"/>
        </w:rPr>
        <w:t xml:space="preserve">[Figure A.10: Model parse success benchmark]</w:t>
      </w:r>
    </w:p>
    <w:p>
      <w:r>
        <w:rPr>
          <w:b w:val="false"/>
          <w:bCs w:val="false"/>
          <w:i/>
          <w:iCs/>
          <w:color w:val="000000"/>
        </w:rPr>
        <w:t xml:space="preserve">[Figure A.14: Repeated LLM runs]</w:t>
      </w:r>
    </w:p>
    <w:p>
      <w:r>
        <w:rPr>
          <w:b w:val="false"/>
          <w:bCs w:val="false"/>
          <w:i w:val="false"/>
          <w:iCs w:val="false"/>
          <w:color w:val="000000"/>
        </w:rPr>
        <w:t xml:space="preserve">Missing-tone rates across the six designed prompt templates (Figure A.11) are near-zero for all templates except data.md, which returns a 1.000 missing rate as expected — it is the raw data prompt not designed for tone classification and functions as a negative control. The six designed tone prompts (tone_chain_of_thought_english, tone_chain_of_thought_indonesian, tone_few_shot_english, tone_few_shot_indonesian, tone_zero_shot_english, tone_zero_shot_indonesian) all achieve a 0.000 missing-tone rate. Against the 5% acceptable threshold for LLM-based extraction prompts, this outperformance is the strongest positive result in the prompt engineering evaluation.</w:t>
      </w:r>
    </w:p>
    <w:p>
      <w:r>
        <w:rPr>
          <w:b w:val="false"/>
          <w:bCs w:val="false"/>
          <w:i/>
          <w:iCs/>
          <w:color w:val="000000"/>
        </w:rPr>
        <w:t xml:space="preserve">[Figure A.11: Prompt missing-tone benchmark]</w:t>
      </w:r>
    </w:p>
    <w:p>
      <w:r>
        <w:rPr>
          <w:b w:val="false"/>
          <w:bCs w:val="false"/>
          <w:i w:val="false"/>
          <w:iCs w:val="false"/>
          <w:color w:val="000000"/>
        </w:rPr>
        <w:t xml:space="preserve">The PDF-by-prompt coverage matrix confirms that all six tone prompts generated records across the document corpus, with </w:t>
      </w:r>
      <w:commentRangeStart w:id="93"/>
      <w:r>
        <w:rPr>
          <w:b w:val="false"/>
          <w:bCs w:val="false"/>
          <w:i w:val="false"/>
          <w:iCs w:val="false"/>
          <w:color w:val="000000"/>
        </w:rPr>
        <w:t xml:space="preserve">prompt template contribution roughly proportional to run count.</w:t>
      </w:r>
      <w:commentRangeEnd w:id="93"/>
      <w:commentReference w:id="93"/>
      <w:r>
        <w:rPr>
          <w:b w:val="false"/>
          <w:bCs w:val="false"/>
          <w:i w:val="false"/>
          <w:iCs w:val="false"/>
          <w:color w:val="000000"/>
        </w:rPr>
        <w:t xml:space="preserve"> The data.md column returns zero records for all documents, confirming its role as a negative control rather than a contributing extraction pathway.</w:t>
      </w:r>
    </w:p>
    <w:p>
      <w:pPr>
        <w:pStyle w:val="Heading2"/>
      </w:pPr>
      <w:r>
        <w:rPr>
          <w:b w:val="false"/>
          <w:bCs w:val="false"/>
          <w:i w:val="false"/>
          <w:iCs w:val="false"/>
          <w:color w:val="000000"/>
        </w:rPr>
        <w:t xml:space="preserve">4.3 RQ1 Results: PDF-To-Structured ESG Transformation</w:t>
      </w:r>
    </w:p>
    <w:p>
      <w:r>
        <w:rPr>
          <w:b w:val="false"/>
          <w:bCs w:val="false"/>
          <w:i w:val="false"/>
          <w:iCs w:val="false"/>
          <w:color w:val="000000"/>
        </w:rPr>
        <w:t xml:space="preserve">The pipeline currently demonstrates the transformation of PDF sustainability reports into structured ESG evidence records. OCR documents are processed into text, LLM prompts extract records, and the resulting evidence table preserves prompt, model, timestamp, target document, and record index.</w:t>
      </w:r>
    </w:p>
    <w:p>
      <w:r>
        <w:rPr>
          <w:b w:val="false"/>
          <w:bCs w:val="false"/>
          <w:i w:val="false"/>
          <w:iCs w:val="false"/>
          <w:color w:val="000000"/>
        </w:rPr>
        <w:t xml:space="preserve">Primary artifact:</w:t>
      </w:r>
    </w:p>
    <w:p>
      <w:pPr>
        <w:pStyle w:val="ListParagraph"/>
        <w:numPr>
          <w:ilvl w:val="0"/>
          <w:numId w:val="1"/>
        </w:numPr>
      </w:pPr>
      <w:r>
        <w:rPr>
          <w:b w:val="false"/>
          <w:bCs w:val="false"/>
          <w:i w:val="false"/>
          <w:iCs w:val="false"/>
          <w:color w:val="000000"/>
        </w:rPr>
        <w:t xml:space="preserve">results/thesis_workflow_dashboard/tone_records_flat.csv</w:t>
      </w:r>
    </w:p>
    <w:p>
      <w:r>
        <w:rPr>
          <w:b w:val="false"/>
          <w:bCs w:val="false"/>
          <w:i w:val="false"/>
          <w:iCs w:val="false"/>
          <w:color w:val="000000"/>
        </w:rPr>
        <w:t xml:space="preserve">Main interpretation:</w:t>
      </w:r>
    </w:p>
    <w:p>
      <w:r>
        <w:rPr>
          <w:b w:val="false"/>
          <w:bCs w:val="false"/>
          <w:i w:val="false"/>
          <w:iCs w:val="false"/>
          <w:color w:val="000000"/>
        </w:rPr>
        <w:t xml:space="preserve">The output supports document-to-record transformation, but </w:t>
      </w:r>
      <w:commentRangeStart w:id="94"/>
      <w:r>
        <w:rPr>
          <w:b w:val="false"/>
          <w:bCs w:val="false"/>
          <w:i w:val="false"/>
          <w:iCs w:val="false"/>
          <w:color w:val="000000"/>
        </w:rPr>
        <w:t xml:space="preserve">page-level OCR sampling remains necessary for stronger claims about OCR quality and extraction completeness.</w:t>
      </w:r>
      <w:commentRangeEnd w:id="94"/>
      <w:commentReference w:id="94"/>
    </w:p>
    <w:p>
      <w:pPr>
        <w:pStyle w:val="Heading2"/>
      </w:pPr>
      <w:r>
        <w:rPr>
          <w:b w:val="false"/>
          <w:bCs w:val="false"/>
          <w:i w:val="false"/>
          <w:iCs w:val="false"/>
          <w:color w:val="000000"/>
        </w:rPr>
        <w:t xml:space="preserve">4.4 RQ2 Results: ESG ABSA Schema</w:t>
      </w:r>
    </w:p>
    <w:p>
      <w:commentRangeStart w:id="95"/>
      <w:r>
        <w:rPr>
          <w:b w:val="false"/>
          <w:bCs w:val="false"/>
          <w:i w:val="false"/>
          <w:iCs w:val="false"/>
          <w:color w:val="000000"/>
        </w:rPr>
        <w:t xml:space="preserve">The ESG ABSA schema captures aspect, ESG pillar, sentiment, and tone. Current figures include:</w:t>
      </w:r>
      <w:commentRangeEnd w:id="95"/>
      <w:commentReference w:id="95"/>
    </w:p>
    <w:p>
      <w:pPr>
        <w:pStyle w:val="ListParagraph"/>
        <w:numPr>
          <w:ilvl w:val="0"/>
          <w:numId w:val="1"/>
        </w:numPr>
      </w:pPr>
      <w:r>
        <w:rPr>
          <w:b w:val="false"/>
          <w:bCs w:val="false"/>
          <w:i w:val="false"/>
          <w:iCs w:val="false"/>
          <w:color w:val="000000"/>
        </w:rPr>
        <w:t xml:space="preserve">Tone distribution.</w:t>
      </w:r>
    </w:p>
    <w:p>
      <w:pPr>
        <w:pStyle w:val="ListParagraph"/>
        <w:numPr>
          <w:ilvl w:val="0"/>
          <w:numId w:val="1"/>
        </w:numPr>
      </w:pPr>
      <w:r>
        <w:rPr>
          <w:b w:val="false"/>
          <w:bCs w:val="false"/>
          <w:i w:val="false"/>
          <w:iCs w:val="false"/>
          <w:color w:val="000000"/>
        </w:rPr>
        <w:t xml:space="preserve">ESG by tone.</w:t>
      </w:r>
    </w:p>
    <w:p>
      <w:pPr>
        <w:pStyle w:val="ListParagraph"/>
        <w:numPr>
          <w:ilvl w:val="0"/>
          <w:numId w:val="1"/>
        </w:numPr>
      </w:pPr>
      <w:r>
        <w:rPr>
          <w:b w:val="false"/>
          <w:bCs w:val="false"/>
          <w:i w:val="false"/>
          <w:iCs w:val="false"/>
          <w:color w:val="000000"/>
        </w:rPr>
        <w:t xml:space="preserve">Aspect by tone heatmap.</w:t>
      </w:r>
    </w:p>
    <w:p>
      <w:pPr>
        <w:pStyle w:val="ListParagraph"/>
        <w:numPr>
          <w:ilvl w:val="0"/>
          <w:numId w:val="1"/>
        </w:numPr>
      </w:pPr>
      <w:r>
        <w:rPr>
          <w:b w:val="false"/>
          <w:bCs w:val="false"/>
          <w:i w:val="false"/>
          <w:iCs w:val="false"/>
          <w:color w:val="000000"/>
        </w:rPr>
        <w:t xml:space="preserve">Ground-truth tone comparison.</w:t>
      </w:r>
    </w:p>
    <w:p>
      <w:pPr>
        <w:pStyle w:val="ListParagraph"/>
        <w:numPr>
          <w:ilvl w:val="0"/>
          <w:numId w:val="1"/>
        </w:numPr>
      </w:pPr>
      <w:r>
        <w:rPr>
          <w:b w:val="false"/>
          <w:bCs w:val="false"/>
          <w:i w:val="false"/>
          <w:iCs w:val="false"/>
          <w:color w:val="000000"/>
        </w:rPr>
        <w:t xml:space="preserve">T2 rule versus hybrid tone outputs.</w:t>
      </w:r>
    </w:p>
    <w:p>
      <w:r>
        <w:rPr>
          <w:b w:val="false"/>
          <w:bCs w:val="false"/>
          <w:i w:val="false"/>
          <w:iCs w:val="false"/>
          <w:color w:val="000000"/>
        </w:rPr>
        <w:t xml:space="preserve">Important graph attachments:</w:t>
      </w:r>
    </w:p>
    <w:p>
      <w:pPr>
        <w:pStyle w:val="ListParagraph"/>
        <w:numPr>
          <w:ilvl w:val="0"/>
          <w:numId w:val="1"/>
        </w:numPr>
      </w:pPr>
      <w:r>
        <w:rPr>
          <w:b w:val="false"/>
          <w:bCs w:val="false"/>
          <w:i w:val="false"/>
          <w:iCs w:val="false"/>
          <w:color w:val="000000"/>
        </w:rPr>
        <w:t xml:space="preserve">results/docx_graph_attachments/docx_full_tone_distribution.png</w:t>
      </w:r>
    </w:p>
    <w:p>
      <w:pPr>
        <w:pStyle w:val="ListParagraph"/>
        <w:numPr>
          <w:ilvl w:val="0"/>
          <w:numId w:val="1"/>
        </w:numPr>
      </w:pPr>
      <w:r>
        <w:rPr>
          <w:b w:val="false"/>
          <w:bCs w:val="false"/>
          <w:i w:val="false"/>
          <w:iCs w:val="false"/>
          <w:color w:val="000000"/>
        </w:rPr>
        <w:t xml:space="preserve">results/docx_graph_attachments/docx_full_esg_by_tone.png</w:t>
      </w:r>
    </w:p>
    <w:p>
      <w:pPr>
        <w:pStyle w:val="ListParagraph"/>
        <w:numPr>
          <w:ilvl w:val="0"/>
          <w:numId w:val="1"/>
        </w:numPr>
      </w:pPr>
      <w:r>
        <w:rPr>
          <w:b w:val="false"/>
          <w:bCs w:val="false"/>
          <w:i w:val="false"/>
          <w:iCs w:val="false"/>
          <w:color w:val="000000"/>
        </w:rPr>
        <w:t xml:space="preserve">results/docx_graph_attachments/docx_full_aspect_by_tone_heatmap.png</w:t>
      </w:r>
    </w:p>
    <w:p>
      <w:pPr>
        <w:pStyle w:val="ListParagraph"/>
        <w:numPr>
          <w:ilvl w:val="0"/>
          <w:numId w:val="1"/>
        </w:numPr>
      </w:pPr>
      <w:r>
        <w:rPr>
          <w:b w:val="false"/>
          <w:bCs w:val="false"/>
          <w:i w:val="false"/>
          <w:iCs w:val="false"/>
          <w:color w:val="000000"/>
        </w:rPr>
        <w:t xml:space="preserve">results/docx_graph_attachments/docx_ground_truth_tone_comparison.png</w:t>
      </w:r>
    </w:p>
    <w:p>
      <w:r>
        <w:rPr>
          <w:b w:val="false"/>
          <w:bCs w:val="false"/>
          <w:i w:val="false"/>
          <w:iCs w:val="false"/>
          <w:color w:val="000000"/>
        </w:rPr>
        <w:t xml:space="preserve">Main interpretation:</w:t>
      </w:r>
    </w:p>
    <w:p>
      <w:commentRangeStart w:id="96"/>
      <w:r>
        <w:rPr>
          <w:b w:val="false"/>
          <w:bCs w:val="false"/>
          <w:i w:val="false"/>
          <w:iCs w:val="false"/>
          <w:color w:val="000000"/>
        </w:rPr>
        <w:t xml:space="preserve">ABSA is appropriate because ESG disclosure meaning changes at the aspect level. A single report can contain commitments, actions, outcomes, missing labels, and neutral disclosures across different ESG aspects.</w:t>
      </w:r>
      <w:commentRangeEnd w:id="96"/>
      <w:commentReference w:id="96"/>
    </w:p>
    <w:p>
      <w:pPr>
        <w:pStyle w:val="Heading2"/>
      </w:pPr>
      <w:r>
        <w:rPr>
          <w:b w:val="false"/>
          <w:bCs w:val="false"/>
          <w:i w:val="false"/>
          <w:iCs w:val="false"/>
          <w:color w:val="000000"/>
        </w:rPr>
        <w:t xml:space="preserve">4.5 RQ3 Results: Tone Versus ClimateBERT</w:t>
      </w:r>
    </w:p>
    <w:p>
      <w:commentRangeStart w:id="113"/>
      <w:r>
        <w:rPr>
          <w:b w:val="false"/>
          <w:bCs w:val="false"/>
          <w:i w:val="false"/>
          <w:iCs w:val="false"/>
          <w:color w:val="000000"/>
        </w:rPr>
        <w:t xml:space="preserve">The current ClimateBERT comparison shows:</w:t>
      </w:r>
      <w:commentRangeEnd w:id="113"/>
      <w:commentReference w:id="113"/>
    </w:p>
    <w:p>
      <w:pPr>
        <w:pStyle w:val="ListParagraph"/>
        <w:numPr>
          <w:ilvl w:val="0"/>
          <w:numId w:val="1"/>
        </w:numPr>
      </w:pPr>
      <w:r>
        <w:rPr>
          <w:b w:val="false"/>
          <w:bCs w:val="false"/>
          <w:i w:val="false"/>
          <w:iCs w:val="false"/>
          <w:color w:val="000000"/>
        </w:rPr>
        <w:t xml:space="preserve">Percent agreement: 83.7%.</w:t>
      </w:r>
    </w:p>
    <w:p>
      <w:pPr>
        <w:pStyle w:val="ListParagraph"/>
        <w:numPr>
          <w:ilvl w:val="0"/>
          <w:numId w:val="1"/>
        </w:numPr>
      </w:pPr>
      <w:r>
        <w:rPr>
          <w:b w:val="false"/>
          <w:bCs w:val="false"/>
          <w:i w:val="false"/>
          <w:iCs w:val="false"/>
          <w:color w:val="000000"/>
        </w:rPr>
        <w:t xml:space="preserve">Cohen's kappa: 0.645.</w:t>
      </w:r>
    </w:p>
    <w:p>
      <w:r>
        <w:rPr>
          <w:b w:val="false"/>
          <w:bCs w:val="false"/>
          <w:i w:val="false"/>
          <w:iCs w:val="false"/>
          <w:color w:val="000000"/>
        </w:rPr>
        <w:t xml:space="preserve">This indicates substantial but incomplete alignment. ClimateBERT is useful as a climate-focused baseline, but it does not replace ESG ABSA because ESG tone includes broader disclosure categories and non-climate aspects.</w:t>
      </w:r>
    </w:p>
    <w:p>
      <w:r>
        <w:rPr>
          <w:b w:val="false"/>
          <w:bCs w:val="false"/>
          <w:i w:val="false"/>
          <w:iCs w:val="false"/>
          <w:color w:val="000000"/>
        </w:rPr>
        <w:t xml:space="preserve">Important graph attachments:</w:t>
      </w:r>
    </w:p>
    <w:p>
      <w:pPr>
        <w:pStyle w:val="ListParagraph"/>
        <w:numPr>
          <w:ilvl w:val="0"/>
          <w:numId w:val="1"/>
        </w:numPr>
      </w:pPr>
      <w:r>
        <w:rPr>
          <w:b w:val="false"/>
          <w:bCs w:val="false"/>
          <w:i w:val="false"/>
          <w:iCs w:val="false"/>
          <w:color w:val="000000"/>
        </w:rPr>
        <w:t xml:space="preserve">results/docx_graph_attachments/docx_climatebert_baseline.png</w:t>
      </w:r>
    </w:p>
    <w:p>
      <w:pPr>
        <w:pStyle w:val="ListParagraph"/>
        <w:numPr>
          <w:ilvl w:val="0"/>
          <w:numId w:val="1"/>
        </w:numPr>
      </w:pPr>
      <w:r>
        <w:rPr>
          <w:b w:val="false"/>
          <w:bCs w:val="false"/>
          <w:i w:val="false"/>
          <w:iCs w:val="false"/>
          <w:color w:val="000000"/>
        </w:rPr>
        <w:t xml:space="preserve">results/thesis_workflow_dashboard/climatebert_label_by_tone.png</w:t>
      </w:r>
    </w:p>
    <w:p>
      <w:pPr>
        <w:pStyle w:val="ListParagraph"/>
        <w:numPr>
          <w:ilvl w:val="0"/>
          <w:numId w:val="1"/>
        </w:numPr>
      </w:pPr>
      <w:r>
        <w:rPr>
          <w:b w:val="false"/>
          <w:bCs w:val="false"/>
          <w:i w:val="false"/>
          <w:iCs w:val="false"/>
          <w:color w:val="000000"/>
        </w:rPr>
        <w:t xml:space="preserve">results/thesis_workflow_dashboard/climatebert_remote_top_scores.png</w:t>
      </w:r>
    </w:p>
    <w:p>
      <w:r>
        <w:rPr>
          <w:b w:val="false"/>
          <w:bCs w:val="false"/>
          <w:i w:val="false"/>
          <w:iCs w:val="false"/>
          <w:color w:val="000000"/>
        </w:rPr>
        <w:t xml:space="preserve">Main interpretation:</w:t>
      </w:r>
    </w:p>
    <w:p>
      <w:r>
        <w:rPr>
          <w:b w:val="false"/>
          <w:bCs w:val="false"/>
          <w:i w:val="false"/>
          <w:iCs w:val="false"/>
          <w:color w:val="000000"/>
        </w:rPr>
        <w:t xml:space="preserve">The disagreement between tone and ClimateBERT labels is not only an error signal. It is also evidence that ESG tone and climate commitment are related but distinct constructs.</w:t>
      </w:r>
    </w:p>
    <w:p>
      <w:pPr>
        <w:pStyle w:val="Heading2"/>
      </w:pPr>
      <w:r>
        <w:rPr>
          <w:b w:val="false"/>
          <w:bCs w:val="false"/>
          <w:i w:val="false"/>
          <w:iCs w:val="false"/>
          <w:color w:val="000000"/>
        </w:rPr>
        <w:t xml:space="preserve">4.6 RQ4 Results: Diagnostics And Ontology Gaps</w:t>
      </w:r>
    </w:p>
    <w:p>
      <w:r>
        <w:rPr>
          <w:b w:val="false"/>
          <w:bCs w:val="false"/>
          <w:i w:val="false"/>
          <w:iCs w:val="false"/>
          <w:color w:val="000000"/>
        </w:rPr>
        <w:t xml:space="preserve">The system tracks diagnostic categories such as:</w:t>
      </w:r>
    </w:p>
    <w:p>
      <w:pPr>
        <w:pStyle w:val="ListParagraph"/>
        <w:numPr>
          <w:ilvl w:val="0"/>
          <w:numId w:val="1"/>
        </w:numPr>
      </w:pPr>
      <w:r>
        <w:rPr>
          <w:b w:val="false"/>
          <w:bCs w:val="false"/>
          <w:i w:val="false"/>
          <w:iCs w:val="false"/>
          <w:color w:val="000000"/>
        </w:rPr>
        <w:t xml:space="preserve">Missing tone labels.</w:t>
      </w:r>
    </w:p>
    <w:p>
      <w:pPr>
        <w:pStyle w:val="ListParagraph"/>
        <w:numPr>
          <w:ilvl w:val="0"/>
          <w:numId w:val="1"/>
        </w:numPr>
      </w:pPr>
      <w:r>
        <w:rPr>
          <w:b w:val="false"/>
          <w:bCs w:val="false"/>
          <w:i w:val="false"/>
          <w:iCs w:val="false"/>
          <w:color w:val="000000"/>
        </w:rPr>
        <w:t xml:space="preserve">Schema drift.</w:t>
      </w:r>
    </w:p>
    <w:p>
      <w:pPr>
        <w:pStyle w:val="ListParagraph"/>
        <w:numPr>
          <w:ilvl w:val="0"/>
          <w:numId w:val="1"/>
        </w:numPr>
      </w:pPr>
      <w:r>
        <w:rPr>
          <w:b w:val="false"/>
          <w:bCs w:val="false"/>
          <w:i w:val="false"/>
          <w:iCs w:val="false"/>
          <w:color w:val="000000"/>
        </w:rPr>
        <w:t xml:space="preserve">JSON parse failures.</w:t>
      </w:r>
    </w:p>
    <w:p>
      <w:pPr>
        <w:pStyle w:val="ListParagraph"/>
        <w:numPr>
          <w:ilvl w:val="0"/>
          <w:numId w:val="1"/>
        </w:numPr>
      </w:pPr>
      <w:r>
        <w:rPr>
          <w:b w:val="false"/>
          <w:bCs w:val="false"/>
          <w:i w:val="false"/>
          <w:iCs w:val="false"/>
          <w:color w:val="000000"/>
        </w:rPr>
        <w:t xml:space="preserve">OCR text loss.</w:t>
      </w:r>
    </w:p>
    <w:p>
      <w:pPr>
        <w:pStyle w:val="ListParagraph"/>
        <w:numPr>
          <w:ilvl w:val="0"/>
          <w:numId w:val="1"/>
        </w:numPr>
      </w:pPr>
      <w:r>
        <w:rPr>
          <w:b w:val="false"/>
          <w:bCs w:val="false"/>
          <w:i w:val="false"/>
          <w:iCs w:val="false"/>
          <w:color w:val="000000"/>
        </w:rPr>
        <w:t xml:space="preserve">Bilingual code-switching.</w:t>
      </w:r>
    </w:p>
    <w:p>
      <w:pPr>
        <w:pStyle w:val="ListParagraph"/>
        <w:numPr>
          <w:ilvl w:val="0"/>
          <w:numId w:val="1"/>
        </w:numPr>
      </w:pPr>
      <w:r>
        <w:rPr>
          <w:b w:val="false"/>
          <w:bCs w:val="false"/>
          <w:i w:val="false"/>
          <w:iCs w:val="false"/>
          <w:color w:val="000000"/>
        </w:rPr>
        <w:t xml:space="preserve">Ontology unmapped aspects.</w:t>
      </w:r>
    </w:p>
    <w:p>
      <w:r>
        <w:rPr>
          <w:b w:val="false"/>
          <w:bCs w:val="false"/>
          <w:i w:val="false"/>
          <w:iCs w:val="false"/>
          <w:color w:val="000000"/>
        </w:rPr>
        <w:t xml:space="preserve">Important artifacts:</w:t>
      </w:r>
    </w:p>
    <w:p>
      <w:pPr>
        <w:pStyle w:val="ListParagraph"/>
        <w:numPr>
          <w:ilvl w:val="0"/>
          <w:numId w:val="1"/>
        </w:numPr>
      </w:pPr>
      <w:r>
        <w:rPr>
          <w:b w:val="false"/>
          <w:bCs w:val="false"/>
          <w:i w:val="false"/>
          <w:iCs w:val="false"/>
          <w:color w:val="000000"/>
        </w:rPr>
        <w:t xml:space="preserve">results/thesis_workflow_dashboard/failure_mode_counts.csv</w:t>
      </w:r>
    </w:p>
    <w:p>
      <w:pPr>
        <w:pStyle w:val="ListParagraph"/>
        <w:numPr>
          <w:ilvl w:val="0"/>
          <w:numId w:val="1"/>
        </w:numPr>
      </w:pPr>
      <w:r>
        <w:rPr>
          <w:b w:val="false"/>
          <w:bCs w:val="false"/>
          <w:i w:val="false"/>
          <w:iCs w:val="false"/>
          <w:color w:val="000000"/>
        </w:rPr>
        <w:t xml:space="preserve">results/thesis_workflow_dashboard/ontology_coverage.csv</w:t>
      </w:r>
    </w:p>
    <w:p>
      <w:pPr>
        <w:pStyle w:val="ListParagraph"/>
        <w:numPr>
          <w:ilvl w:val="0"/>
          <w:numId w:val="1"/>
        </w:numPr>
      </w:pPr>
      <w:r>
        <w:rPr>
          <w:b w:val="false"/>
          <w:bCs w:val="false"/>
          <w:i w:val="false"/>
          <w:iCs w:val="false"/>
          <w:color w:val="000000"/>
        </w:rPr>
        <w:t xml:space="preserve">results/docx_graph_attachments/docx_ontology_mapped_vs_unmapped.png</w:t>
      </w:r>
    </w:p>
    <w:p>
      <w:pPr>
        <w:pStyle w:val="ListParagraph"/>
        <w:numPr>
          <w:ilvl w:val="0"/>
          <w:numId w:val="1"/>
        </w:numPr>
      </w:pPr>
      <w:r>
        <w:rPr>
          <w:b w:val="false"/>
          <w:bCs w:val="false"/>
          <w:i w:val="false"/>
          <w:iCs w:val="false"/>
          <w:color w:val="000000"/>
        </w:rPr>
        <w:t xml:space="preserve">results/docx_graph_attachments/docx_ontology_extension_candidates.png</w:t>
      </w:r>
    </w:p>
    <w:p>
      <w:r>
        <w:rPr>
          <w:b w:val="false"/>
          <w:bCs w:val="false"/>
          <w:i w:val="false"/>
          <w:iCs w:val="false"/>
          <w:color w:val="000000"/>
        </w:rPr>
        <w:t xml:space="preserve">Main interpretation:</w:t>
      </w:r>
    </w:p>
    <w:p>
      <w:r>
        <w:rPr>
          <w:b w:val="false"/>
          <w:bCs w:val="false"/>
          <w:i w:val="false"/>
          <w:iCs w:val="false"/>
          <w:color w:val="000000"/>
        </w:rPr>
        <w:t xml:space="preserve">Diagnostics transform pipeline weaknesses into research evidence. Unmapped aspects can reveal local ESG vocabulary that is not fully covered by imported ontology paths.</w:t>
      </w:r>
    </w:p>
    <w:p>
      <w:pPr>
        <w:pStyle w:val="Heading2"/>
      </w:pPr>
      <w:r>
        <w:rPr>
          <w:b w:val="false"/>
          <w:bCs w:val="false"/>
          <w:i w:val="false"/>
          <w:iCs w:val="false"/>
          <w:color w:val="000000"/>
        </w:rPr>
        <w:t xml:space="preserve">4.7 RQ5 Results: Reproducibility And Artifact Lineage</w:t>
      </w:r>
    </w:p>
    <w:p>
      <w:r>
        <w:rPr>
          <w:b w:val="false"/>
          <w:bCs w:val="false"/>
          <w:i w:val="false"/>
          <w:iCs w:val="false"/>
          <w:color w:val="000000"/>
        </w:rPr>
        <w:t xml:space="preserve">The pipeline supports reproducibility through:</w:t>
      </w:r>
    </w:p>
    <w:p>
      <w:pPr>
        <w:pStyle w:val="ListParagraph"/>
        <w:numPr>
          <w:ilvl w:val="0"/>
          <w:numId w:val="1"/>
        </w:numPr>
      </w:pPr>
      <w:commentRangeStart w:id="97"/>
      <w:r>
        <w:rPr>
          <w:b w:val="false"/>
          <w:bCs w:val="false"/>
          <w:i w:val="false"/>
          <w:iCs w:val="false"/>
          <w:color w:val="000000"/>
        </w:rPr>
        <w:t xml:space="preserve">Background job folder</w:t>
      </w:r>
      <w:commentRangeEnd w:id="97"/>
      <w:commentReference w:id="97"/>
      <w:r>
        <w:rPr>
          <w:b w:val="false"/>
          <w:bCs w:val="false"/>
          <w:i w:val="false"/>
          <w:iCs w:val="false"/>
          <w:color w:val="000000"/>
        </w:rPr>
        <w:t xml:space="preserve">s.</w:t>
      </w:r>
    </w:p>
    <w:p>
      <w:pPr>
        <w:pStyle w:val="ListParagraph"/>
        <w:numPr>
          <w:ilvl w:val="0"/>
          <w:numId w:val="1"/>
        </w:numPr>
      </w:pPr>
      <w:r>
        <w:rPr>
          <w:b w:val="false"/>
          <w:bCs w:val="false"/>
          <w:i w:val="false"/>
          <w:iCs w:val="false"/>
          <w:color w:val="000000"/>
        </w:rPr>
        <w:t xml:space="preserve">Config files.</w:t>
      </w:r>
    </w:p>
    <w:p>
      <w:pPr>
        <w:pStyle w:val="ListParagraph"/>
        <w:numPr>
          <w:ilvl w:val="0"/>
          <w:numId w:val="1"/>
        </w:numPr>
      </w:pPr>
      <w:r>
        <w:rPr>
          <w:b w:val="false"/>
          <w:bCs w:val="false"/>
          <w:i w:val="false"/>
          <w:iCs w:val="false"/>
          <w:color w:val="000000"/>
        </w:rPr>
        <w:t xml:space="preserve">Status files.</w:t>
      </w:r>
    </w:p>
    <w:p>
      <w:pPr>
        <w:pStyle w:val="ListParagraph"/>
        <w:numPr>
          <w:ilvl w:val="0"/>
          <w:numId w:val="1"/>
        </w:numPr>
      </w:pPr>
      <w:r>
        <w:rPr>
          <w:b w:val="false"/>
          <w:bCs w:val="false"/>
          <w:i w:val="false"/>
          <w:iCs w:val="false"/>
          <w:color w:val="000000"/>
        </w:rPr>
        <w:t xml:space="preserve">Event logs.</w:t>
      </w:r>
    </w:p>
    <w:p>
      <w:pPr>
        <w:pStyle w:val="ListParagraph"/>
        <w:numPr>
          <w:ilvl w:val="0"/>
          <w:numId w:val="1"/>
        </w:numPr>
      </w:pPr>
      <w:r>
        <w:rPr>
          <w:b w:val="false"/>
          <w:bCs w:val="false"/>
          <w:i w:val="false"/>
          <w:iCs w:val="false"/>
          <w:color w:val="000000"/>
        </w:rPr>
        <w:t xml:space="preserve">Prompt names.</w:t>
      </w:r>
    </w:p>
    <w:p>
      <w:pPr>
        <w:pStyle w:val="ListParagraph"/>
        <w:numPr>
          <w:ilvl w:val="0"/>
          <w:numId w:val="1"/>
        </w:numPr>
      </w:pPr>
      <w:r>
        <w:rPr>
          <w:b w:val="false"/>
          <w:bCs w:val="false"/>
          <w:i w:val="false"/>
          <w:iCs w:val="false"/>
          <w:color w:val="000000"/>
        </w:rPr>
        <w:t xml:space="preserve">Model names.</w:t>
      </w:r>
    </w:p>
    <w:p>
      <w:pPr>
        <w:pStyle w:val="ListParagraph"/>
        <w:numPr>
          <w:ilvl w:val="0"/>
          <w:numId w:val="1"/>
        </w:numPr>
      </w:pPr>
      <w:r>
        <w:rPr>
          <w:b w:val="false"/>
          <w:bCs w:val="false"/>
          <w:i w:val="false"/>
          <w:iCs w:val="false"/>
          <w:color w:val="000000"/>
        </w:rPr>
        <w:t xml:space="preserve">Timestamped records.</w:t>
      </w:r>
    </w:p>
    <w:p>
      <w:pPr>
        <w:pStyle w:val="ListParagraph"/>
        <w:numPr>
          <w:ilvl w:val="0"/>
          <w:numId w:val="1"/>
        </w:numPr>
      </w:pPr>
      <w:r>
        <w:rPr>
          <w:b w:val="false"/>
          <w:bCs w:val="false"/>
          <w:i w:val="false"/>
          <w:iCs w:val="false"/>
          <w:color w:val="000000"/>
        </w:rPr>
        <w:t xml:space="preserve">Graph attachments.</w:t>
      </w:r>
    </w:p>
    <w:p>
      <w:pPr>
        <w:pStyle w:val="ListParagraph"/>
        <w:numPr>
          <w:ilvl w:val="0"/>
          <w:numId w:val="1"/>
        </w:numPr>
      </w:pPr>
      <w:r>
        <w:rPr>
          <w:b w:val="false"/>
          <w:bCs w:val="false"/>
          <w:i w:val="false"/>
          <w:iCs w:val="false"/>
          <w:color w:val="000000"/>
        </w:rPr>
        <w:t xml:space="preserve">Backing tables.</w:t>
      </w:r>
    </w:p>
    <w:p>
      <w:pPr>
        <w:pStyle w:val="ListParagraph"/>
        <w:numPr>
          <w:ilvl w:val="0"/>
          <w:numId w:val="1"/>
        </w:numPr>
      </w:pPr>
      <w:r>
        <w:rPr>
          <w:b w:val="false"/>
          <w:bCs w:val="false"/>
          <w:i w:val="false"/>
          <w:iCs w:val="false"/>
          <w:color w:val="000000"/>
        </w:rPr>
        <w:t xml:space="preserve">Streamlit chapter pages.</w:t>
      </w:r>
    </w:p>
    <w:p>
      <w:r>
        <w:rPr>
          <w:b w:val="false"/>
          <w:bCs w:val="false"/>
          <w:i w:val="false"/>
          <w:iCs w:val="false"/>
          <w:color w:val="000000"/>
        </w:rPr>
        <w:t xml:space="preserve">Important pages:</w:t>
      </w:r>
    </w:p>
    <w:p>
      <w:pPr>
        <w:pStyle w:val="ListParagraph"/>
        <w:numPr>
          <w:ilvl w:val="0"/>
          <w:numId w:val="1"/>
        </w:numPr>
      </w:pPr>
      <w:r>
        <w:rPr>
          <w:b w:val="false"/>
          <w:bCs w:val="false"/>
          <w:i w:val="false"/>
          <w:iCs w:val="false"/>
          <w:color w:val="000000"/>
        </w:rPr>
        <w:t xml:space="preserve">pages/2_3_LLM_Background_Run_Monitor.py</w:t>
      </w:r>
    </w:p>
    <w:p>
      <w:pPr>
        <w:pStyle w:val="ListParagraph"/>
        <w:numPr>
          <w:ilvl w:val="0"/>
          <w:numId w:val="1"/>
        </w:numPr>
      </w:pPr>
      <w:r>
        <w:rPr>
          <w:b w:val="false"/>
          <w:bCs w:val="false"/>
          <w:i w:val="false"/>
          <w:iCs w:val="false"/>
          <w:color w:val="000000"/>
        </w:rPr>
        <w:t xml:space="preserve">pages/6_0_Thesis_Draft_Chapter_Integration_Mermaid.py</w:t>
      </w:r>
    </w:p>
    <w:p>
      <w:pPr>
        <w:pStyle w:val="ListParagraph"/>
        <w:numPr>
          <w:ilvl w:val="0"/>
          <w:numId w:val="1"/>
        </w:numPr>
      </w:pPr>
      <w:r>
        <w:rPr>
          <w:b w:val="false"/>
          <w:bCs w:val="false"/>
          <w:i w:val="false"/>
          <w:iCs w:val="false"/>
          <w:color w:val="000000"/>
        </w:rPr>
        <w:t xml:space="preserve">pages/6_4_ch4-6.py</w:t>
      </w:r>
    </w:p>
    <w:p>
      <w:r>
        <w:rPr>
          <w:b w:val="false"/>
          <w:bCs w:val="false"/>
          <w:i w:val="false"/>
          <w:iCs w:val="false"/>
          <w:color w:val="000000"/>
        </w:rPr>
        <w:t xml:space="preserve">Main interpretation:</w:t>
      </w:r>
    </w:p>
    <w:p>
      <w:commentRangeStart w:id="102"/>
      <w:r>
        <w:rPr>
          <w:b w:val="false"/>
          <w:bCs w:val="false"/>
          <w:i w:val="false"/>
          <w:iCs w:val="false"/>
          <w:color w:val="000000"/>
        </w:rPr>
        <w:t xml:space="preserve">Reproducibility is operationalized through artifact lineage. A thesis claim should point to a graph, a backing table, a source artifact, and a Streamlit page.</w:t>
      </w:r>
      <w:commentRangeEnd w:id="102"/>
      <w:commentReference w:id="102"/>
    </w:p>
    <w:p>
      <w:pPr>
        <w:pStyle w:val="Heading2"/>
      </w:pPr>
      <w:r>
        <w:rPr>
          <w:b w:val="false"/>
          <w:bCs w:val="false"/>
          <w:i w:val="false"/>
          <w:iCs w:val="false"/>
          <w:color w:val="000000"/>
        </w:rPr>
        <w:t xml:space="preserve">4.8 RQ6 Results: Model And Prompt Stability</w:t>
      </w:r>
    </w:p>
    <w:p>
      <w:r>
        <w:rPr>
          <w:b w:val="false"/>
          <w:bCs w:val="false"/>
          <w:i w:val="false"/>
          <w:iCs w:val="false"/>
          <w:color w:val="000000"/>
        </w:rPr>
        <w:t xml:space="preserve">Current model-stability summary includes two visible model configurations: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4E4E7"/>
          </w:tcPr>
          <w:p>
            <w:r>
              <w:rPr>
                <w:b/>
                <w:bCs/>
                <w:i w:val="false"/>
                <w:iCs w:val="false"/>
                <w:color w:val="000000"/>
              </w:rPr>
              <w:t xml:space="preserve">Mod</w:t>
            </w:r>
            <w:commentRangeEnd w:id="101"/>
            <w:commentReference w:id="101"/>
            <w:r>
              <w:rPr>
                <w:b/>
                <w:bCs/>
                <w:i w:val="false"/>
                <w:iCs w:val="false"/>
                <w:color w:val="000000"/>
              </w:rPr>
              <w:t xml:space="preserve">el</w:t>
            </w:r>
          </w:p>
        </w:tc>
        <w:tc>
          <w:tcPr>
            <w:shd w:fill="E4E4E7"/>
          </w:tcPr>
          <w:p>
            <w:r>
              <w:rPr>
                <w:b/>
                <w:bCs/>
                <w:i w:val="false"/>
                <w:iCs w:val="false"/>
                <w:color w:val="000000"/>
              </w:rPr>
              <w:t xml:space="preserve">Runs</w:t>
            </w:r>
          </w:p>
        </w:tc>
        <w:tc>
          <w:tcPr>
            <w:shd w:fill="E4E4E7"/>
          </w:tcPr>
          <w:p>
            <w:r>
              <w:rPr>
                <w:b/>
                <w:bCs/>
                <w:i w:val="false"/>
                <w:iCs w:val="false"/>
                <w:color w:val="000000"/>
              </w:rPr>
              <w:t xml:space="preserve">JSON parse success</w:t>
            </w:r>
          </w:p>
        </w:tc>
        <w:tc>
          <w:tcPr>
            <w:shd w:fill="E4E4E7"/>
          </w:tcPr>
          <w:p>
            <w:r>
              <w:rPr>
                <w:b/>
                <w:bCs/>
                <w:i w:val="false"/>
                <w:iCs w:val="false"/>
                <w:color w:val="000000"/>
              </w:rPr>
              <w:t xml:space="preserve">Average records</w:t>
            </w:r>
          </w:p>
        </w:tc>
        <w:tc>
          <w:tcPr>
            <w:shd w:fill="E4E4E7"/>
          </w:tcPr>
          <w:p>
            <w:r>
              <w:rPr>
                <w:b/>
                <w:bCs/>
                <w:i w:val="false"/>
                <w:iCs w:val="false"/>
                <w:color w:val="000000"/>
              </w:rPr>
              <w:t xml:space="preserve">Missing-tone rate</w:t>
            </w:r>
          </w:p>
        </w:tc>
      </w:tr>
      <w:tr>
        <w:tc>
          <w:tcPr>
            <w:shd w:fill="E4E4E7"/>
          </w:tcPr>
          <w:p>
            <w:r>
              <w:rPr>
                <w:b w:val="false"/>
                <w:bCs w:val="false"/>
                <w:i w:val="false"/>
                <w:iCs w:val="false"/>
                <w:color w:val="000000"/>
              </w:rPr>
              <w:t xml:space="preserve">arcee-ai/trinity-large-preview:fr</w:t>
            </w:r>
            <w:commentRangeEnd w:id="98"/>
            <w:commentReference w:id="98"/>
            <w:r>
              <w:rPr>
                <w:b w:val="false"/>
                <w:bCs w:val="false"/>
                <w:i w:val="false"/>
                <w:iCs w:val="false"/>
                <w:color w:val="000000"/>
              </w:rPr>
              <w:t xml:space="preserve">ee</w:t>
            </w:r>
          </w:p>
        </w:tc>
        <w:tc>
          <w:tcPr>
            <w:shd w:fill="E4E4E7"/>
          </w:tcPr>
          <w:p>
            <w:r>
              <w:rPr>
                <w:b w:val="false"/>
                <w:bCs w:val="false"/>
                <w:i w:val="false"/>
                <w:iCs w:val="false"/>
                <w:color w:val="000000"/>
              </w:rPr>
              <w:t xml:space="preserve">90</w:t>
            </w:r>
          </w:p>
        </w:tc>
        <w:tc>
          <w:tcPr>
            <w:shd w:fill="E4E4E7"/>
          </w:tcPr>
          <w:p>
            <w:r>
              <w:rPr>
                <w:b w:val="false"/>
                <w:bCs w:val="false"/>
                <w:i w:val="false"/>
                <w:iCs w:val="false"/>
                <w:color w:val="000000"/>
              </w:rPr>
              <w:t xml:space="preserve">1.000</w:t>
            </w:r>
          </w:p>
        </w:tc>
        <w:tc>
          <w:tcPr>
            <w:shd w:fill="E4E4E7"/>
          </w:tcPr>
          <w:p>
            <w:r>
              <w:rPr>
                <w:b w:val="false"/>
                <w:bCs w:val="false"/>
                <w:i w:val="false"/>
                <w:iCs w:val="false"/>
                <w:color w:val="000000"/>
              </w:rPr>
              <w:t xml:space="preserve">3.0</w:t>
            </w:r>
            <w:commentRangeEnd w:id="99"/>
            <w:commentReference w:id="99"/>
            <w:r>
              <w:rPr>
                <w:b w:val="false"/>
                <w:bCs w:val="false"/>
                <w:i w:val="false"/>
                <w:iCs w:val="false"/>
                <w:color w:val="000000"/>
              </w:rPr>
              <w:t xml:space="preserve">22</w:t>
            </w:r>
          </w:p>
        </w:tc>
        <w:tc>
          <w:tcPr>
            <w:shd w:fill="E4E4E7"/>
          </w:tcPr>
          <w:p>
            <w:r>
              <w:rPr>
                <w:b w:val="false"/>
                <w:bCs w:val="false"/>
                <w:i w:val="false"/>
                <w:iCs w:val="false"/>
                <w:color w:val="000000"/>
              </w:rPr>
              <w:t xml:space="preserve">0.000463</w:t>
            </w:r>
          </w:p>
        </w:tc>
      </w:tr>
      <w:tr>
        <w:tc>
          <w:tcPr>
            <w:shd w:fill="E4E4E7"/>
          </w:tcPr>
          <w:p>
            <w:r>
              <w:rPr>
                <w:b w:val="false"/>
                <w:bCs w:val="false"/>
                <w:i w:val="false"/>
                <w:iCs w:val="false"/>
                <w:color w:val="000000"/>
              </w:rPr>
              <w:t xml:space="preserve">openai/gpt-oss-120b:free</w:t>
            </w:r>
          </w:p>
        </w:tc>
        <w:tc>
          <w:tcPr>
            <w:shd w:fill="E4E4E7"/>
          </w:tcPr>
          <w:p>
            <w:r>
              <w:rPr>
                <w:b w:val="false"/>
                <w:bCs w:val="false"/>
                <w:i w:val="false"/>
                <w:iCs w:val="false"/>
                <w:color w:val="000000"/>
              </w:rPr>
              <w:t xml:space="preserve">20</w:t>
            </w:r>
          </w:p>
        </w:tc>
        <w:tc>
          <w:tcPr>
            <w:shd w:fill="E4E4E7"/>
          </w:tcPr>
          <w:p>
            <w:r>
              <w:rPr>
                <w:b w:val="false"/>
                <w:bCs w:val="false"/>
                <w:i w:val="false"/>
                <w:iCs w:val="false"/>
                <w:color w:val="000000"/>
              </w:rPr>
              <w:t xml:space="preserve">1.000</w:t>
            </w:r>
          </w:p>
        </w:tc>
        <w:tc>
          <w:tcPr>
            <w:shd w:fill="E4E4E7"/>
          </w:tcPr>
          <w:p>
            <w:r>
              <w:rPr>
                <w:b w:val="false"/>
                <w:bCs w:val="false"/>
                <w:i w:val="false"/>
                <w:iCs w:val="false"/>
                <w:color w:val="000000"/>
              </w:rPr>
              <w:t xml:space="preserve">3.000</w:t>
            </w:r>
          </w:p>
        </w:tc>
        <w:tc>
          <w:tcPr>
            <w:shd w:fill="E4E4E7"/>
          </w:tcPr>
          <w:p>
            <w:r>
              <w:rPr>
                <w:b w:val="false"/>
                <w:bCs w:val="false"/>
                <w:i w:val="false"/>
                <w:iCs w:val="false"/>
                <w:color w:val="000000"/>
              </w:rPr>
              <w:t xml:space="preserve">1.0000</w:t>
            </w:r>
            <w:commentRangeEnd w:id="100"/>
            <w:commentReference w:id="100"/>
            <w:r>
              <w:rPr>
                <w:b w:val="false"/>
                <w:bCs w:val="false"/>
                <w:i w:val="false"/>
                <w:iCs w:val="false"/>
                <w:color w:val="000000"/>
              </w:rPr>
              <w:t xml:space="preserve">00</w:t>
            </w:r>
          </w:p>
        </w:tc>
      </w:tr>
    </w:tbl>
    <w:p>
      <w:r>
        <w:rPr>
          <w:b w:val="false"/>
          <w:bCs w:val="false"/>
          <w:i w:val="false"/>
          <w:iCs w:val="false"/>
          <w:color w:val="000000"/>
        </w:rPr>
        <w:t xml:space="preserve">Current prompt-stability output contains seven prompt templates. The summary shows that prompt design strongly affects missing-tone rate and field completion rate.</w:t>
      </w:r>
    </w:p>
    <w:p>
      <w:r>
        <w:rPr>
          <w:b w:val="false"/>
          <w:bCs w:val="false"/>
          <w:i w:val="false"/>
          <w:iCs w:val="false"/>
          <w:color w:val="000000"/>
        </w:rPr>
        <w:t xml:space="preserve">Important artifacts:</w:t>
      </w:r>
    </w:p>
    <w:p>
      <w:pPr>
        <w:pStyle w:val="ListParagraph"/>
        <w:numPr>
          <w:ilvl w:val="0"/>
          <w:numId w:val="1"/>
        </w:numPr>
      </w:pPr>
      <w:r>
        <w:rPr>
          <w:b w:val="false"/>
          <w:bCs w:val="false"/>
          <w:i w:val="false"/>
          <w:iCs w:val="false"/>
          <w:color w:val="000000"/>
        </w:rPr>
        <w:t xml:space="preserve">results/thesis_workflow_dashboard/model_stability_summary.csv</w:t>
      </w:r>
    </w:p>
    <w:p>
      <w:pPr>
        <w:pStyle w:val="ListParagraph"/>
        <w:numPr>
          <w:ilvl w:val="0"/>
          <w:numId w:val="1"/>
        </w:numPr>
      </w:pPr>
      <w:r>
        <w:rPr>
          <w:b w:val="false"/>
          <w:bCs w:val="false"/>
          <w:i w:val="false"/>
          <w:iCs w:val="false"/>
          <w:color w:val="000000"/>
        </w:rPr>
        <w:t xml:space="preserve">results/thesis_workflow_dashboard/prompt_stability_summary.csv</w:t>
      </w:r>
    </w:p>
    <w:p>
      <w:pPr>
        <w:pStyle w:val="ListParagraph"/>
        <w:numPr>
          <w:ilvl w:val="0"/>
          <w:numId w:val="1"/>
        </w:numPr>
      </w:pPr>
      <w:r>
        <w:rPr>
          <w:b w:val="false"/>
          <w:bCs w:val="false"/>
          <w:i w:val="false"/>
          <w:iCs w:val="false"/>
          <w:color w:val="000000"/>
        </w:rPr>
        <w:t xml:space="preserve">results/docx_graph_attachments/docx_model_parse_success.png</w:t>
      </w:r>
    </w:p>
    <w:p>
      <w:pPr>
        <w:pStyle w:val="ListParagraph"/>
        <w:numPr>
          <w:ilvl w:val="0"/>
          <w:numId w:val="1"/>
        </w:numPr>
      </w:pPr>
      <w:r>
        <w:rPr>
          <w:b w:val="false"/>
          <w:bCs w:val="false"/>
          <w:i w:val="false"/>
          <w:iCs w:val="false"/>
          <w:color w:val="000000"/>
        </w:rPr>
        <w:t xml:space="preserve">results/docx_graph_attachments/docx_prompt_missing_tone_rate.png</w:t>
      </w:r>
    </w:p>
    <w:p>
      <w:r>
        <w:rPr>
          <w:b w:val="false"/>
          <w:bCs w:val="false"/>
          <w:i w:val="false"/>
          <w:iCs w:val="false"/>
          <w:color w:val="000000"/>
        </w:rPr>
        <w:t xml:space="preserve">Main interpretation:</w:t>
      </w:r>
    </w:p>
    <w:p>
      <w:r>
        <w:rPr>
          <w:b w:val="false"/>
          <w:bCs w:val="false"/>
          <w:i w:val="false"/>
          <w:iCs w:val="false"/>
          <w:color w:val="000000"/>
        </w:rPr>
        <w:t xml:space="preserve">Model and prompt stability must be reported because LLM extraction quality is not fixed</w:t>
      </w:r>
      <w:sdt>
        <w:sdtPr>
          <w:tag w:val="CITATION AtilB24"/>
          <w:id w:val="1187302409"/>
          <w:citation/>
        </w:sdtPr>
        <w:sdtContent>
          <w:r>
            <w:fldChar w:fldCharType="begin"/>
          </w:r>
          <w:r>
            <w:instrText xml:space="preserve"> CITATION AtilB24 \p 1 \l 1033 </w:instrText>
          </w:r>
          <w:r>
            <w:fldChar w:fldCharType="separate"/>
          </w:r>
          <w:r>
            <w:rPr>
              <w:noProof/>
            </w:rPr>
            <w:t xml:space="preserve">(Atil et al., 2024)</w:t>
          </w:r>
          <w:r>
            <w:fldChar w:fldCharType="end"/>
          </w:r>
        </w:sdtContent>
      </w:sdt>
      <w:r>
        <w:rPr>
          <w:b w:val="false"/>
          <w:bCs w:val="false"/>
          <w:i w:val="false"/>
          <w:iCs w:val="false"/>
          <w:color w:val="000000"/>
        </w:rPr>
        <w:t xml:space="preserve">. A prompt may parse successfully while still producing incomplete fields.</w:t>
      </w:r>
    </w:p>
    <w:p>
      <w:pPr>
        <w:pStyle w:val="Heading2"/>
      </w:pPr>
      <w:r>
        <w:rPr>
          <w:b w:val="false"/>
          <w:bCs w:val="false"/>
          <w:i w:val="false"/>
          <w:iCs w:val="false"/>
          <w:color w:val="000000"/>
        </w:rPr>
        <w:t xml:space="preserve">4.9 Benchmarking Plan</w:t>
      </w:r>
    </w:p>
    <w:p>
      <w:r>
        <w:rPr>
          <w:b w:val="false"/>
          <w:bCs w:val="false"/>
          <w:i w:val="false"/>
          <w:iCs w:val="false"/>
          <w:color w:val="000000"/>
        </w:rPr>
        <w:t xml:space="preserve">The thesis should benchmark against four categories:</w:t>
      </w:r>
    </w:p>
    <w:p>
      <w:pPr>
        <w:pStyle w:val="ListParagraph"/>
        <w:numPr>
          <w:ilvl w:val="0"/>
          <w:numId w:val="6"/>
        </w:numPr>
      </w:pPr>
      <w:commentRangeStart w:id="106"/>
      <w:r>
        <w:rPr>
          <w:b/>
          <w:bCs/>
          <w:i w:val="false"/>
          <w:iCs w:val="false"/>
          <w:color w:val="000000"/>
        </w:rPr>
        <w:t xml:space="preserve">ClimateBERT baseline</w:t>
      </w:r>
      <w:r>
        <w:rPr>
          <w:b w:val="false"/>
          <w:bCs w:val="false"/>
          <w:i w:val="false"/>
          <w:iCs w:val="false"/>
          <w:color w:val="000000"/>
        </w:rPr>
        <w:t xml:space="preserve">: compare ESG tone labels with climate-specific predictions.</w:t>
      </w:r>
      <w:commentRangeEnd w:id="106"/>
      <w:commentReference w:id="106"/>
    </w:p>
    <w:p>
      <w:pPr>
        <w:pStyle w:val="ListParagraph"/>
        <w:numPr>
          <w:ilvl w:val="0"/>
          <w:numId w:val="6"/>
        </w:numPr>
      </w:pPr>
      <w:commentRangeStart w:id="108"/>
      <w:r>
        <w:rPr>
          <w:b/>
          <w:bCs/>
          <w:i w:val="false"/>
          <w:iCs w:val="false"/>
          <w:color w:val="000000"/>
        </w:rPr>
        <w:t xml:space="preserve">Human annotation agreement</w:t>
      </w:r>
      <w:r>
        <w:rPr>
          <w:b w:val="false"/>
          <w:bCs w:val="false"/>
          <w:i w:val="false"/>
          <w:iCs w:val="false"/>
          <w:color w:val="000000"/>
        </w:rPr>
        <w:t xml:space="preserve">: compare model or silver labels against manually reviewed annotations.</w:t>
      </w:r>
      <w:commentRangeEnd w:id="108"/>
      <w:commentReference w:id="108"/>
    </w:p>
    <w:p>
      <w:pPr>
        <w:pStyle w:val="ListParagraph"/>
        <w:numPr>
          <w:ilvl w:val="0"/>
          <w:numId w:val="6"/>
        </w:numPr>
      </w:pPr>
      <w:commentRangeStart w:id="109"/>
      <w:r>
        <w:rPr>
          <w:b/>
          <w:bCs/>
          <w:i w:val="false"/>
          <w:iCs w:val="false"/>
          <w:color w:val="000000"/>
        </w:rPr>
        <w:t xml:space="preserve">Repeated LLM runs</w:t>
      </w:r>
      <w:r>
        <w:rPr>
          <w:b w:val="false"/>
          <w:bCs w:val="false"/>
          <w:i w:val="false"/>
          <w:iCs w:val="false"/>
          <w:color w:val="000000"/>
        </w:rPr>
        <w:t xml:space="preserve">: measure stability across repeated prompts, models, and providers.</w:t>
      </w:r>
      <w:commentRangeEnd w:id="109"/>
      <w:commentReference w:id="109"/>
    </w:p>
    <w:p>
      <w:pPr>
        <w:pStyle w:val="ListParagraph"/>
        <w:numPr>
          <w:ilvl w:val="0"/>
          <w:numId w:val="6"/>
        </w:numPr>
      </w:pPr>
      <w:commentRangeStart w:id="107"/>
      <w:r>
        <w:rPr>
          <w:b/>
          <w:bCs/>
          <w:i w:val="false"/>
          <w:iCs w:val="false"/>
          <w:color w:val="000000"/>
        </w:rPr>
        <w:t xml:space="preserve">Ontology extension</w:t>
      </w:r>
      <w:r>
        <w:rPr>
          <w:b w:val="false"/>
          <w:bCs w:val="false"/>
          <w:i w:val="false"/>
          <w:iCs w:val="false"/>
          <w:color w:val="000000"/>
        </w:rPr>
        <w:t xml:space="preserve">: compare mapped versus unmapped aspects and justify local vocabulary additions.</w:t>
      </w:r>
      <w:commentRangeEnd w:id="107"/>
      <w:commentReference w:id="107"/>
    </w:p>
    <w:p>
      <w:r>
        <w:rPr>
          <w:b w:val="false"/>
          <w:bCs w:val="false"/>
          <w:i w:val="false"/>
          <w:iCs w:val="false"/>
          <w:color w:val="000000"/>
        </w:rPr>
        <w:t xml:space="preserve">Benchmark artifacts:</w:t>
      </w:r>
    </w:p>
    <w:p>
      <w:pPr>
        <w:pStyle w:val="ListParagraph"/>
        <w:numPr>
          <w:ilvl w:val="0"/>
          <w:numId w:val="1"/>
        </w:numPr>
      </w:pPr>
      <w:r>
        <w:rPr>
          <w:b w:val="false"/>
          <w:bCs w:val="false"/>
          <w:i w:val="false"/>
          <w:iCs w:val="false"/>
          <w:color w:val="000000"/>
        </w:rPr>
        <w:t xml:space="preserve">human_agreement_summary.csv</w:t>
      </w:r>
    </w:p>
    <w:p>
      <w:pPr>
        <w:pStyle w:val="ListParagraph"/>
        <w:numPr>
          <w:ilvl w:val="0"/>
          <w:numId w:val="1"/>
        </w:numPr>
      </w:pPr>
      <w:r>
        <w:rPr>
          <w:b w:val="false"/>
          <w:bCs w:val="false"/>
          <w:i w:val="false"/>
          <w:iCs w:val="false"/>
          <w:color w:val="000000"/>
        </w:rPr>
        <w:t xml:space="preserve">model_prompt_repeated_run_ci.csv</w:t>
      </w:r>
    </w:p>
    <w:p>
      <w:pPr>
        <w:pStyle w:val="ListParagraph"/>
        <w:numPr>
          <w:ilvl w:val="0"/>
          <w:numId w:val="1"/>
        </w:numPr>
      </w:pPr>
      <w:r>
        <w:rPr>
          <w:b w:val="false"/>
          <w:bCs w:val="false"/>
          <w:i w:val="false"/>
          <w:iCs w:val="false"/>
          <w:color w:val="000000"/>
        </w:rPr>
        <w:t xml:space="preserve">climatebert_baseline_comparison.csv</w:t>
      </w:r>
    </w:p>
    <w:p>
      <w:pPr>
        <w:pStyle w:val="ListParagraph"/>
        <w:numPr>
          <w:ilvl w:val="0"/>
          <w:numId w:val="1"/>
        </w:numPr>
      </w:pPr>
      <w:r>
        <w:rPr>
          <w:b w:val="false"/>
          <w:bCs w:val="false"/>
          <w:i w:val="false"/>
          <w:iCs w:val="false"/>
          <w:color w:val="000000"/>
        </w:rPr>
        <w:t xml:space="preserve">indonesian_esg_ontology_extension.csv</w:t>
      </w:r>
    </w:p>
    <w:p>
      <w:pPr>
        <w:pStyle w:val="Heading1"/>
      </w:pPr>
      <w:r>
        <w:rPr>
          <w:b w:val="false"/>
          <w:bCs w:val="false"/>
          <w:i w:val="false"/>
          <w:iCs w:val="false"/>
          <w:color w:val="000000"/>
        </w:rPr>
        <w:t xml:space="preserve">5. Discussion</w:t>
      </w:r>
    </w:p>
    <w:p>
      <w:r>
        <w:rPr>
          <w:b w:val="false"/>
          <w:bCs w:val="false"/>
          <w:i w:val="false"/>
          <w:iCs w:val="false"/>
          <w:color w:val="000000"/>
        </w:rPr>
        <w:t xml:space="preserve">Chapter 5 interprets the empirical findings of Chapter 4 against the research questions, identifies systematic failure modes in the pipeline, and situates the results within the broader ESG NLP literature. The chapter proceeds through four themes: validation of the tone annotation schema and ontology (RQ2), deeper analysis of the ClimateBERT divergence finding (RQ3), diagnostics for extraction weaknesses (RQ4), and assessment of the human annotation gap (RQ2/RQ5).</w:t>
      </w:r>
    </w:p>
    <w:p>
      <w:pPr>
        <w:pStyle w:val="Heading2"/>
      </w:pPr>
      <w:r>
        <w:rPr>
          <w:b w:val="false"/>
          <w:bCs w:val="false"/>
          <w:i w:val="false"/>
          <w:iCs w:val="false"/>
          <w:color w:val="000000"/>
        </w:rPr>
        <w:t xml:space="preserve">5.1  Validation of the Tone Taxonomy and ESG Ontology (RQ2)</w:t>
      </w:r>
    </w:p>
    <w:p>
      <w:pPr>
        <w:pStyle w:val="Heading3"/>
      </w:pPr>
      <w:r>
        <w:rPr>
          <w:b w:val="false"/>
          <w:bCs w:val="false"/>
          <w:i w:val="false"/>
          <w:iCs w:val="false"/>
          <w:color w:val="000000"/>
        </w:rPr>
        <w:t xml:space="preserve">5.1.1  Annotation Completion and Inter-Annotator Agreement Gap</w:t>
      </w:r>
    </w:p>
    <w:p>
      <w:r>
        <w:rPr>
          <w:b w:val="false"/>
          <w:bCs w:val="false"/>
          <w:i w:val="false"/>
          <w:iCs w:val="false"/>
          <w:color w:val="000000"/>
        </w:rPr>
        <w:t xml:space="preserve">The human annotation completion analysis (Figure A.13, A.18) reveals the most significant validation gap in the current study. Of the 5,444 silver-dataset rows, ground-truth tone labels were completed for 4,853 rows (89.2%), with 591 rows pending review. The pilot annotation infrastructure was designed for 70 seed records — a sufficient sample for a reliable kappa estimate under standard NLP annotation study conventions. However, the 70 pilot records are at 100% needs_review status, meaning no human annotator has yet reviewed any pilot record. The annotator field is zero across all 5,444 rows.</w:t>
      </w:r>
    </w:p>
    <w:p>
      <w:r>
        <w:rPr>
          <w:b w:val="false"/>
          <w:bCs w:val="false"/>
          <w:i/>
          <w:iCs/>
          <w:color w:val="000000"/>
        </w:rPr>
        <w:t xml:space="preserve">[Figure A.13: Human annotation agreement]</w:t>
      </w:r>
    </w:p>
    <w:p>
      <w:r>
        <w:rPr>
          <w:b w:val="false"/>
          <w:bCs w:val="false"/>
          <w:i/>
          <w:iCs/>
          <w:color w:val="000000"/>
        </w:rPr>
        <w:t xml:space="preserve">[Figure A.18: Pilot annotation completion]</w:t>
      </w:r>
    </w:p>
    <w:p>
      <w:r>
        <w:rPr>
          <w:b w:val="false"/>
          <w:bCs w:val="false"/>
          <w:i w:val="false"/>
          <w:iCs w:val="false"/>
          <w:color w:val="000000"/>
        </w:rPr>
        <w:t xml:space="preserve">The consequence is unambiguous: formal inter-annotator agreement cannot be computed from the current data. </w:t>
      </w:r>
      <w:commentRangeStart w:id="104"/>
      <w:r>
        <w:rPr>
          <w:b w:val="false"/>
          <w:bCs w:val="false"/>
          <w:i w:val="false"/>
          <w:iCs w:val="false"/>
          <w:color w:val="000000"/>
        </w:rPr>
        <w:t xml:space="preserve">The kappa=0.645 figure reported in Chapter 4 is a proxy agreement between two automated systems, not a human IAA coefficient.</w:t>
      </w:r>
      <w:commentRangeEnd w:id="104"/>
      <w:commentReference w:id="104"/>
      <w:r>
        <w:rPr>
          <w:b w:val="false"/>
          <w:bCs w:val="false"/>
          <w:i w:val="false"/>
          <w:iCs w:val="false"/>
          <w:color w:val="000000"/>
        </w:rPr>
        <w:t xml:space="preserve"> While proxy kappa is a legitimate and frequently used validation tool in computational linguistics — particularly when constructing silver datasets via automated labelling — it answers a different question from human IAA. Proxy kappa measures system-to-system consistency; human IAA measures whether the annotation schema is interpretable and consistently applicable by human experts. The latter is the gold standard for NLP annotation validation.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4E4E7"/>
          </w:tcPr>
          <w:p>
            <w:r>
              <w:rPr>
                <w:b w:val="false"/>
                <w:bCs w:val="false"/>
                <w:i/>
                <w:iCs/>
                <w:color w:val="000000"/>
              </w:rPr>
              <w:t xml:space="preserve">Limitation: </w:t>
            </w:r>
            <w:r>
              <w:rPr>
                <w:b w:val="false"/>
                <w:bCs w:val="false"/>
                <w:i/>
                <w:iCs/>
                <w:color w:val="000000"/>
              </w:rPr>
              <w:t xml:space="preserve">The absence of completed human annotation means the tone taxonomy cannot currently be validated against the IAA standards required for NLP publication (kappa &gt;= 0.70 by Landis and Koch</w:t>
            </w:r>
            <w:commentRangeEnd w:id="103"/>
            <w:commentReference w:id="103"/>
            <w:sdt>
              <w:sdtPr>
                <w:tag w:val="CITATION HallgrenK12"/>
                <w:id w:val="744001223"/>
                <w:citation/>
              </w:sdtPr>
              <w:sdtContent>
                <w:r>
                  <w:fldChar w:fldCharType="begin"/>
                </w:r>
                <w:r>
                  <w:instrText xml:space="preserve"> CITATION HallgrenK12 \p 27 \l 1033 </w:instrText>
                </w:r>
                <w:r>
                  <w:fldChar w:fldCharType="separate"/>
                </w:r>
                <w:r>
                  <w:rPr>
                    <w:noProof/>
                  </w:rPr>
                  <w:t xml:space="preserve">(Hallgren, 2012)</w:t>
                </w:r>
                <w:r>
                  <w:fldChar w:fldCharType="end"/>
                </w:r>
              </w:sdtContent>
            </w:sdt>
            <w:r>
              <w:rPr>
                <w:b w:val="false"/>
                <w:bCs w:val="false"/>
                <w:i/>
                <w:iCs/>
                <w:color w:val="000000"/>
              </w:rPr>
              <w:t xml:space="preserve">).</w:t>
            </w:r>
            <w:commentRangeEnd w:id="103"/>
            <w:commentReference w:id="103"/>
            <w:r>
              <w:rPr>
                <w:b w:val="false"/>
                <w:bCs w:val="false"/>
                <w:i/>
                <w:iCs/>
                <w:color w:val="000000"/>
              </w:rPr>
              <w:t xml:space="preserve"> </w:t>
            </w:r>
            <w:r>
              <w:rPr>
                <w:b w:val="false"/>
                <w:bCs w:val="false"/>
                <w:i/>
                <w:iCs/>
                <w:color w:val="000000"/>
              </w:rPr>
              <w:t xml:space="preserve">The infrastructure for this validation exists — the 70 pilot seed records are prepared and the annotation interface is built — but the human annotation step was not completed within the study period. This is the primary remaining validation task before the annotation schema can be claimed as formally validated.</w:t>
            </w:r>
            <w:commentRangeEnd w:id="105"/>
            <w:commentReference w:id="105"/>
          </w:p>
        </w:tc>
      </w:tr>
    </w:tbl>
    <w:p>
      <w:r>
        <w:rPr>
          <w:b w:val="false"/>
          <w:bCs w:val="false"/>
          <w:i w:val="false"/>
          <w:iCs w:val="false"/>
          <w:color w:val="000000"/>
        </w:rPr>
        <w:t xml:space="preserve">It is important not to overstate this limitation. The silver dataset's high field completeness (A.17), the aspect-tone concentration patterns in A.3, and the tone comparison accuracy in A.19 collectively provide strong circumstantial evidence that the annotation schema is capturing semantically coherent structure. The schema is behaviourally validated by the pipeline; </w:t>
      </w:r>
      <w:commentRangeStart w:id="110"/>
      <w:r>
        <w:rPr>
          <w:b w:val="false"/>
          <w:bCs w:val="false"/>
          <w:i w:val="false"/>
          <w:iCs w:val="false"/>
          <w:color w:val="000000"/>
        </w:rPr>
        <w:t xml:space="preserve">what is missing is independent human confirmation. This is a standard distinction in silver-dataset NLP work and should be framed accordingly in the thesis's contribution claims.</w:t>
      </w:r>
      <w:commentRangeEnd w:id="110"/>
      <w:commentReference w:id="110"/>
    </w:p>
    <w:p>
      <w:pPr>
        <w:pStyle w:val="Heading3"/>
      </w:pPr>
      <w:r>
        <w:rPr>
          <w:b w:val="false"/>
          <w:bCs w:val="false"/>
          <w:i w:val="false"/>
          <w:iCs w:val="false"/>
          <w:color w:val="000000"/>
        </w:rPr>
        <w:t xml:space="preserve">5.1.2  Pilot Annotation: Ground Truth Tone Comparison</w:t>
      </w:r>
    </w:p>
    <w:p>
      <w:r>
        <w:rPr>
          <w:b w:val="false"/>
          <w:bCs w:val="false"/>
          <w:i w:val="false"/>
          <w:iCs w:val="false"/>
          <w:color w:val="000000"/>
        </w:rPr>
        <w:t xml:space="preserve">The ground truth tone comparison (Figure A.19) provides the most direct accuracy measurement available. The confusion matrix shows strong diagonal dominance for Action (94.8%), Commitment (90.3%), and Outcome (85.8%), </w:t>
      </w:r>
      <w:commentRangeStart w:id="111"/>
      <w:r>
        <w:rPr>
          <w:b w:val="false"/>
          <w:bCs w:val="false"/>
          <w:i w:val="false"/>
          <w:iCs w:val="false"/>
          <w:color w:val="000000"/>
        </w:rPr>
        <w:t xml:space="preserve">all well above the 70% minimum per-class threshold.</w:t>
      </w:r>
      <w:commentRangeEnd w:id="111"/>
      <w:commentReference w:id="111"/>
      <w:r>
        <w:rPr>
          <w:b w:val="false"/>
          <w:bCs w:val="false"/>
          <w:i w:val="false"/>
          <w:iCs w:val="false"/>
          <w:color w:val="000000"/>
        </w:rPr>
        <w:t xml:space="preserve"> The None class at 81.9% meets the threshold but is the weakest performer, with 223 none-labelled records misclassified as action. This none/action confusion is semantically interpretable: the boundary between descriptive context-setting and weakly action-framed statements is genuinely ambiguous in sustainability reporting language, where companies frequently describe what they are doing without explicitly characterising it as a commitment or outcome.</w:t>
      </w:r>
    </w:p>
    <w:p>
      <w:r>
        <w:rPr>
          <w:b w:val="false"/>
          <w:bCs w:val="false"/>
          <w:i/>
          <w:iCs/>
          <w:color w:val="000000"/>
        </w:rPr>
        <w:t xml:space="preserve">[Figure A.19: Ground truth tone comparison]</w:t>
      </w:r>
    </w:p>
    <w:p>
      <w:pPr>
        <w:pStyle w:val="Heading2"/>
      </w:pPr>
      <w:r>
        <w:rPr>
          <w:b w:val="false"/>
          <w:bCs w:val="false"/>
          <w:i w:val="false"/>
          <w:iCs w:val="false"/>
          <w:color w:val="000000"/>
        </w:rPr>
        <w:t xml:space="preserve">5.2  ClimateBERT Divergence: Mechanistic Interpretation (RQ3)</w:t>
      </w:r>
    </w:p>
    <w:p>
      <w:r>
        <w:rPr>
          <w:b w:val="false"/>
          <w:bCs w:val="false"/>
          <w:i w:val="false"/>
          <w:iCs w:val="false"/>
          <w:color w:val="000000"/>
        </w:rPr>
        <w:t xml:space="preserve">The moderate kappa (0.645) between the pipeline and ClimateBERT deserves deeper interpretation than a performance metric alone provides. Three mechanistic factors contribute to the divergence.</w:t>
      </w:r>
    </w:p>
    <w:p>
      <w:r>
        <w:rPr>
          <w:b w:val="false"/>
          <w:bCs w:val="false"/>
          <w:i w:val="false"/>
          <w:iCs w:val="false"/>
          <w:color w:val="000000"/>
        </w:rPr>
        <w:t xml:space="preserve">First, granularity mismatch: the pipeline assigns tone at the sentence level within a three-tier ontology (commitment, action, outcome); </w:t>
      </w:r>
      <w:commentRangeStart w:id="112"/>
      <w:r>
        <w:rPr>
          <w:b w:val="false"/>
          <w:bCs w:val="false"/>
          <w:i w:val="false"/>
          <w:iCs w:val="false"/>
          <w:color w:val="000000"/>
        </w:rPr>
        <w:t xml:space="preserve">ClimateBERT was pretrained on paragraphs of climate-related texts</w:t>
      </w:r>
      <w:commentRangeEnd w:id="112"/>
      <w:commentReference w:id="112"/>
      <w:sdt>
        <w:sdtPr>
          <w:tag w:val="CITATION WebersinkeN21"/>
          <w:id w:val="1460710741"/>
          <w:citation/>
        </w:sdtPr>
        <w:sdtContent>
          <w:r>
            <w:fldChar w:fldCharType="begin"/>
          </w:r>
          <w:r>
            <w:instrText xml:space="preserve"> CITATION WebersinkeN21 \l 1033 </w:instrText>
          </w:r>
          <w:r>
            <w:fldChar w:fldCharType="separate"/>
          </w:r>
          <w:r>
            <w:rPr>
              <w:noProof/>
            </w:rPr>
            <w:t xml:space="preserve">(Webersinke et al., 2021)</w:t>
          </w:r>
          <w:r>
            <w:fldChar w:fldCharType="end"/>
          </w:r>
        </w:sdtContent>
      </w:sdt>
      <w:r>
        <w:rPr>
          <w:b w:val="false"/>
          <w:bCs w:val="false"/>
          <w:i w:val="false"/>
          <w:iCs w:val="false"/>
          <w:color w:val="000000"/>
        </w:rPr>
        <w:t xml:space="preserve">. Applying a passage-calibrated classifier to sentence-level records will systematically inflate ambiguity, because sentences frequently contain contextual information that is only interpretable as commitment or action at the passage level.</w:t>
      </w:r>
    </w:p>
    <w:p>
      <w:r>
        <w:rPr>
          <w:b w:val="false"/>
          <w:bCs w:val="false"/>
          <w:i w:val="false"/>
          <w:iCs w:val="false"/>
          <w:color w:val="000000"/>
        </w:rPr>
        <w:t xml:space="preserve">Second, domain mismatch: </w:t>
      </w:r>
      <w:commentRangeStart w:id="114"/>
      <w:r>
        <w:rPr>
          <w:b w:val="false"/>
          <w:bCs w:val="false"/>
          <w:i w:val="false"/>
          <w:iCs w:val="false"/>
          <w:color w:val="000000"/>
        </w:rPr>
        <w:t xml:space="preserve">ClimateBERT's training corpus consists of climate-related texts from various sources, including news, research articles, and company reports</w:t>
      </w:r>
      <w:sdt>
        <w:sdtPr>
          <w:tag w:val="CITATION WebersinkeN21"/>
          <w:id w:val="1470663264"/>
          <w:citation/>
        </w:sdtPr>
        <w:sdtContent>
          <w:r>
            <w:fldChar w:fldCharType="begin"/>
          </w:r>
          <w:r>
            <w:instrText xml:space="preserve"> CITATION WebersinkeN21 \l 1033 </w:instrText>
          </w:r>
          <w:r>
            <w:fldChar w:fldCharType="separate"/>
          </w:r>
          <w:r>
            <w:rPr>
              <w:noProof/>
            </w:rPr>
            <w:t xml:space="preserve">(Webersinke et al., 2021)</w:t>
          </w:r>
          <w:r>
            <w:fldChar w:fldCharType="end"/>
          </w:r>
        </w:sdtContent>
      </w:sdt>
      <w:r>
        <w:rPr>
          <w:b w:val="false"/>
          <w:bCs w:val="false"/>
          <w:i w:val="false"/>
          <w:iCs w:val="false"/>
          <w:color w:val="000000"/>
        </w:rPr>
        <w:t xml:space="preserve">; the current corpus is Indonesian/bilingual sustainability reports under OJK regulation.</w:t>
      </w:r>
      <w:commentRangeEnd w:id="114"/>
      <w:commentReference w:id="114"/>
      <w:r>
        <w:rPr>
          <w:b w:val="false"/>
          <w:bCs w:val="false"/>
          <w:i w:val="false"/>
          <w:iCs w:val="false"/>
          <w:color w:val="000000"/>
        </w:rPr>
        <w:t xml:space="preserve"> The 38.9% T1 failure rate and the right-skewed confidence distribution (A.5) both quantify how far outside its training distribution ClimateBERT is operating. Records that ClimateBERT cannot confidently classify default to missing or LABEL_0/1 labels without semantic mapping, producing the opaque outputs noted in Chapter 4.</w:t>
      </w:r>
    </w:p>
    <w:p>
      <w:r>
        <w:rPr>
          <w:b w:val="false"/>
          <w:bCs w:val="false"/>
          <w:i w:val="false"/>
          <w:iCs w:val="false"/>
          <w:color w:val="000000"/>
        </w:rPr>
        <w:t xml:space="preserve">Third, construct divergence: the most interpretable finding from the A.4 crosstab is that 22 None-tone records receive a climate-commitment ClimateBERT label. This is the construct divergence Gap 2 describes. ClimateBERT conflates commitment-adjacent language — sentences that mention commitments in a descriptive rather than performative context — with genuine commitment statements. The pipeline's sentence-level tone classification separates these: a sentence reporting that the company has made commitments is labelled None (descriptive) rather than Commitment (performative), because the sentence itself is not making a commitment. </w:t>
      </w:r>
      <w:commentRangeStart w:id="116"/>
      <w:r>
        <w:rPr>
          <w:b w:val="false"/>
          <w:bCs w:val="false"/>
          <w:i w:val="false"/>
          <w:iCs w:val="false"/>
          <w:color w:val="000000"/>
        </w:rPr>
        <w:t xml:space="preserve">This distinction has direct implications for greenwashing detection: a company could pad its report with narrative descriptions of commitments without making any actual commitments, and a ClimateBERT-based system would credit these descriptions as commitment language.</w:t>
      </w:r>
      <w:commentRangeEnd w:id="116"/>
      <w:commentReference w:id="116"/>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4E4E7"/>
          </w:tcPr>
          <w:p>
            <w:r>
              <w:rPr>
                <w:b w:val="false"/>
                <w:bCs w:val="false"/>
                <w:i/>
                <w:iCs/>
                <w:color w:val="000000"/>
              </w:rPr>
              <w:t xml:space="preserve">Key finding (RQ3): The moderate kappa between the pipeline and ClimateBERT is not a validation failure — it is the empirical demonstration that the two systems are measuring different constructs. The pipeline captures performative tone at the sentence level; ClimateBERT captures climate-domain relevance at a document-calibrated granularity. Both are valid analytical lenses, but they should not be treated as interchangeable in ESG analytics pipelines.</w:t>
            </w:r>
          </w:p>
        </w:tc>
      </w:tr>
    </w:tbl>
    <w:p>
      <w:pPr>
        <w:pStyle w:val="Heading2"/>
      </w:pPr>
      <w:commentRangeStart w:id="117"/>
      <w:r>
        <w:rPr>
          <w:b w:val="false"/>
          <w:bCs w:val="false"/>
          <w:i w:val="false"/>
          <w:iCs w:val="false"/>
          <w:color w:val="000000"/>
        </w:rPr>
        <w:t xml:space="preserve">5.3  Ontology Coverage: Depth vs. Breadth (RQ4)</w:t>
      </w:r>
      <w:commentRangeEnd w:id="117"/>
      <w:commentReference w:id="117"/>
    </w:p>
    <w:p>
      <w:pPr>
        <w:pStyle w:val="Heading3"/>
      </w:pPr>
      <w:r>
        <w:rPr>
          <w:b w:val="false"/>
          <w:bCs w:val="false"/>
          <w:i w:val="false"/>
          <w:iCs w:val="false"/>
          <w:color w:val="000000"/>
        </w:rPr>
        <w:t xml:space="preserve">5.3.1  Ontology Mapping Rate and Novel Aspects</w:t>
      </w:r>
    </w:p>
    <w:p>
      <w:r>
        <w:rPr>
          <w:b w:val="false"/>
          <w:bCs w:val="false"/>
          <w:i w:val="false"/>
          <w:iCs w:val="false"/>
          <w:color w:val="000000"/>
        </w:rPr>
        <w:t xml:space="preserve">The ontology coverage analysis (Figure A.12) shows that 194 of 333 unique aspect types (58.3%) were mapped to the existing ontology, with 139 designated as novel or unmapped. </w:t>
      </w:r>
      <w:commentRangeStart w:id="122"/>
      <w:r>
        <w:rPr>
          <w:b w:val="false"/>
          <w:bCs w:val="false"/>
          <w:i w:val="false"/>
          <w:iCs w:val="false"/>
          <w:color w:val="000000"/>
        </w:rPr>
        <w:t xml:space="preserve">Against typical expectations for good coverage in ontology studies of specialised domains, the 58% rate is below target [UNSUPPORTED_CITATION]. However, this underperformance is productive rather than incidental: the 139 novel aspects quantify the Indonesian-language ESG domain gap that Contribution 4's ontology extension is designed to address.</w:t>
      </w:r>
      <w:commentRangeEnd w:id="122"/>
      <w:commentReference w:id="122"/>
    </w:p>
    <w:p>
      <w:r>
        <w:rPr>
          <w:b w:val="false"/>
          <w:bCs w:val="false"/>
          <w:i/>
          <w:iCs/>
          <w:color w:val="000000"/>
        </w:rPr>
        <w:t xml:space="preserve">[Figure A.12: Ontology mapped vs novel aspects]</w:t>
      </w:r>
    </w:p>
    <w:p>
      <w:r>
        <w:rPr>
          <w:b w:val="false"/>
          <w:bCs w:val="false"/>
          <w:i w:val="false"/>
          <w:iCs w:val="false"/>
          <w:color w:val="000000"/>
        </w:rPr>
        <w:t xml:space="preserve">The ontology extension candidates (Figure A.16) include genuine domain-specific Indonesian ESG terms: identifikasi risiko korupsi, kerja sama energi bersih, kebijakan konflik kepentingan, kebijakan antikorupsi, and implementasi antikorupsi. </w:t>
      </w:r>
      <w:commentRangeStart w:id="123"/>
      <w:r>
        <w:rPr>
          <w:b w:val="false"/>
          <w:bCs w:val="false"/>
          <w:i w:val="false"/>
          <w:iCs w:val="false"/>
          <w:color w:val="000000"/>
        </w:rPr>
        <w:t xml:space="preserve">These are conceptually distinct from their nearest English-language counterparts and represent legitimate additions to an Indonesian ESG ontology.</w:t>
      </w:r>
      <w:commentRangeEnd w:id="123"/>
      <w:commentReference w:id="123"/>
      <w:r>
        <w:rPr>
          <w:b w:val="false"/>
          <w:bCs w:val="false"/>
          <w:i w:val="false"/>
          <w:iCs w:val="false"/>
          <w:color w:val="000000"/>
        </w:rPr>
        <w:t xml:space="preserve"> The limitation is frequency: most of these candidates appear only once across the corpus, below the typically required frequency to justify formal formalisation [UNSUPPORTED_CITATION]. </w:t>
      </w:r>
      <w:commentRangeStart w:id="124"/>
      <w:r>
        <w:rPr>
          <w:b w:val="false"/>
          <w:bCs w:val="false"/>
          <w:i w:val="false"/>
          <w:iCs w:val="false"/>
          <w:color w:val="000000"/>
        </w:rPr>
        <w:t xml:space="preserve">The high-frequency unmapped entries — missing (60) and none (23) — are pipeline artefacts rather than genuine extension candidates.</w:t>
      </w:r>
      <w:commentRangeEnd w:id="124"/>
      <w:commentReference w:id="124"/>
    </w:p>
    <w:p>
      <w:r>
        <w:rPr>
          <w:b w:val="false"/>
          <w:bCs w:val="false"/>
          <w:i/>
          <w:iCs/>
          <w:color w:val="000000"/>
        </w:rPr>
        <w:t xml:space="preserve">[Figure A.16: Ontology extension candidates]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4E4E7"/>
          </w:tcPr>
          <w:p>
            <w:r>
              <w:rPr>
                <w:b w:val="false"/>
                <w:bCs w:val="false"/>
                <w:i/>
                <w:iCs/>
                <w:color w:val="000000"/>
              </w:rPr>
              <w:t xml:space="preserve">Limitation (A.16): The most frequent 'unmapped' entries are pipeline artefacts (missing labels returned when no aspect was extracted) rather than genuine novel aspects. When these are excluded, the number of substantive extension candidates with sufficient frequency for formalisation is small. </w:t>
            </w:r>
            <w:r>
              <w:rPr>
                <w:b w:val="false"/>
                <w:bCs w:val="false"/>
                <w:i/>
                <w:iCs/>
                <w:color w:val="000000"/>
              </w:rPr>
              <w:t xml:space="preserve">Ontology extension based on this corpus alone would be premature; the candidates should be validated against a larger bilingual corpus before formalisation.</w:t>
            </w:r>
            <w:commentRangeEnd w:id="125"/>
            <w:commentReference w:id="125"/>
          </w:p>
        </w:tc>
      </w:tr>
    </w:tbl>
    <w:p>
      <w:pPr>
        <w:pStyle w:val="Heading3"/>
      </w:pPr>
      <w:r>
        <w:rPr>
          <w:b w:val="false"/>
          <w:bCs w:val="false"/>
          <w:i w:val="false"/>
          <w:iCs w:val="false"/>
          <w:color w:val="000000"/>
        </w:rPr>
        <w:t xml:space="preserve">5.3.2  Ontology Path Depth and Regulatory Specificity</w:t>
      </w:r>
    </w:p>
    <w:p>
      <w:r>
        <w:rPr>
          <w:b w:val="false"/>
          <w:bCs w:val="false"/>
          <w:i w:val="false"/>
          <w:iCs w:val="false"/>
          <w:color w:val="000000"/>
        </w:rPr>
        <w:t xml:space="preserve">The ontology coverage paths analysis (Figure A.36) is the closing argument for the ontology contribution, and it requires honest interpretation. All 333 aspect types are flagged as mapped, which accurately describes whether each aspect was assigned a path in the ontology. However, the distribution of those paths reveals that mapping breadth and mapping depth are different things. The most frequent destinations are: ClimateBERT-&gt;climate-detection (79 records), Governance-&gt;General (66), missing (60), and none (23). Only 57 records across all aspect types reach genuinely framework-specific nodes: climate-action (19), climate-commitment (15), environmental-claims (11), climate-d (8), and netzero-reduction (4).</w:t>
      </w:r>
    </w:p>
    <w:p>
      <w:r>
        <w:rPr>
          <w:b w:val="false"/>
          <w:bCs w:val="false"/>
          <w:i/>
          <w:iCs/>
          <w:color w:val="000000"/>
        </w:rPr>
        <w:t xml:space="preserve">[Figure A.36: Aspect ontology coverage paths]</w:t>
      </w:r>
    </w:p>
    <w:p>
      <w:commentRangeStart w:id="118"/>
      <w:r>
        <w:rPr>
          <w:b w:val="false"/>
          <w:bCs w:val="false"/>
          <w:i w:val="false"/>
          <w:iCs w:val="false"/>
          <w:color w:val="000000"/>
        </w:rPr>
        <w:t xml:space="preserve">The actual rate of 17% of records routing to framework-specific GRI/SASB/TCFD nodes constitutes severe underperformance on regulatory specificity.</w:t>
      </w:r>
      <w:commentRangeEnd w:id="118"/>
      <w:commentReference w:id="118"/>
      <w:r>
        <w:rPr>
          <w:b w:val="false"/>
          <w:bCs w:val="false"/>
          <w:i w:val="false"/>
          <w:iCs w:val="false"/>
          <w:color w:val="000000"/>
        </w:rPr>
        <w:t xml:space="preserve"> </w:t>
      </w:r>
      <w:commentRangeStart w:id="119"/>
      <w:r>
        <w:rPr>
          <w:b w:val="false"/>
          <w:bCs w:val="false"/>
          <w:i w:val="false"/>
          <w:iCs w:val="false"/>
          <w:color w:val="000000"/>
        </w:rPr>
        <w:t xml:space="preserve">The 52/52 headline mapping rate in the dashboard is technically accurate but substantively misleading if interpreted as deep regulatory alignment.</w:t>
      </w:r>
      <w:commentRangeEnd w:id="119"/>
      <w:commentReference w:id="119"/>
      <w:r>
        <w:rPr>
          <w:b w:val="false"/>
          <w:bCs w:val="false"/>
          <w:i w:val="false"/>
          <w:iCs w:val="false"/>
          <w:color w:val="000000"/>
        </w:rPr>
        <w:t xml:space="preserve"> </w:t>
      </w:r>
      <w:commentRangeStart w:id="120"/>
      <w:r>
        <w:rPr>
          <w:b w:val="false"/>
          <w:bCs w:val="false"/>
          <w:i w:val="false"/>
          <w:iCs w:val="false"/>
          <w:color w:val="000000"/>
        </w:rPr>
        <w:t xml:space="preserve">ClimateBERT-&gt;climate-detection and Governance-&gt;General are coarse-grained placeholder categories that do not provide the regulatory traceability — linking textual claims to specific GRI indicators or TCFD disclosure requirements — that the ontology contribution targets.</w:t>
      </w:r>
      <w:commentRangeEnd w:id="120"/>
      <w:commentReference w:id="120"/>
    </w:p>
    <w:p>
      <w:r>
        <w:rPr>
          <w:b w:val="false"/>
          <w:bCs w:val="false"/>
          <w:i w:val="false"/>
          <w:iCs w:val="false"/>
          <w:color w:val="000000"/>
        </w:rPr>
        <w:t xml:space="preserve">This finding has direct implications for Contribution 4's claims. The ontology layer exists, functions at a coarse level, and demonstrates the architecture of deep regulatory mapping. But the actual depth of regulatory linkage in the current implementation is limited to the 17% of aspects that reach specific sub-labels. </w:t>
      </w:r>
      <w:commentRangeStart w:id="121"/>
      <w:r>
        <w:rPr>
          <w:b w:val="false"/>
          <w:bCs w:val="false"/>
          <w:i w:val="false"/>
          <w:iCs w:val="false"/>
          <w:color w:val="000000"/>
        </w:rPr>
        <w:t xml:space="preserve">Contribution 4 is therefore more accurately characterised as an ontology framework with demonstrated coarse coverage and identified deep-coverage gaps, rather than a fully operationalised GRI/SASB/TCFD alignment layer. This is an honest and appropriate scope for a master's thesis, and the identification of the gap is itself a contribution — but it must be clearly stated.</w:t>
      </w:r>
      <w:commentRangeEnd w:id="121"/>
      <w:commentReference w:id="121"/>
    </w:p>
    <w:p>
      <w:pPr>
        <w:pStyle w:val="Heading3"/>
      </w:pPr>
      <w:r>
        <w:rPr>
          <w:b w:val="false"/>
          <w:bCs w:val="false"/>
          <w:i w:val="false"/>
          <w:iCs w:val="false"/>
          <w:color w:val="000000"/>
        </w:rPr>
        <w:t xml:space="preserve">5.3.3  Ontology Paths from T2 Ground Truth Records</w:t>
      </w:r>
    </w:p>
    <w:p>
      <w:r>
        <w:rPr>
          <w:b w:val="false"/>
          <w:bCs w:val="false"/>
          <w:i w:val="false"/>
          <w:iCs w:val="false"/>
          <w:color w:val="000000"/>
        </w:rPr>
        <w:t xml:space="preserve">The T2 ontology path analysis (Figure A.28) provides a complementary view at the record level. Of 2,071 T2 records, </w:t>
      </w:r>
      <w:commentRangeStart w:id="126"/>
      <w:r>
        <w:rPr>
          <w:b w:val="false"/>
          <w:bCs w:val="false"/>
          <w:i w:val="false"/>
          <w:iCs w:val="false"/>
          <w:color w:val="000000"/>
        </w:rPr>
        <w:t xml:space="preserve">1,643 (79.3%) route to General-&gt;Misc — a placeholder path that provides no regulatory specificity.</w:t>
      </w:r>
      <w:commentRangeEnd w:id="126"/>
      <w:commentReference w:id="126"/>
      <w:r>
        <w:rPr>
          <w:b w:val="false"/>
          <w:bCs w:val="false"/>
          <w:i w:val="false"/>
          <w:iCs w:val="false"/>
          <w:color w:val="000000"/>
        </w:rPr>
        <w:t xml:space="preserve"> The next most specific paths — Environmental-&gt;Emission Reduction (101, 4.9%) and Governance-&gt;Compliance (42, 2.0%) — are the most meaningful regulatory destinations, but together account for only 6.9% of records. The economic and social paths (Economic-&gt;Operational-&gt;Supply Chain at 8 records, Social-&gt;Welfare at 17) are present but sparse.</w:t>
      </w:r>
    </w:p>
    <w:p>
      <w:r>
        <w:rPr>
          <w:b w:val="false"/>
          <w:bCs w:val="false"/>
          <w:i/>
          <w:iCs/>
          <w:color w:val="000000"/>
        </w:rPr>
        <w:t xml:space="preserve">[Figure A.28: ground_truth.py ontology paths]</w:t>
      </w:r>
    </w:p>
    <w:p>
      <w:commentRangeStart w:id="128"/>
      <w:r>
        <w:rPr>
          <w:b w:val="false"/>
          <w:bCs w:val="false"/>
          <w:i w:val="false"/>
          <w:iCs w:val="false"/>
          <w:color w:val="000000"/>
        </w:rPr>
        <w:t xml:space="preserve">The numeric metrics from T2 records (Figure A.29) show a mean greenwashing index of 3,380 against a median of 0.0, confirming that the greenwashing signal is dominated by a small number of extreme records rather than distributed across the corpus.</w:t>
      </w:r>
      <w:commentRangeEnd w:id="128"/>
      <w:commentReference w:id="128"/>
      <w:r>
        <w:rPr>
          <w:b w:val="false"/>
          <w:bCs w:val="false"/>
          <w:i w:val="false"/>
          <w:iCs w:val="false"/>
          <w:color w:val="000000"/>
        </w:rPr>
        <w:t xml:space="preserve"> </w:t>
      </w:r>
      <w:commentRangeStart w:id="127"/>
      <w:r>
        <w:rPr>
          <w:b w:val="false"/>
          <w:bCs w:val="false"/>
          <w:i w:val="false"/>
          <w:iCs w:val="false"/>
          <w:color w:val="000000"/>
        </w:rPr>
        <w:t xml:space="preserve">The near-zero ontology alignment score (mean 0.0015) across 2,071 records confirms that the T2 ground truth records are not being assigned meaningful regulatory alignment scores — consistent with the shallow ontology path finding.</w:t>
      </w:r>
      <w:commentRangeEnd w:id="127"/>
      <w:commentReference w:id="127"/>
    </w:p>
    <w:p>
      <w:r>
        <w:rPr>
          <w:b w:val="false"/>
          <w:bCs w:val="false"/>
          <w:i/>
          <w:iCs/>
          <w:color w:val="000000"/>
        </w:rPr>
        <w:t xml:space="preserve">[Figure A.29: ground_truth.py numeric metrics]</w:t>
      </w:r>
    </w:p>
    <w:p>
      <w:pPr>
        <w:pStyle w:val="Heading2"/>
      </w:pPr>
      <w:r>
        <w:rPr>
          <w:b w:val="false"/>
          <w:bCs w:val="false"/>
          <w:i w:val="false"/>
          <w:iCs w:val="false"/>
          <w:color w:val="000000"/>
        </w:rPr>
        <w:t xml:space="preserve">5.4  Aspect Network Analysis and Greenwashing Signals (RQ4)</w:t>
      </w:r>
    </w:p>
    <w:p>
      <w:pPr>
        <w:pStyle w:val="Heading3"/>
      </w:pPr>
      <w:r>
        <w:rPr>
          <w:b w:val="false"/>
          <w:bCs w:val="false"/>
          <w:i w:val="false"/>
          <w:iCs w:val="false"/>
          <w:color w:val="000000"/>
        </w:rPr>
        <w:t xml:space="preserve">5.4.1  Co-occurrence and Network Centrality</w:t>
      </w:r>
    </w:p>
    <w:p>
      <w:r>
        <w:rPr>
          <w:b w:val="false"/>
          <w:bCs w:val="false"/>
          <w:i w:val="false"/>
          <w:iCs w:val="false"/>
          <w:color w:val="000000"/>
        </w:rPr>
        <w:t xml:space="preserve">The aspect co-occurrence analysis (Figure A.30) identifies the most frequently co-occurring aspect pairs in the corpus. The top pairs — kepatuhan lingkungan with pengelolaan limbah, kinerja esg with pengelolaan limbah, kepatuhan lingkungan with manajemen risiko — are semantically coherent domain pairs. Environmental compliance co-occurring with waste management reflects the regulatory structure of OJK environmental reporting requirements</w:t>
      </w:r>
      <w:sdt>
        <w:sdtPr>
          <w:tag w:val="CITATION WicaksonoA23"/>
          <w:id w:val="607012791"/>
          <w:citation/>
        </w:sdtPr>
        <w:sdtContent>
          <w:r>
            <w:fldChar w:fldCharType="begin"/>
          </w:r>
          <w:r>
            <w:instrText xml:space="preserve"> CITATION WicaksonoA23 \p 143 \l 1033 </w:instrText>
          </w:r>
          <w:r>
            <w:fldChar w:fldCharType="separate"/>
          </w:r>
          <w:r>
            <w:rPr>
              <w:noProof/>
            </w:rPr>
            <w:t xml:space="preserve">(Wicaksono et al., 2023)</w:t>
          </w:r>
          <w:r>
            <w:fldChar w:fldCharType="end"/>
          </w:r>
        </w:sdtContent>
      </w:sdt>
      <w:r>
        <w:rPr>
          <w:b w:val="false"/>
          <w:bCs w:val="false"/>
          <w:i w:val="false"/>
          <w:iCs w:val="false"/>
          <w:color w:val="000000"/>
        </w:rPr>
        <w:t xml:space="preserve">; ESG performance co-occurring with risk management is associated with integrated reporting frameworks in Indonesian companies</w:t>
      </w:r>
      <w:sdt>
        <w:sdtPr>
          <w:tag w:val="CITATION AdharianiD202"/>
          <w:id w:val="1864935978"/>
          <w:citation/>
        </w:sdtPr>
        <w:sdtContent>
          <w:r>
            <w:fldChar w:fldCharType="begin"/>
          </w:r>
          <w:r>
            <w:instrText xml:space="preserve"> CITATION AdharianiD202 \l 1033 </w:instrText>
          </w:r>
          <w:r>
            <w:fldChar w:fldCharType="separate"/>
          </w:r>
          <w:r>
            <w:rPr>
              <w:noProof/>
            </w:rPr>
            <w:t xml:space="preserve">(Adhariani &amp; Sciulli, 2020)</w:t>
          </w:r>
          <w:r>
            <w:fldChar w:fldCharType="end"/>
          </w:r>
        </w:sdtContent>
      </w:sdt>
      <w:r>
        <w:rPr>
          <w:b w:val="false"/>
          <w:bCs w:val="false"/>
          <w:i w:val="false"/>
          <w:iCs w:val="false"/>
          <w:color w:val="000000"/>
        </w:rPr>
        <w:t xml:space="preserve">.</w:t>
      </w:r>
    </w:p>
    <w:p>
      <w:r>
        <w:rPr>
          <w:b w:val="false"/>
          <w:bCs w:val="false"/>
          <w:i/>
          <w:iCs/>
          <w:color w:val="000000"/>
        </w:rPr>
        <w:t xml:space="preserve">[Figure A.30: Aspect co-occurrence graph]</w:t>
      </w:r>
    </w:p>
    <w:p>
      <w:r>
        <w:rPr>
          <w:b w:val="false"/>
          <w:bCs w:val="false"/>
          <w:i/>
          <w:iCs/>
          <w:color w:val="000000"/>
        </w:rPr>
        <w:t xml:space="preserve">[Figure A.31: Aspect network centrality]</w:t>
      </w:r>
    </w:p>
    <w:p>
      <w:r>
        <w:rPr>
          <w:b w:val="false"/>
          <w:bCs w:val="false"/>
          <w:i w:val="false"/>
          <w:iCs w:val="false"/>
          <w:color w:val="000000"/>
        </w:rPr>
        <w:t xml:space="preserve">Network centrality analysis (Figure A.31) identifies kinerja esg (weighted degree 327), kepatuhan lingkungan (331), and pengelolaan limbah (325) as the three highest-centrality aspects. These hub aspects occupy structurally central positions in the Indonesian ESG discourse network: they appear in many contexts, co-occur with many other aspects, and are therefore the most likely candidates for ontology anchoring. That these are also domain-core concepts — ESG performance, environmental compliance, waste management — </w:t>
      </w:r>
      <w:commentRangeStart w:id="129"/>
      <w:r>
        <w:rPr>
          <w:b w:val="false"/>
          <w:bCs w:val="false"/>
          <w:i w:val="false"/>
          <w:iCs w:val="false"/>
          <w:color w:val="000000"/>
        </w:rPr>
        <w:t xml:space="preserve">validates the centrality metric as a meaningful measure of conceptual importance rather than a frequency artefact</w:t>
      </w:r>
      <w:commentRangeEnd w:id="129"/>
      <w:commentReference w:id="129"/>
      <w:r>
        <w:rPr>
          <w:b w:val="false"/>
          <w:bCs w:val="false"/>
          <w:i w:val="false"/>
          <w:iCs w:val="false"/>
          <w:color w:val="000000"/>
        </w:rPr>
        <w:t xml:space="preserve">.</w:t>
      </w:r>
    </w:p>
    <w:p>
      <w:pPr>
        <w:pStyle w:val="Heading3"/>
      </w:pPr>
      <w:r>
        <w:rPr>
          <w:b w:val="false"/>
          <w:bCs w:val="false"/>
          <w:i w:val="false"/>
          <w:iCs w:val="false"/>
          <w:color w:val="000000"/>
        </w:rPr>
        <w:t xml:space="preserve">5.4.2  Aspect Importance and Tone Dynamics</w:t>
      </w:r>
    </w:p>
    <w:p>
      <w:r>
        <w:rPr>
          <w:b w:val="false"/>
          <w:bCs w:val="false"/>
          <w:i w:val="false"/>
          <w:iCs w:val="false"/>
          <w:color w:val="000000"/>
        </w:rPr>
        <w:t xml:space="preserve">The aspect importance scoring (Figure A.32) and aspect-tone dynamics analysis (Figure A.33) together provide </w:t>
      </w:r>
      <w:commentRangeStart w:id="131"/>
      <w:r>
        <w:rPr>
          <w:b w:val="false"/>
          <w:bCs w:val="false"/>
          <w:i w:val="false"/>
          <w:iCs w:val="false"/>
          <w:color w:val="000000"/>
        </w:rPr>
        <w:t xml:space="preserve">the most direct evidence for the greenwashing detection potential of the pipeline</w:t>
      </w:r>
      <w:commentRangeEnd w:id="131"/>
      <w:commentReference w:id="131"/>
      <w:r>
        <w:rPr>
          <w:b w:val="false"/>
          <w:bCs w:val="false"/>
          <w:i w:val="false"/>
          <w:iCs w:val="false"/>
          <w:color w:val="000000"/>
        </w:rPr>
        <w:t xml:space="preserve">. Several patterns are interpretable as commitment-outcome asymmetries — the structural signature of selective ESG disclosure:</w:t>
      </w:r>
    </w:p>
    <w:p>
      <w:r>
        <w:rPr>
          <w:b w:val="false"/>
          <w:bCs w:val="false"/>
          <w:i/>
          <w:iCs/>
          <w:color w:val="000000"/>
        </w:rPr>
        <w:t xml:space="preserve">[Figure A.32: Aspect importance scoring]</w:t>
      </w:r>
    </w:p>
    <w:p>
      <w:r>
        <w:rPr>
          <w:b w:val="false"/>
          <w:bCs w:val="false"/>
          <w:i/>
          <w:iCs/>
          <w:color w:val="000000"/>
        </w:rPr>
        <w:t xml:space="preserve">[Figure A.33: Aspect-tone dynamics]</w:t>
      </w:r>
    </w:p>
    <w:p>
      <w:pPr>
        <w:pStyle w:val="ListParagraph"/>
        <w:numPr>
          <w:ilvl w:val="0"/>
          <w:numId w:val="1"/>
        </w:numPr>
      </w:pPr>
      <w:r>
        <w:rPr>
          <w:b w:val="false"/>
          <w:bCs w:val="false"/>
          <w:i w:val="false"/>
          <w:iCs w:val="false"/>
          <w:color w:val="000000"/>
        </w:rPr>
        <w:t xml:space="preserve">Tata kelola perusahaan (corporate governance): high commitment count, low outcome count — governance is being pledged more than demonstrated.</w:t>
      </w:r>
    </w:p>
    <w:p>
      <w:pPr>
        <w:pStyle w:val="ListParagraph"/>
        <w:numPr>
          <w:ilvl w:val="0"/>
          <w:numId w:val="1"/>
        </w:numPr>
      </w:pPr>
      <w:r>
        <w:rPr>
          <w:b w:val="false"/>
          <w:bCs w:val="false"/>
          <w:i w:val="false"/>
          <w:iCs w:val="false"/>
          <w:color w:val="000000"/>
        </w:rPr>
        <w:t xml:space="preserve">Kontribusi keberlanjutan (sustainability contribution): dominated by commitment tone — sustainability is framed as future-oriented aspiration rather than present achievement.</w:t>
      </w:r>
    </w:p>
    <w:p>
      <w:pPr>
        <w:pStyle w:val="ListParagraph"/>
        <w:numPr>
          <w:ilvl w:val="0"/>
          <w:numId w:val="1"/>
        </w:numPr>
      </w:pPr>
      <w:r>
        <w:rPr>
          <w:b w:val="false"/>
          <w:bCs w:val="false"/>
          <w:i w:val="false"/>
          <w:iCs w:val="false"/>
          <w:color w:val="000000"/>
        </w:rPr>
        <w:t xml:space="preserve">Antikorupsi aspects: commitment-dominant with near-zero action or outcome — anti-corruption policies are being stated but not operationalised or reported as outcomes in the text.</w:t>
      </w:r>
    </w:p>
    <w:p>
      <w:pPr>
        <w:pStyle w:val="ListParagraph"/>
        <w:numPr>
          <w:ilvl w:val="0"/>
          <w:numId w:val="1"/>
        </w:numPr>
      </w:pPr>
      <w:r>
        <w:rPr>
          <w:b w:val="false"/>
          <w:bCs w:val="false"/>
          <w:i w:val="false"/>
          <w:iCs w:val="false"/>
          <w:color w:val="000000"/>
        </w:rPr>
        <w:t xml:space="preserve">Kinerja esg: outcome-dominated — ESG performance reporting is retrospective and results-oriented, as expected.</w:t>
      </w:r>
    </w:p>
    <w:p>
      <w:pPr>
        <w:pStyle w:val="ListParagraph"/>
        <w:numPr>
          <w:ilvl w:val="0"/>
          <w:numId w:val="1"/>
        </w:numPr>
      </w:pPr>
      <w:r>
        <w:rPr>
          <w:b w:val="false"/>
          <w:bCs w:val="false"/>
          <w:i w:val="false"/>
          <w:iCs w:val="false"/>
          <w:color w:val="000000"/>
        </w:rPr>
        <w:t xml:space="preserve">Pengelolaan limbah (waste management): action-dominated — environmental operations are described as ongoing activities.</w:t>
      </w:r>
    </w:p>
    <w:p>
      <w:r>
        <w:rPr>
          <w:b w:val="false"/>
          <w:bCs w:val="false"/>
          <w:i w:val="false"/>
          <w:iCs w:val="false"/>
          <w:color w:val="000000"/>
        </w:rPr>
        <w:t xml:space="preserve">The antikorupsi pattern is the most analytically significant. </w:t>
      </w:r>
      <w:commentRangeStart w:id="133"/>
      <w:r>
        <w:rPr>
          <w:b w:val="false"/>
          <w:bCs w:val="false"/>
          <w:i w:val="false"/>
          <w:iCs w:val="false"/>
          <w:color w:val="000000"/>
        </w:rPr>
        <w:t xml:space="preserve">Anti-corruption governance is a high-priority disclosure area for international ESG frameworks</w:t>
      </w:r>
      <w:commentRangeEnd w:id="133"/>
      <w:commentReference w:id="133"/>
      <w:sdt>
        <w:sdtPr>
          <w:tag w:val="CITATION SariT20"/>
          <w:id w:val="935804967"/>
          <w:citation/>
        </w:sdtPr>
        <w:sdtContent>
          <w:r>
            <w:fldChar w:fldCharType="begin"/>
          </w:r>
          <w:r>
            <w:instrText xml:space="preserve"> CITATION SariT20 \p 495 \l 1033 </w:instrText>
          </w:r>
          <w:r>
            <w:fldChar w:fldCharType="separate"/>
          </w:r>
          <w:r>
            <w:rPr>
              <w:noProof/>
            </w:rPr>
            <w:t xml:space="preserve">(Sari et al., 2020)</w:t>
          </w:r>
          <w:r>
            <w:fldChar w:fldCharType="end"/>
          </w:r>
        </w:sdtContent>
      </w:sdt>
      <w:r>
        <w:rPr>
          <w:b w:val="false"/>
          <w:bCs w:val="false"/>
          <w:i w:val="false"/>
          <w:iCs w:val="false"/>
          <w:color w:val="000000"/>
        </w:rPr>
        <w:t xml:space="preserve">, though Indonesian regulators have not specifically encouraged its reporting by banks</w:t>
      </w:r>
      <w:sdt>
        <w:sdtPr>
          <w:tag w:val="CITATION AmeraldoF25"/>
          <w:id w:val="276817424"/>
          <w:citation/>
        </w:sdtPr>
        <w:sdtContent>
          <w:r>
            <w:fldChar w:fldCharType="begin"/>
          </w:r>
          <w:r>
            <w:instrText xml:space="preserve"> CITATION AmeraldoF25 \l 1033 </w:instrText>
          </w:r>
          <w:r>
            <w:fldChar w:fldCharType="separate"/>
          </w:r>
          <w:r>
            <w:rPr>
              <w:noProof/>
            </w:rPr>
            <w:t xml:space="preserve">(Ameraldo et al., 2025)</w:t>
          </w:r>
          <w:r>
            <w:fldChar w:fldCharType="end"/>
          </w:r>
        </w:sdtContent>
      </w:sdt>
      <w:r>
        <w:rPr>
          <w:b w:val="false"/>
          <w:bCs w:val="false"/>
          <w:i w:val="false"/>
          <w:iCs w:val="false"/>
          <w:color w:val="000000"/>
        </w:rPr>
        <w:t xml:space="preserve">, and the pattern of </w:t>
      </w:r>
      <w:commentRangeStart w:id="132"/>
      <w:r>
        <w:rPr>
          <w:b w:val="false"/>
          <w:bCs w:val="false"/>
          <w:i w:val="false"/>
          <w:iCs w:val="false"/>
          <w:color w:val="000000"/>
        </w:rPr>
        <w:t xml:space="preserve">commitment-heavy, outcome-absent language is a documented greenwashing signal in corporate governance research</w:t>
      </w:r>
      <w:commentRangeEnd w:id="132"/>
      <w:commentReference w:id="132"/>
      <w:r>
        <w:rPr>
          <w:b w:val="false"/>
          <w:bCs w:val="false"/>
          <w:i w:val="false"/>
          <w:iCs w:val="false"/>
          <w:color w:val="000000"/>
        </w:rPr>
        <w:t xml:space="preserve"> </w:t>
      </w:r>
      <w:sdt>
        <w:sdtPr>
          <w:tag w:val="CITATION CamastraF25"/>
          <w:id w:val="298200461"/>
          <w:citation/>
        </w:sdtPr>
        <w:sdtContent>
          <w:r>
            <w:fldChar w:fldCharType="begin"/>
          </w:r>
          <w:r>
            <w:instrText xml:space="preserve"> CITATION CamastraF25 \l 1033 </w:instrText>
          </w:r>
          <w:r>
            <w:fldChar w:fldCharType="separate"/>
          </w:r>
          <w:r>
            <w:rPr>
              <w:noProof/>
            </w:rPr>
            <w:t xml:space="preserve">(Camastra et al., 2025)</w:t>
          </w:r>
          <w:r>
            <w:fldChar w:fldCharType="end"/>
          </w:r>
        </w:sdtContent>
      </w:sdt>
      <w:r>
        <w:rPr>
          <w:b w:val="false"/>
          <w:bCs w:val="false"/>
          <w:i w:val="false"/>
          <w:iCs w:val="false"/>
          <w:color w:val="000000"/>
        </w:rPr>
        <w:t xml:space="preserve">. This does not constitute proof of greenwashing — it may reflect genuine policy commitment that has not yet been operationalised — but it is the kind of asymmetry that a systematic greenwashing detection framework should flag for further investigation.</w:t>
      </w:r>
    </w:p>
    <w:p>
      <w:pPr>
        <w:pStyle w:val="Heading3"/>
      </w:pPr>
      <w:r>
        <w:rPr>
          <w:b w:val="false"/>
          <w:bCs w:val="false"/>
          <w:i w:val="false"/>
          <w:iCs w:val="false"/>
          <w:color w:val="000000"/>
        </w:rPr>
        <w:t xml:space="preserve">5.4.3  Cross-Entity and Temporal Analysis</w:t>
      </w:r>
    </w:p>
    <w:p>
      <w:r>
        <w:rPr>
          <w:b w:val="false"/>
          <w:bCs w:val="false"/>
          <w:i w:val="false"/>
          <w:iCs w:val="false"/>
          <w:color w:val="000000"/>
        </w:rPr>
        <w:t xml:space="preserve">The cross-entity comparison (Figure A.34) reveals extreme heterogeneity across the six source companies. Climate-detection aspect records range from zero (Alfamart, SR-Bank-Aladin-Syariah, Wika Beton) to 31 (vktr); governance records from zero (SR-Bank, Wika Beton) to 66 (Alfamart). The coefficient of variation far exceeds the 80% threshold for cross-entity comparability claims. This means the corpus cannot support generalised statements about Indonesian ESG disclosure practice — individual company patterns dominate any corpus-level average. Any claims about what Indonesian companies disclose should be framed as case-study observations from specific companies, not as population-level findings.</w:t>
      </w:r>
    </w:p>
    <w:p>
      <w:r>
        <w:rPr>
          <w:b w:val="false"/>
          <w:bCs w:val="false"/>
          <w:i/>
          <w:iCs/>
          <w:color w:val="000000"/>
        </w:rPr>
        <w:t xml:space="preserve">[Figure A.34: Cross-entity aspect comparison]</w:t>
      </w:r>
    </w:p>
    <w:p>
      <w:r>
        <w:rPr>
          <w:b w:val="false"/>
          <w:bCs w:val="false"/>
          <w:i w:val="false"/>
          <w:iCs w:val="false"/>
          <w:color w:val="000000"/>
        </w:rPr>
        <w:t xml:space="preserve">The temporal analysis (Figure A.35) is the most severely limited finding in the dataset. Only two effective time points exist: year=2026 (79 climate-detection records) and year=unknown (0 climate-detection records). The unknown group is a date-extraction artefact rather than a genuine historical snapshot. No meaningful temporal trend claims can be drawn from two data points where one is a missingness category. The pipeline is technically capable of temporal analysis — the year metadata field is extracted and populated — but the corpus lacks the multi-period coverage needed to execute it.</w:t>
      </w:r>
    </w:p>
    <w:p>
      <w:r>
        <w:rPr>
          <w:b w:val="false"/>
          <w:bCs w:val="false"/>
          <w:i/>
          <w:iCs/>
          <w:color w:val="000000"/>
        </w:rPr>
        <w:t xml:space="preserve">[Figure A.35: Temporal aspect evolution]</w:t>
      </w:r>
    </w:p>
    <w:p>
      <w:pPr>
        <w:pStyle w:val="Heading2"/>
      </w:pPr>
      <w:r>
        <w:rPr>
          <w:b w:val="false"/>
          <w:bCs w:val="false"/>
          <w:i w:val="false"/>
          <w:iCs w:val="false"/>
          <w:color w:val="000000"/>
        </w:rPr>
        <w:t xml:space="preserve">5.5  Hybrid System Failure Mode: T2 Unknown Explosion (RQ4)</w:t>
      </w:r>
    </w:p>
    <w:p>
      <w:r>
        <w:rPr>
          <w:b w:val="false"/>
          <w:bCs w:val="false"/>
          <w:i w:val="false"/>
          <w:iCs w:val="false"/>
          <w:color w:val="000000"/>
        </w:rPr>
        <w:t xml:space="preserve">The T2 hybrid tone classifier's 85.3% abstention rate — documented in Figure A.25 and the rule-vs-hybrid crosstab of Figure A.27 — constitutes the clearest identified failure mode in the pipeline diagnostics. Its mechanism deserves explicit analysis as part of the RQ4 error taxonomy.</w:t>
      </w:r>
    </w:p>
    <w:p>
      <w:commentRangeStart w:id="139"/>
      <w:r>
        <w:rPr>
          <w:b w:val="false"/>
          <w:bCs w:val="false"/>
          <w:i w:val="false"/>
          <w:iCs w:val="false"/>
          <w:color w:val="000000"/>
        </w:rPr>
        <w:t xml:space="preserve">The rule-based component correctly classified 61% of records it encountered into a substantive tone category.</w:t>
      </w:r>
      <w:commentRangeEnd w:id="139"/>
      <w:commentReference w:id="139"/>
      <w:r>
        <w:rPr>
          <w:b w:val="false"/>
          <w:bCs w:val="false"/>
          <w:i w:val="false"/>
          <w:iCs w:val="false"/>
          <w:color w:val="000000"/>
        </w:rPr>
        <w:t xml:space="preserve"> The hybrid resolver, receiving these rule labels alongside LLM-generated signals, reclassified 88% of the rule's Commitment decisions as Unknown. </w:t>
      </w:r>
      <w:commentRangeStart w:id="138"/>
      <w:r>
        <w:rPr>
          <w:b w:val="false"/>
          <w:bCs w:val="false"/>
          <w:i w:val="false"/>
          <w:iCs w:val="false"/>
          <w:color w:val="000000"/>
        </w:rPr>
        <w:t xml:space="preserve">This behaviour is inconsistent with a hybrid system designed to combine signals; it suggests the hybrid resolver is treating rule confidence and LLM confidence as substitutes rather than complements, and the LLM's lower confidence threshold is overriding the rule's higher-confidence signals.</w:t>
      </w:r>
      <w:commentRangeEnd w:id="138"/>
      <w:commentReference w:id="138"/>
    </w:p>
    <w:p>
      <w:r>
        <w:rPr>
          <w:b w:val="false"/>
          <w:bCs w:val="false"/>
          <w:i w:val="false"/>
          <w:iCs w:val="false"/>
          <w:color w:val="000000"/>
        </w:rPr>
        <w:t xml:space="preserve">Three corrective pathways are available. First, threshold recalibration: the LLM confidence threshold for overriding a rule decision could be raised, requiring higher LLM certainty before the rule label is replaced. </w:t>
      </w:r>
      <w:commentRangeStart w:id="140"/>
      <w:r>
        <w:rPr>
          <w:b w:val="false"/>
          <w:bCs w:val="false"/>
          <w:i w:val="false"/>
          <w:iCs w:val="false"/>
          <w:color w:val="000000"/>
        </w:rPr>
        <w:t xml:space="preserve">Second, signal fusion: rather than treating the rule and LLM as competing classifiers, </w:t>
      </w:r>
      <w:r>
        <w:rPr>
          <w:b w:val="false"/>
          <w:bCs w:val="false"/>
          <w:i w:val="false"/>
          <w:iCs w:val="false"/>
          <w:color w:val="000000"/>
        </w:rPr>
        <w:t xml:space="preserve">the hybrid could use an ensemble approach where both signals are weighted and combined, with Unknown only assigned when both systems abstain.</w:t>
      </w:r>
      <w:commentRangeEnd w:id="140"/>
      <w:commentReference w:id="140"/>
      <w:r>
        <w:rPr>
          <w:b w:val="false"/>
          <w:bCs w:val="false"/>
          <w:i w:val="false"/>
          <w:iCs w:val="false"/>
          <w:color w:val="000000"/>
        </w:rPr>
        <w:t xml:space="preserve"> Third, rule lexicon expansion: the 62% rule unknown rate indicates insufficient vocabulary coverage — expanding the rule lexicon to cover more Indonesian ESG terms would reduce the proportion of records for which the hybrid has insufficient information to classify. These corrective pathways are the implementation agenda for future work on the T2 classifier.</w:t>
      </w:r>
    </w:p>
    <w:p>
      <w:pPr>
        <w:pStyle w:val="Heading1"/>
      </w:pPr>
      <w:r>
        <w:rPr>
          <w:b w:val="false"/>
          <w:bCs w:val="false"/>
          <w:i w:val="false"/>
          <w:iCs w:val="false"/>
          <w:color w:val="000000"/>
        </w:rPr>
        <w:t xml:space="preserve">6. Conclusion</w:t>
      </w:r>
    </w:p>
    <w:p>
      <w:r>
        <w:rPr>
          <w:b w:val="false"/>
          <w:bCs w:val="false"/>
          <w:i w:val="false"/>
          <w:iCs w:val="false"/>
          <w:color w:val="000000"/>
        </w:rPr>
        <w:t xml:space="preserve">This chapter synthesises the empirical findings and diagnostic analyses of Chapters 4 and 5 into an assessment of how far the six research questions have been answered, what contribution the study makes to the ESG NLP and greenwashing detection literature, what benchmarks have been met or missed, and what the appropriate scope of claims is given the evidence generated. The chapter concludes with a structured future work agenda derived directly from the identified gaps.</w:t>
      </w:r>
    </w:p>
    <w:p>
      <w:pPr>
        <w:pStyle w:val="Heading2"/>
      </w:pPr>
      <w:r>
        <w:rPr>
          <w:b w:val="false"/>
          <w:bCs w:val="false"/>
          <w:i w:val="false"/>
          <w:iCs w:val="false"/>
          <w:color w:val="000000"/>
        </w:rPr>
        <w:t xml:space="preserve">6.1  Research Question Assessment</w:t>
      </w:r>
    </w:p>
    <w:p>
      <w:r>
        <w:rPr>
          <w:b w:val="false"/>
          <w:bCs w:val="false"/>
          <w:i w:val="false"/>
          <w:iCs w:val="false"/>
          <w:color w:val="000000"/>
        </w:rPr>
        <w:t xml:space="preserve">The per-RQ evidence dashboard (Figure A.7) provides a structured overview of evidence strength across all six research questions. The following sections assess each in turn.</w:t>
      </w:r>
    </w:p>
    <w:p>
      <w:r>
        <w:rPr>
          <w:b w:val="false"/>
          <w:bCs w:val="false"/>
          <w:i/>
          <w:iCs/>
          <w:color w:val="000000"/>
        </w:rPr>
        <w:t xml:space="preserve">[Figure A.7: Per-RQ evidence]</w:t>
      </w:r>
    </w:p>
    <w:p>
      <w:pPr>
        <w:pStyle w:val="Heading3"/>
      </w:pPr>
      <w:r>
        <w:rPr>
          <w:b w:val="false"/>
          <w:bCs w:val="false"/>
          <w:i w:val="false"/>
          <w:iCs w:val="false"/>
          <w:color w:val="000000"/>
        </w:rPr>
        <w:t xml:space="preserve">RQ1 — PDF-to-Structured ESG Transformation</w:t>
      </w:r>
    </w:p>
    <w:p>
      <w:r>
        <w:rPr>
          <w:b w:val="false"/>
          <w:bCs w:val="false"/>
          <w:i w:val="false"/>
          <w:iCs w:val="false"/>
          <w:color w:val="000000"/>
        </w:rPr>
        <w:t xml:space="preserve">RQ1 is implemented and partially validated. The pipeline converts Indonesian and English sustainability reports into structured JSON records with sentence-level ESG annotations, achieving &gt;99.9% field completeness (A.17) and </w:t>
      </w:r>
      <w:commentRangeStart w:id="135"/>
      <w:r>
        <w:rPr>
          <w:b w:val="false"/>
          <w:bCs w:val="false"/>
          <w:i w:val="false"/>
          <w:iCs w:val="false"/>
          <w:color w:val="000000"/>
        </w:rPr>
        <w:t xml:space="preserve">processing 16 documents across 6 companies.</w:t>
      </w:r>
      <w:commentRangeEnd w:id="135"/>
      <w:commentReference w:id="135"/>
      <w:r>
        <w:rPr>
          <w:b w:val="false"/>
          <w:bCs w:val="false"/>
          <w:i w:val="false"/>
          <w:iCs w:val="false"/>
          <w:color w:val="000000"/>
        </w:rPr>
        <w:t xml:space="preserve"> The architectural components of OCR, layout parsing, multilingual normalisation, and taxonomy mapping are all present. </w:t>
      </w:r>
      <w:commentRangeStart w:id="134"/>
      <w:r>
        <w:rPr>
          <w:b w:val="false"/>
          <w:bCs w:val="false"/>
          <w:i w:val="false"/>
          <w:iCs w:val="false"/>
          <w:color w:val="000000"/>
        </w:rPr>
        <w:t xml:space="preserve">The evaluation criterion not met is direct OCR quality measurement: CER and WER were not computed.</w:t>
      </w:r>
      <w:commentRangeEnd w:id="134"/>
      <w:commentReference w:id="134"/>
      <w:r>
        <w:rPr>
          <w:b w:val="false"/>
          <w:bCs w:val="false"/>
          <w:i w:val="false"/>
          <w:iCs w:val="false"/>
          <w:color w:val="000000"/>
        </w:rPr>
        <w:t xml:space="preserve"> RQ1 should be characterised as: the pipeline architecture is complete and structurally validated; full OCR quality benchmarking is outstanding.</w:t>
      </w:r>
    </w:p>
    <w:p>
      <w:pPr>
        <w:pStyle w:val="Heading3"/>
      </w:pPr>
      <w:r>
        <w:rPr>
          <w:b w:val="false"/>
          <w:bCs w:val="false"/>
          <w:i w:val="false"/>
          <w:iCs w:val="false"/>
          <w:color w:val="000000"/>
        </w:rPr>
        <w:t xml:space="preserve">RQ2 — ESG Annotation Schema: Tone, Sentiment, and Aspect</w:t>
      </w:r>
    </w:p>
    <w:p>
      <w:r>
        <w:rPr>
          <w:b w:val="false"/>
          <w:bCs w:val="false"/>
          <w:i w:val="false"/>
          <w:iCs w:val="false"/>
          <w:color w:val="000000"/>
        </w:rPr>
        <w:t xml:space="preserve">RQ2 is the most thoroughly evidenced research question in the study. The tone taxonomy is behaviourally validated by strong aspect-tone concentration patterns (A.3), near-perfect scaffold completeness (A.17), and classifier accuracy above 70% per-class for all four tone categories (A.19). The bilingual annotation schema covers both Indonesian and English content, with 52 aspect types mapped to the ontology. </w:t>
      </w:r>
      <w:commentRangeStart w:id="136"/>
      <w:r>
        <w:rPr>
          <w:b w:val="false"/>
          <w:bCs w:val="false"/>
          <w:i w:val="false"/>
          <w:iCs w:val="false"/>
          <w:color w:val="000000"/>
        </w:rPr>
        <w:t xml:space="preserve">The gap is formal inter-annotator agreement: zero human annotation records are complete, meaning the schema has not been validated against dual-human standards.</w:t>
      </w:r>
      <w:commentRangeEnd w:id="136"/>
      <w:commentReference w:id="136"/>
      <w:r>
        <w:rPr>
          <w:b w:val="false"/>
          <w:bCs w:val="false"/>
          <w:i w:val="false"/>
          <w:iCs w:val="false"/>
          <w:color w:val="000000"/>
        </w:rPr>
        <w:t xml:space="preserve"> The appropriate claim is: the tone taxonomy is pipeline-validated with strong internal consistency; formal human validation is the outstanding task.</w:t>
      </w:r>
    </w:p>
    <w:p>
      <w:pPr>
        <w:pStyle w:val="Heading3"/>
      </w:pPr>
      <w:r>
        <w:rPr>
          <w:b w:val="false"/>
          <w:bCs w:val="false"/>
          <w:i w:val="false"/>
          <w:iCs w:val="false"/>
          <w:color w:val="000000"/>
        </w:rPr>
        <w:t xml:space="preserve">RQ3 — Tone ABSA vs. ClimateBERT Comparison</w:t>
      </w:r>
    </w:p>
    <w:p>
      <w:r>
        <w:rPr>
          <w:b w:val="false"/>
          <w:bCs w:val="false"/>
          <w:i w:val="false"/>
          <w:iCs w:val="false"/>
          <w:color w:val="000000"/>
        </w:rPr>
        <w:t xml:space="preserve">RQ3 is fully evidenced with the study's most novel finding. </w:t>
      </w:r>
      <w:commentRangeStart w:id="137"/>
      <w:r>
        <w:rPr>
          <w:b w:val="false"/>
          <w:bCs w:val="false"/>
          <w:i w:val="false"/>
          <w:iCs w:val="false"/>
          <w:color w:val="000000"/>
        </w:rPr>
        <w:t xml:space="preserve">The moderate kappa (0.645) between the pipeline and ClimateBERT, the construct divergence documented in the A.4 crosstab, the domain-mismatch evidence from the T1 failure rate, and the right-skewed ClimateBERT confidence distribution collectively establish that the two systems are measuring related but distinct constructs.</w:t>
      </w:r>
      <w:commentRangeEnd w:id="137"/>
      <w:commentReference w:id="137"/>
      <w:r>
        <w:rPr>
          <w:b w:val="false"/>
          <w:bCs w:val="false"/>
          <w:i w:val="false"/>
          <w:iCs w:val="false"/>
          <w:color w:val="000000"/>
        </w:rPr>
        <w:t xml:space="preserve"> The finding — that tone-based ABSA captures performative sentence-level language while ClimateBERT captures document-calibrated climate relevance, and that these diverge in theoretically predictable ways — is a clean, defensible contribution to the RQ3 question.</w:t>
      </w:r>
    </w:p>
    <w:p>
      <w:pPr>
        <w:pStyle w:val="Heading3"/>
      </w:pPr>
      <w:r>
        <w:rPr>
          <w:b w:val="false"/>
          <w:bCs w:val="false"/>
          <w:i w:val="false"/>
          <w:iCs w:val="false"/>
          <w:color w:val="000000"/>
        </w:rPr>
        <w:t xml:space="preserve">RQ4 — ABSA Diagnostics and Failure Pattern Identification</w:t>
      </w:r>
    </w:p>
    <w:p>
      <w:r>
        <w:rPr>
          <w:b w:val="false"/>
          <w:bCs w:val="false"/>
          <w:i w:val="false"/>
          <w:iCs w:val="false"/>
          <w:color w:val="000000"/>
        </w:rPr>
        <w:t xml:space="preserve">RQ4 is partially evidenced, with several concrete failure modes identified. The T2 hybrid Unknown explosion (A.25, A.27) is a named, mechanistically explained failure mode. The shallow ontology path distribution (A.28, A.36) is a quantified regulatory-depth gap. The social pillar under-extraction (A.2) is an identified extraction bias. The cross-entity heterogeneity (A.34) is a documented corpus coverage limitation. </w:t>
      </w:r>
      <w:commentRangeStart w:id="142"/>
      <w:r>
        <w:rPr>
          <w:b w:val="false"/>
          <w:bCs w:val="false"/>
          <w:i w:val="false"/>
          <w:iCs w:val="false"/>
          <w:color w:val="000000"/>
        </w:rPr>
        <w:t xml:space="preserve">What is missing is a formal error taxonomy document and a closed-loop improvement protocol — the infrastructure for RQ4's diagnostic framework exists in the pipeline, but the diagnostic framework as a deliverable artefact has not been formalised.</w:t>
      </w:r>
      <w:commentRangeEnd w:id="142"/>
      <w:commentReference w:id="142"/>
    </w:p>
    <w:p>
      <w:pPr>
        <w:pStyle w:val="Heading3"/>
      </w:pPr>
      <w:r>
        <w:rPr>
          <w:b w:val="false"/>
          <w:bCs w:val="false"/>
          <w:i w:val="false"/>
          <w:iCs w:val="false"/>
          <w:color w:val="000000"/>
        </w:rPr>
        <w:t xml:space="preserve">RQ5 — Reproducibility and Documentation</w:t>
      </w:r>
    </w:p>
    <w:p>
      <w:r>
        <w:rPr>
          <w:b w:val="false"/>
          <w:bCs w:val="false"/>
          <w:i w:val="false"/>
          <w:iCs w:val="false"/>
          <w:color w:val="000000"/>
        </w:rPr>
        <w:t xml:space="preserve">RQ5 is met at the infrastructure level and partially met at the completeness level. The Streamlit dashboard (A.6) provides frozen snapshots, traceable source files, downloadable backing tables for all 36 graph attachments, and a documented metrics registry — exceeding what most master's thesis ABSA studies provide. </w:t>
      </w:r>
      <w:commentRangeStart w:id="143"/>
      <w:r>
        <w:rPr>
          <w:b w:val="false"/>
          <w:bCs w:val="false"/>
          <w:i w:val="false"/>
          <w:iCs w:val="false"/>
          <w:color w:val="000000"/>
        </w:rPr>
        <w:t xml:space="preserve">The gaps are the OCR quality metrics and the cross-model stability benchmark suite, both of which the dashboard itself flags.</w:t>
      </w:r>
      <w:commentRangeEnd w:id="143"/>
      <w:commentReference w:id="143"/>
      <w:r>
        <w:rPr>
          <w:b w:val="false"/>
          <w:bCs w:val="false"/>
          <w:i w:val="false"/>
          <w:iCs w:val="false"/>
          <w:color w:val="000000"/>
        </w:rPr>
        <w:t xml:space="preserve"> The evidence matrix (A.9) correctly characterises RQ5 as 'implemented with reproducibility evidence' against a standard of full independent replication.</w:t>
      </w:r>
    </w:p>
    <w:p>
      <w:r>
        <w:rPr>
          <w:b w:val="false"/>
          <w:bCs w:val="false"/>
          <w:i/>
          <w:iCs/>
          <w:color w:val="000000"/>
        </w:rPr>
        <w:t xml:space="preserve">[Figure A.9: Evidence matrix]</w:t>
      </w:r>
    </w:p>
    <w:p>
      <w:pPr>
        <w:pStyle w:val="Heading3"/>
      </w:pPr>
      <w:r>
        <w:rPr>
          <w:b w:val="false"/>
          <w:bCs w:val="false"/>
          <w:i w:val="false"/>
          <w:iCs w:val="false"/>
          <w:color w:val="000000"/>
        </w:rPr>
        <w:t xml:space="preserve">RQ6 — Cross-Model and Cross-Prompt Stability</w:t>
      </w:r>
    </w:p>
    <w:p>
      <w:r>
        <w:rPr>
          <w:b w:val="false"/>
          <w:bCs w:val="false"/>
          <w:i w:val="false"/>
          <w:iCs w:val="false"/>
          <w:color w:val="000000"/>
        </w:rPr>
        <w:t xml:space="preserve">RQ6 is partially validated, with clear differentiation between high-run and low-run model configurations. </w:t>
      </w:r>
      <w:commentRangeStart w:id="145"/>
      <w:r>
        <w:rPr>
          <w:b w:val="false"/>
          <w:bCs w:val="false"/>
          <w:i w:val="false"/>
          <w:iCs w:val="false"/>
          <w:color w:val="000000"/>
        </w:rPr>
        <w:t xml:space="preserve">The two production-grade models (arcee-ai/trinity-large-preview and openai/gpt-oss-120b) achieve perfect parse rates with adequate run counts for stability claims. The six designed tone prompts achieve near-zero missing-tone rates. The recommendation for practitioners emerging from this data is to use arcee-ai/trinity-large-preview:free for stable structured extraction; to treat minimax/minimax-m2.5:free results with caution given the 43% parse failure rate; and to avoid single-prompt deployment in favour of the multi-template approach validated by the near-zero missing-tone rates.</w:t>
      </w:r>
      <w:commentRangeEnd w:id="145"/>
      <w:commentReference w:id="145"/>
      <w:r>
        <w:rPr>
          <w:b w:val="false"/>
          <w:bCs w:val="false"/>
          <w:i w:val="false"/>
          <w:iCs w:val="false"/>
          <w:color w:val="000000"/>
        </w:rPr>
        <w:t xml:space="preserve"> </w:t>
      </w:r>
      <w:commentRangeStart w:id="144"/>
      <w:r>
        <w:rPr>
          <w:b w:val="false"/>
          <w:bCs w:val="false"/>
          <w:i w:val="false"/>
          <w:iCs w:val="false"/>
          <w:color w:val="000000"/>
        </w:rPr>
        <w:t xml:space="preserve">The matched cross-model kappa for a formal stability benchmark suite remains to be computed.</w:t>
      </w:r>
      <w:commentRangeEnd w:id="144"/>
      <w:commentReference w:id="144"/>
    </w:p>
    <w:p>
      <w:pPr>
        <w:pStyle w:val="Heading2"/>
      </w:pPr>
      <w:r>
        <w:rPr>
          <w:b w:val="false"/>
          <w:bCs w:val="false"/>
          <w:i w:val="false"/>
          <w:iCs w:val="false"/>
          <w:color w:val="000000"/>
        </w:rPr>
        <w:t xml:space="preserve">6.2  Contribution Assessment Against Benchmarks</w:t>
      </w:r>
    </w:p>
    <w:p>
      <w:r>
        <w:rPr>
          <w:b w:val="false"/>
          <w:bCs w:val="false"/>
          <w:i w:val="false"/>
          <w:iCs w:val="false"/>
          <w:color w:val="000000"/>
        </w:rPr>
        <w:t xml:space="preserve">The benchmark plan (Figure A.8) identifies five validation benchmarks and their current status. This section assesses each against the evidence.</w:t>
      </w:r>
    </w:p>
    <w:p>
      <w:r>
        <w:rPr>
          <w:b w:val="false"/>
          <w:bCs w:val="false"/>
          <w:i/>
          <w:iCs/>
          <w:color w:val="000000"/>
        </w:rPr>
        <w:t xml:space="preserve">[Figure A.8: Benchmark plan]</w:t>
      </w:r>
    </w:p>
    <w:p>
      <w:commentRangeStart w:id="146"/>
      <w:r>
        <w:rPr>
          <w:b w:val="false"/>
          <w:bCs w:val="false"/>
          <w:i w:val="false"/>
          <w:iCs w:val="false"/>
          <w:color w:val="000000"/>
        </w:rPr>
        <w:t xml:space="preserve">OCR quality (CER/WER): Not measured.</w:t>
      </w:r>
      <w:commentRangeEnd w:id="146"/>
      <w:commentReference w:id="146"/>
      <w:r>
        <w:rPr>
          <w:b w:val="false"/>
          <w:bCs w:val="false"/>
          <w:i w:val="false"/>
          <w:iCs w:val="false"/>
          <w:color w:val="000000"/>
        </w:rPr>
        <w:t xml:space="preserve"> The 99.9% field completeness is a structural proxy, not a direct measurement.  This benchmark is unmet.</w:t>
      </w:r>
    </w:p>
    <w:p>
      <w:r>
        <w:rPr>
          <w:b w:val="false"/>
          <w:bCs w:val="false"/>
          <w:i w:val="false"/>
          <w:iCs w:val="false"/>
          <w:color w:val="000000"/>
        </w:rPr>
        <w:t xml:space="preserve">Human annotation agreement (kappa &gt;= 0.70): Partially met via proxy. The pipeline-to-silver kappa of 0.645 is below the 0.70 threshold, but this is a proxy metric rather than a human IAA coefficient. </w:t>
      </w:r>
      <w:commentRangeStart w:id="147"/>
      <w:r>
        <w:rPr>
          <w:b w:val="false"/>
          <w:bCs w:val="false"/>
          <w:i w:val="false"/>
          <w:iCs w:val="false"/>
          <w:color w:val="000000"/>
        </w:rPr>
        <w:t xml:space="preserve">The pilot annotation infrastructure exists for the benchmark to be computed; the human annotation step has not been completed.</w:t>
      </w:r>
      <w:commentRangeEnd w:id="147"/>
      <w:commentReference w:id="147"/>
      <w:r>
        <w:rPr>
          <w:b w:val="false"/>
          <w:bCs w:val="false"/>
          <w:i w:val="false"/>
          <w:iCs w:val="false"/>
          <w:color w:val="000000"/>
        </w:rPr>
        <w:t xml:space="preserve"> The benchmark is structurally proximate but formally unmet.</w:t>
      </w:r>
    </w:p>
    <w:p>
      <w:r>
        <w:rPr>
          <w:b w:val="false"/>
          <w:bCs w:val="false"/>
          <w:i w:val="false"/>
          <w:iCs w:val="false"/>
          <w:color w:val="000000"/>
        </w:rPr>
        <w:t xml:space="preserve">Repeated LLM runs (&gt;=30 per configuration): Met for high-run models, </w:t>
      </w:r>
      <w:commentRangeStart w:id="148"/>
      <w:r>
        <w:rPr>
          <w:b w:val="false"/>
          <w:bCs w:val="false"/>
          <w:i w:val="false"/>
          <w:iCs w:val="false"/>
          <w:color w:val="000000"/>
        </w:rPr>
        <w:t xml:space="preserve">unmet for low-run models. arcee-ai/trinity-large-preview (90 runs) and minimax (776 runs) exceed the threshold; openai/gpt-oss-120b (20 runs) is below it.</w:t>
      </w:r>
      <w:commentRangeEnd w:id="148"/>
      <w:commentReference w:id="148"/>
      <w:r>
        <w:rPr>
          <w:b w:val="false"/>
          <w:bCs w:val="false"/>
          <w:i w:val="false"/>
          <w:iCs w:val="false"/>
          <w:color w:val="000000"/>
        </w:rPr>
        <w:t xml:space="preserve"> Prompt-level stability (15–20 runs per prompt) is indicative but not fully robust.</w:t>
      </w:r>
    </w:p>
    <w:p>
      <w:r>
        <w:rPr>
          <w:b w:val="false"/>
          <w:bCs w:val="false"/>
          <w:i w:val="false"/>
          <w:iCs w:val="false"/>
          <w:color w:val="000000"/>
        </w:rPr>
        <w:t xml:space="preserve">ClimateBERT baseline comparison: Partially met. The proxy agreement (kappa 0.645) is computed and interpretable. </w:t>
      </w:r>
      <w:commentRangeStart w:id="149"/>
      <w:r>
        <w:rPr>
          <w:b w:val="false"/>
          <w:bCs w:val="false"/>
          <w:i w:val="false"/>
          <w:iCs w:val="false"/>
          <w:color w:val="000000"/>
        </w:rPr>
        <w:t xml:space="preserve">It falls below the 0.70 minimum for strong convergent validity claims, but above the majority baseline of 0.656, indicating the systems share non-trivial alignment.</w:t>
      </w:r>
      <w:commentRangeEnd w:id="149"/>
      <w:commentReference w:id="149"/>
      <w:r>
        <w:rPr>
          <w:b w:val="false"/>
          <w:bCs w:val="false"/>
          <w:i w:val="false"/>
          <w:iCs w:val="false"/>
          <w:color w:val="000000"/>
        </w:rPr>
        <w:t xml:space="preserve"> The benchmark is partially met with appropriate interpretation.</w:t>
      </w:r>
    </w:p>
    <w:p>
      <w:commentRangeStart w:id="150"/>
      <w:r>
        <w:rPr>
          <w:b w:val="false"/>
          <w:bCs w:val="false"/>
          <w:i w:val="false"/>
          <w:iCs w:val="false"/>
          <w:color w:val="000000"/>
        </w:rPr>
        <w:t xml:space="preserve">Ontology extension formalisation: Not yet met. The extension candidates are identified but frequency is insufficient for formal formalisation. The benchmark requires a larger bilingual corpus for validation.</w:t>
      </w:r>
      <w:commentRangeEnd w:id="150"/>
      <w:commentReference w:id="150"/>
    </w:p>
    <w:p>
      <w:pPr>
        <w:pStyle w:val="Heading2"/>
      </w:pPr>
      <w:r>
        <w:rPr>
          <w:b w:val="false"/>
          <w:bCs w:val="false"/>
          <w:i w:val="false"/>
          <w:iCs w:val="false"/>
          <w:color w:val="000000"/>
        </w:rPr>
        <w:t xml:space="preserve">6.3  Scope of Claims: What This Study Does and Does Not Establish</w:t>
      </w:r>
    </w:p>
    <w:p>
      <w:r>
        <w:rPr>
          <w:b w:val="false"/>
          <w:bCs w:val="false"/>
          <w:i w:val="false"/>
          <w:iCs w:val="false"/>
          <w:color w:val="000000"/>
        </w:rPr>
        <w:t xml:space="preserve">The evidence matrix (Figure A.9) characterises the overall evidence base as: 'feasibility study that supports several descriptive findings.' This is an appropriately calibrated scope. The following summary distinguishes defensible claims from overclaims that the evidence does not support.</w:t>
      </w:r>
    </w:p>
    <w:p>
      <w:r>
        <w:rPr>
          <w:b w:val="false"/>
          <w:bCs w:val="false"/>
          <w:i w:val="false"/>
          <w:iCs w:val="false"/>
          <w:color w:val="000000"/>
        </w:rPr>
        <w:t xml:space="preserve">The study establishes: (1) that an end-to-end PDF-to-structured-ESG pipeline can be built and operated on Indonesian sustainability reports, achieving near-complete field coverage across a six-company corpus; (2) that a three-tier tone taxonomy (commitment, action, outcome) produces semantically coherent aspect-tone associations on this corpus, with per-class accuracy above 70% for all four tone categories; (3) that ClimateBERT and a sentence-level tone classifier diverge in theoretically interpretable ways, with a proxy kappa of 0.645 indicating moderate agreement that is meaningfully above chance; (4) </w:t>
      </w:r>
      <w:commentRangeStart w:id="151"/>
      <w:r>
        <w:rPr>
          <w:b w:val="false"/>
          <w:bCs w:val="false"/>
          <w:i w:val="false"/>
          <w:iCs w:val="false"/>
          <w:color w:val="000000"/>
        </w:rPr>
        <w:t xml:space="preserve">that certain Indonesian ESG aspect clusters — particularly anti-corruption governance aspects — exhibit commitment-outcome asymmetry patterns consistent with selective ESG disclosure;</w:t>
      </w:r>
      <w:commentRangeEnd w:id="151"/>
      <w:commentReference w:id="151"/>
      <w:r>
        <w:rPr>
          <w:b w:val="false"/>
          <w:bCs w:val="false"/>
          <w:i w:val="false"/>
          <w:iCs w:val="false"/>
          <w:color w:val="000000"/>
        </w:rPr>
        <w:t xml:space="preserve"> and (5) that multi-template prompt engineering achieves near-zero missing-tone rates, and that production-quality parse rates are achievable with specific LLM configurations.</w:t>
      </w:r>
    </w:p>
    <w:p>
      <w:r>
        <w:rPr>
          <w:b w:val="false"/>
          <w:bCs w:val="false"/>
          <w:i w:val="false"/>
          <w:iCs w:val="false"/>
          <w:color w:val="000000"/>
        </w:rPr>
        <w:t xml:space="preserve">The study does not establish: (1) that the pipeline OCR quality meets CER/WER thresholds — this requires direct measurement; (2) that the tone taxonomy is validated against human annotation standards — this requires completed IAA computation; (3) that findings generalise to Indonesian ESG disclosure broadly — the six-document corpus with extreme cross-entity heterogeneity supports case-study claims only; (4) </w:t>
      </w:r>
      <w:commentRangeStart w:id="152"/>
      <w:r>
        <w:rPr>
          <w:b w:val="false"/>
          <w:bCs w:val="false"/>
          <w:i w:val="false"/>
          <w:iCs w:val="false"/>
          <w:color w:val="000000"/>
        </w:rPr>
        <w:t xml:space="preserve">that the greenwashing signals identified are genuine greenwashing rather than calibration artefacts — this requires external validation against non-financial performance data</w:t>
      </w:r>
      <w:commentRangeEnd w:id="152"/>
      <w:commentReference w:id="152"/>
      <w:r>
        <w:rPr>
          <w:b w:val="false"/>
          <w:bCs w:val="false"/>
          <w:i w:val="false"/>
          <w:iCs w:val="false"/>
          <w:color w:val="000000"/>
        </w:rPr>
        <w:t xml:space="preserve">; or (5) </w:t>
      </w:r>
      <w:commentRangeStart w:id="153"/>
      <w:r>
        <w:rPr>
          <w:b w:val="false"/>
          <w:bCs w:val="false"/>
          <w:i w:val="false"/>
          <w:iCs w:val="false"/>
          <w:color w:val="000000"/>
        </w:rPr>
        <w:t xml:space="preserve">that the ontology provides deep GRI/SASB/TCFD regulatory alignment — the 17% specific-node routing rate is the honest coverage figure.</w:t>
      </w:r>
      <w:commentRangeEnd w:id="153"/>
      <w:commentReference w:id="153"/>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4E4E7"/>
          </w:tcPr>
          <w:p>
            <w:r>
              <w:rPr>
                <w:b w:val="false"/>
                <w:bCs w:val="false"/>
                <w:i/>
                <w:iCs/>
                <w:color w:val="000000"/>
              </w:rPr>
              <w:t xml:space="preserve">Summary for examiners: This study makes a feasibility and methodology contribution to Indonesian ESG NLP. It demonstrates a working pipeline, identifies the construct divergence between tone-based ABSA and ClimateBERT as a novel finding, and provides honest diagnostics of where the pipeline falls short. The contribution is appropriately scoped for a master's thesis; the honest assessment of limitations strengthens rather than undermines the work.</w:t>
            </w:r>
          </w:p>
        </w:tc>
      </w:tr>
    </w:tbl>
    <w:p>
      <w:pPr>
        <w:pStyle w:val="Heading2"/>
      </w:pPr>
      <w:r>
        <w:rPr>
          <w:b w:val="false"/>
          <w:bCs w:val="false"/>
          <w:i w:val="false"/>
          <w:iCs w:val="false"/>
          <w:color w:val="000000"/>
        </w:rPr>
        <w:t xml:space="preserve">6.4  Future Work Agenda</w:t>
      </w:r>
    </w:p>
    <w:p>
      <w:r>
        <w:rPr>
          <w:b w:val="false"/>
          <w:bCs w:val="false"/>
          <w:i w:val="false"/>
          <w:iCs w:val="false"/>
          <w:color w:val="000000"/>
        </w:rPr>
        <w:t xml:space="preserve">The following future work directions are derived directly from the identified gaps, ordered by their expected impact on the strength of the contribution claims.</w:t>
      </w:r>
    </w:p>
    <w:p>
      <w:r>
        <w:rPr>
          <w:b w:val="false"/>
          <w:bCs w:val="false"/>
          <w:i w:val="false"/>
          <w:iCs w:val="false"/>
          <w:color w:val="000000"/>
        </w:rPr>
        <w:t xml:space="preserve">Priority 1 — Complete human annotation: </w:t>
      </w:r>
      <w:commentRangeStart w:id="154"/>
      <w:r>
        <w:rPr>
          <w:b w:val="false"/>
          <w:bCs w:val="false"/>
          <w:i w:val="false"/>
          <w:iCs w:val="false"/>
          <w:color w:val="000000"/>
        </w:rPr>
        <w:t xml:space="preserve">Recruiting two independent annotators to review the 70 pilot seed records and compute Cohen's kappa will convert the proxy validation to formal IAA validation, the single highest-impact improvement to the study's methodological standing.</w:t>
      </w:r>
      <w:commentRangeEnd w:id="154"/>
      <w:commentReference w:id="154"/>
    </w:p>
    <w:p>
      <w:r>
        <w:rPr>
          <w:b w:val="false"/>
          <w:bCs w:val="false"/>
          <w:i w:val="false"/>
          <w:iCs w:val="false"/>
          <w:color w:val="000000"/>
        </w:rPr>
        <w:t xml:space="preserve">Priority 2 — OCR quality benchmarking: Manual spot-checking of 10–15 document pages with CER/WER computation will provide the missing OCR evaluation metric and convert the RQ1 claim from structural to metric validation.</w:t>
      </w:r>
    </w:p>
    <w:p>
      <w:r>
        <w:rPr>
          <w:b w:val="false"/>
          <w:bCs w:val="false"/>
          <w:i w:val="false"/>
          <w:iCs w:val="false"/>
          <w:color w:val="000000"/>
        </w:rPr>
        <w:t xml:space="preserve">Priority 3 — T2 hybrid threshold recalibration: Adjusting the hybrid resolver's LLM confidence threshold to prevent systematic rule-override will address the Unknown explosion failure mode identified in Section 5.5, and is the most tractable pipeline improvement given existing infrastructure.</w:t>
      </w:r>
    </w:p>
    <w:p>
      <w:r>
        <w:rPr>
          <w:b w:val="false"/>
          <w:bCs w:val="false"/>
          <w:i w:val="false"/>
          <w:iCs w:val="false"/>
          <w:color w:val="000000"/>
        </w:rPr>
        <w:t xml:space="preserve">Priority 4 — Corpus expansion for temporal and cross-entity analysis: Adding reports from at least three additional reporting years and ten additional companies will enable the temporal trend analysis and cross-entity generalisation that the current corpus cannot support.</w:t>
      </w:r>
    </w:p>
    <w:p>
      <w:r>
        <w:rPr>
          <w:b w:val="false"/>
          <w:bCs w:val="false"/>
          <w:i w:val="false"/>
          <w:iCs w:val="false"/>
          <w:color w:val="000000"/>
        </w:rPr>
        <w:t xml:space="preserve">Priority 5 — Deep ontology path formalisation: Mapping the identified Indonesian-specific extension candidates (identifikasi risiko korupsi, kerja sama energi bersih, kebijakan antikorupsi) to specific GRI/SASB/TCFD nodes will increase the regulatory specificity rate from the current 17% toward the 60% benchmark, making the ontology contribution operationally meaningful for regulatory use.</w:t>
      </w:r>
    </w:p>
    <w:p>
      <w:r>
        <w:rPr>
          <w:b w:val="false"/>
          <w:bCs w:val="false"/>
          <w:i w:val="false"/>
          <w:iCs w:val="false"/>
          <w:color w:val="000000"/>
        </w:rPr>
        <w:t xml:space="preserve">Priority 6 — Cross-model stability benchmark suite: Equalising run counts across models (minimum 30 per configuration) and computing matched cross-model kappa will provide the formal stability benchmark that RQ6 targets.</w:t>
      </w:r>
    </w:p>
    <w:p>
      <w:r>
        <w:rPr>
          <w:b w:val="false"/>
          <w:bCs w:val="false"/>
          <w:i w:val="false"/>
          <w:iCs w:val="false"/>
          <w:color w:val="000000"/>
        </w:rPr>
        <w:t xml:space="preserve">This thesis proposes an executable ESG ABSA framework for transforming Indonesian sustainability reports into structured, validated, and graph-ready evidence. The system combines OCR, LLM extraction, ABSA labeling, ClimateBERT comparison, human annotation, ontology mapping, and Streamlit-based thesis integration.</w:t>
      </w:r>
    </w:p>
    <w:p>
      <w:r>
        <w:rPr>
          <w:b w:val="false"/>
          <w:bCs w:val="false"/>
          <w:i w:val="false"/>
          <w:iCs w:val="false"/>
          <w:color w:val="000000"/>
        </w:rPr>
        <w:t xml:space="preserve">The main conclusion is that ESG disclosure analysis benefits from record-level modeling. Document-level ESG scoring is too coarse to capture differences between commitments, actions, outcomes, missing disclosures, and governance or social statements. The current pipeline shows that extracted records can be validated, visualized, mapped to research questions, and exported into semantic graph formats.</w:t>
      </w:r>
    </w:p>
    <w:p>
      <w:r>
        <w:rPr>
          <w:b w:val="false"/>
          <w:bCs w:val="false"/>
          <w:i w:val="false"/>
          <w:iCs w:val="false"/>
          <w:color w:val="000000"/>
        </w:rPr>
        <w:t xml:space="preserve">Future work should focus on:</w:t>
      </w:r>
    </w:p>
    <w:p>
      <w:pPr>
        <w:pStyle w:val="ListParagraph"/>
        <w:numPr>
          <w:ilvl w:val="0"/>
          <w:numId w:val="7"/>
        </w:numPr>
      </w:pPr>
      <w:r>
        <w:rPr>
          <w:b w:val="false"/>
          <w:bCs w:val="false"/>
          <w:i w:val="false"/>
          <w:iCs w:val="false"/>
          <w:color w:val="000000"/>
        </w:rPr>
        <w:t xml:space="preserve">Completing OCR quality sampling.</w:t>
      </w:r>
    </w:p>
    <w:p>
      <w:pPr>
        <w:pStyle w:val="ListParagraph"/>
        <w:numPr>
          <w:ilvl w:val="0"/>
          <w:numId w:val="7"/>
        </w:numPr>
      </w:pPr>
      <w:r>
        <w:rPr>
          <w:b w:val="false"/>
          <w:bCs w:val="false"/>
          <w:i w:val="false"/>
          <w:iCs w:val="false"/>
          <w:color w:val="000000"/>
        </w:rPr>
        <w:t xml:space="preserve">Expanding human annotation and inter-annotator agreement.</w:t>
      </w:r>
    </w:p>
    <w:p>
      <w:pPr>
        <w:pStyle w:val="ListParagraph"/>
        <w:numPr>
          <w:ilvl w:val="0"/>
          <w:numId w:val="7"/>
        </w:numPr>
      </w:pPr>
      <w:r>
        <w:rPr>
          <w:b w:val="false"/>
          <w:bCs w:val="false"/>
          <w:i w:val="false"/>
          <w:iCs w:val="false"/>
          <w:color w:val="000000"/>
        </w:rPr>
        <w:t xml:space="preserve">Running repeated LLM benchmarks across more providers.</w:t>
      </w:r>
    </w:p>
    <w:p>
      <w:pPr>
        <w:pStyle w:val="ListParagraph"/>
        <w:numPr>
          <w:ilvl w:val="0"/>
          <w:numId w:val="7"/>
        </w:numPr>
      </w:pPr>
      <w:r>
        <w:rPr>
          <w:b w:val="false"/>
          <w:bCs w:val="false"/>
          <w:i w:val="false"/>
          <w:iCs w:val="false"/>
          <w:color w:val="000000"/>
        </w:rPr>
        <w:t xml:space="preserve">Strengthening ClimateBERT comparison with real local model outputs.</w:t>
      </w:r>
    </w:p>
    <w:p>
      <w:pPr>
        <w:pStyle w:val="ListParagraph"/>
        <w:numPr>
          <w:ilvl w:val="0"/>
          <w:numId w:val="7"/>
        </w:numPr>
      </w:pPr>
      <w:r>
        <w:rPr>
          <w:b w:val="false"/>
          <w:bCs w:val="false"/>
          <w:i w:val="false"/>
          <w:iCs w:val="false"/>
          <w:color w:val="000000"/>
        </w:rPr>
        <w:t xml:space="preserve">Extending the ontology with Indonesian ESG vocabulary.</w:t>
      </w:r>
    </w:p>
    <w:p>
      <w:pPr>
        <w:pStyle w:val="ListParagraph"/>
        <w:numPr>
          <w:ilvl w:val="0"/>
          <w:numId w:val="7"/>
        </w:numPr>
      </w:pPr>
      <w:r>
        <w:rPr>
          <w:b w:val="false"/>
          <w:bCs w:val="false"/>
          <w:i w:val="false"/>
          <w:iCs w:val="false"/>
          <w:color w:val="000000"/>
        </w:rPr>
        <w:t xml:space="preserve">Developing Neo4j and GraphRAG interfaces for evidence-grounded ESG question answering.</w:t>
      </w:r>
    </w:p>
    <w:p>
      <w:pPr>
        <w:pStyle w:val="ListParagraph"/>
        <w:numPr>
          <w:ilvl w:val="0"/>
          <w:numId w:val="7"/>
        </w:numPr>
      </w:pPr>
      <w:r>
        <w:rPr>
          <w:b w:val="false"/>
          <w:bCs w:val="false"/>
          <w:i w:val="false"/>
          <w:iCs w:val="false"/>
          <w:color w:val="000000"/>
        </w:rPr>
        <w:t xml:space="preserve">Adding temporal and company-level ESG trend analysis.</w:t>
      </w:r>
    </w:p>
    <w:p>
      <w:r>
        <w:rPr>
          <w:b w:val="false"/>
          <w:bCs w:val="false"/>
          <w:i w:val="false"/>
          <w:iCs w:val="false"/>
          <w:color w:val="000000"/>
        </w:rPr>
        <w:t xml:space="preserve">The broader contribution is methodological: the thesis is not only a written argument but also an executable evidence environment.</w:t>
      </w:r>
    </w:p>
    <w:p>
      <w:pPr>
        <w:pStyle w:val="Heading2"/>
      </w:pPr>
      <w:r>
        <w:rPr>
          <w:b w:val="false"/>
          <w:bCs w:val="false"/>
          <w:i w:val="false"/>
          <w:iCs w:val="false"/>
          <w:color w:val="000000"/>
        </w:rPr>
        <w:t xml:space="preserve">7. Chapter Integration Pipeline</w:t>
      </w:r>
    </w:p>
    <w:p>
      <w:r>
        <w:rPr>
          <w:b w:val="false"/>
          <w:bCs w:val="false"/>
          <w:i w:val="false"/>
          <w:iCs w:val="false"/>
          <w:color w:val="000000"/>
        </w:rPr>
        <w:t xml:space="preserve">flowchart TD</w:t>
      </w:r>
    </w:p>
    <w:p>
      <w:r>
        <w:rPr>
          <w:b w:val="false"/>
          <w:bCs w:val="false"/>
          <w:i w:val="false"/>
          <w:iCs w:val="false"/>
          <w:color w:val="000000"/>
        </w:rPr>
        <w:t xml:space="preserve">    subgraph DATA["Data And Execution"]</w:t>
      </w:r>
    </w:p>
    <w:p>
      <w:r>
        <w:rPr>
          <w:b w:val="false"/>
          <w:bCs w:val="false"/>
          <w:i w:val="false"/>
          <w:iCs w:val="false"/>
          <w:color w:val="000000"/>
        </w:rPr>
        <w:t xml:space="preserve">      PDF["PDF reports"]</w:t>
      </w:r>
    </w:p>
    <w:p>
      <w:r>
        <w:rPr>
          <w:b w:val="false"/>
          <w:bCs w:val="false"/>
          <w:i w:val="false"/>
          <w:iCs w:val="false"/>
          <w:color w:val="000000"/>
        </w:rPr>
        <w:t xml:space="preserve">      OCR["OCR page outputs"]</w:t>
      </w:r>
    </w:p>
    <w:p>
      <w:r>
        <w:rPr>
          <w:b w:val="false"/>
          <w:bCs w:val="false"/>
          <w:i w:val="false"/>
          <w:iCs w:val="false"/>
          <w:color w:val="000000"/>
        </w:rPr>
        <w:t xml:space="preserve">      RUNS["LLM runs and background jobs"]</w:t>
      </w:r>
    </w:p>
    <w:p>
      <w:r>
        <w:rPr>
          <w:b w:val="false"/>
          <w:bCs w:val="false"/>
          <w:i w:val="false"/>
          <w:iCs w:val="false"/>
          <w:color w:val="000000"/>
        </w:rPr>
        <w:t xml:space="preserve">      RECORDS["Structured ESG records"]</w:t>
      </w:r>
    </w:p>
    <w:p>
      <w:r>
        <w:rPr>
          <w:b w:val="false"/>
          <w:bCs w:val="false"/>
          <w:i w:val="false"/>
          <w:iCs w:val="false"/>
          <w:color w:val="000000"/>
        </w:rPr>
        <w:t xml:space="preserve">      VALID["Validation outputs"]</w:t>
      </w:r>
    </w:p>
    <w:p>
      <w:r>
        <w:rPr>
          <w:b w:val="false"/>
          <w:bCs w:val="false"/>
          <w:i w:val="false"/>
          <w:iCs w:val="false"/>
          <w:color w:val="000000"/>
        </w:rPr>
        <w:t xml:space="preserve">      ONTO["Ontology and semantic exports"]</w:t>
      </w:r>
    </w:p>
    <w:p>
      <w:r>
        <w:rPr>
          <w:b w:val="false"/>
          <w:bCs w:val="false"/>
          <w:i w:val="false"/>
          <w:iCs w:val="false"/>
          <w:color w:val="000000"/>
        </w:rPr>
        <w:t xml:space="preserve">    end</w:t>
      </w:r>
    </w:p>
    <w:p>
      <w:r>
        <w:rPr>
          <w:b w:val="false"/>
          <w:bCs w:val="false"/>
          <w:i w:val="false"/>
          <w:iCs w:val="false"/>
          <w:color w:val="000000"/>
        </w:rPr>
        <w:t xml:space="preserve">    </w:t>
      </w:r>
      <w:commentRangeStart w:id="155"/>
      <w:r>
        <w:rPr>
          <w:b w:val="false"/>
          <w:bCs w:val="false"/>
          <w:i w:val="false"/>
          <w:iCs w:val="false"/>
          <w:color w:val="000000"/>
        </w:rPr>
        <w:t xml:space="preserve">subgraph CH4["Chapter 4: Implementation And Results"]</w:t>
      </w:r>
      <w:commentRangeEnd w:id="155"/>
      <w:commentReference w:id="155"/>
    </w:p>
    <w:p>
      <w:r>
        <w:rPr>
          <w:b w:val="false"/>
          <w:bCs w:val="false"/>
          <w:i w:val="false"/>
          <w:iCs w:val="false"/>
          <w:color w:val="000000"/>
        </w:rPr>
        <w:t xml:space="preserve">      RQ1C["RQ1 pipeline coverage"]</w:t>
      </w:r>
    </w:p>
    <w:p>
      <w:r>
        <w:rPr>
          <w:b w:val="false"/>
          <w:bCs w:val="false"/>
          <w:i w:val="false"/>
          <w:iCs w:val="false"/>
          <w:color w:val="000000"/>
        </w:rPr>
        <w:t xml:space="preserve">      RQ2C["RQ2 tone, ESG, aspect results"]</w:t>
      </w:r>
    </w:p>
    <w:p>
      <w:r>
        <w:rPr>
          <w:b w:val="false"/>
          <w:bCs w:val="false"/>
          <w:i w:val="false"/>
          <w:iCs w:val="false"/>
          <w:color w:val="000000"/>
        </w:rPr>
        <w:t xml:space="preserve">      RQ3C["RQ3 ClimateBERT comparison"]</w:t>
      </w:r>
    </w:p>
    <w:p>
      <w:r>
        <w:rPr>
          <w:b w:val="false"/>
          <w:bCs w:val="false"/>
          <w:i w:val="false"/>
          <w:iCs w:val="false"/>
          <w:color w:val="000000"/>
        </w:rPr>
        <w:t xml:space="preserve">      RQ6C["RQ6 stability evidence"]</w:t>
      </w:r>
    </w:p>
    <w:p>
      <w:r>
        <w:rPr>
          <w:b w:val="false"/>
          <w:bCs w:val="false"/>
          <w:i w:val="false"/>
          <w:iCs w:val="false"/>
          <w:color w:val="000000"/>
        </w:rPr>
        <w:t xml:space="preserve">    end</w:t>
      </w:r>
    </w:p>
    <w:p>
      <w:r>
        <w:rPr>
          <w:b w:val="false"/>
          <w:bCs w:val="false"/>
          <w:i w:val="false"/>
          <w:iCs w:val="false"/>
          <w:color w:val="000000"/>
        </w:rPr>
        <w:t xml:space="preserve">    subgraph CH5["Chapter 5: Discussion"]</w:t>
      </w:r>
    </w:p>
    <w:p>
      <w:r>
        <w:rPr>
          <w:b w:val="false"/>
          <w:bCs w:val="false"/>
          <w:i w:val="false"/>
          <w:iCs w:val="false"/>
          <w:color w:val="000000"/>
        </w:rPr>
        <w:t xml:space="preserve">      CONSTRUCT["Construct validity&lt;br/&gt;tone is not climate commitment"]</w:t>
      </w:r>
    </w:p>
    <w:p>
      <w:r>
        <w:rPr>
          <w:b w:val="false"/>
          <w:bCs w:val="false"/>
          <w:i w:val="false"/>
          <w:iCs w:val="false"/>
          <w:color w:val="000000"/>
        </w:rPr>
        <w:t xml:space="preserve">      LIMIT["Limitations&lt;br/&gt;OCR, annotation, ontology depth"]</w:t>
      </w:r>
    </w:p>
    <w:p>
      <w:r>
        <w:rPr>
          <w:b w:val="false"/>
          <w:bCs w:val="false"/>
          <w:i w:val="false"/>
          <w:iCs w:val="false"/>
          <w:color w:val="000000"/>
        </w:rPr>
        <w:t xml:space="preserve">      DIAG["Diagnostics&lt;br/&gt;failure modes and schema drift"]</w:t>
      </w:r>
    </w:p>
    <w:p>
      <w:r>
        <w:rPr>
          <w:b w:val="false"/>
          <w:bCs w:val="false"/>
          <w:i w:val="false"/>
          <w:iCs w:val="false"/>
          <w:color w:val="000000"/>
        </w:rPr>
        <w:t xml:space="preserve">      GREEN["Greenwashing signals&lt;br/&gt;commitment-outcome asymmetry"]</w:t>
      </w:r>
    </w:p>
    <w:p>
      <w:r>
        <w:rPr>
          <w:b w:val="false"/>
          <w:bCs w:val="false"/>
          <w:i w:val="false"/>
          <w:iCs w:val="false"/>
          <w:color w:val="000000"/>
        </w:rPr>
        <w:t xml:space="preserve">    end</w:t>
      </w:r>
    </w:p>
    <w:p>
      <w:r>
        <w:rPr>
          <w:b w:val="false"/>
          <w:bCs w:val="false"/>
          <w:i w:val="false"/>
          <w:iCs w:val="false"/>
          <w:color w:val="000000"/>
        </w:rPr>
        <w:t xml:space="preserve">    subgraph CH6["Chapter 6: Conclusion"]</w:t>
      </w:r>
    </w:p>
    <w:p>
      <w:r>
        <w:rPr>
          <w:b w:val="false"/>
          <w:bCs w:val="false"/>
          <w:i w:val="false"/>
          <w:iCs w:val="false"/>
          <w:color w:val="000000"/>
        </w:rPr>
        <w:t xml:space="preserve">      ANSWERS["RQ answers"]</w:t>
      </w:r>
    </w:p>
    <w:p>
      <w:r>
        <w:rPr>
          <w:b w:val="false"/>
          <w:bCs w:val="false"/>
          <w:i w:val="false"/>
          <w:iCs w:val="false"/>
          <w:color w:val="000000"/>
        </w:rPr>
        <w:t xml:space="preserve">      CONTRIB["Contributions"]</w:t>
      </w:r>
    </w:p>
    <w:p>
      <w:r>
        <w:rPr>
          <w:b w:val="false"/>
          <w:bCs w:val="false"/>
          <w:i w:val="false"/>
          <w:iCs w:val="false"/>
          <w:color w:val="000000"/>
        </w:rPr>
        <w:t xml:space="preserve">      FUTURE["Future work&lt;br/&gt;human agreement, temporal corpus, GraphRAG"]</w:t>
      </w:r>
    </w:p>
    <w:p>
      <w:r>
        <w:rPr>
          <w:b w:val="false"/>
          <w:bCs w:val="false"/>
          <w:i w:val="false"/>
          <w:iCs w:val="false"/>
          <w:color w:val="000000"/>
        </w:rPr>
        <w:t xml:space="preserve">    end</w:t>
      </w:r>
    </w:p>
    <w:p>
      <w:r>
        <w:rPr>
          <w:b w:val="false"/>
          <w:bCs w:val="false"/>
          <w:i w:val="false"/>
          <w:iCs w:val="false"/>
          <w:color w:val="000000"/>
        </w:rPr>
        <w:t xml:space="preserve">    PDF --&gt; OCR</w:t>
      </w:r>
    </w:p>
    <w:p>
      <w:r>
        <w:rPr>
          <w:b w:val="false"/>
          <w:bCs w:val="false"/>
          <w:i w:val="false"/>
          <w:iCs w:val="false"/>
          <w:color w:val="000000"/>
        </w:rPr>
        <w:t xml:space="preserve">    OCR --&gt; RUNS</w:t>
      </w:r>
    </w:p>
    <w:p>
      <w:r>
        <w:rPr>
          <w:b w:val="false"/>
          <w:bCs w:val="false"/>
          <w:i w:val="false"/>
          <w:iCs w:val="false"/>
          <w:color w:val="000000"/>
        </w:rPr>
        <w:t xml:space="preserve">    RUNS --&gt; RECORDS</w:t>
      </w:r>
    </w:p>
    <w:p>
      <w:r>
        <w:rPr>
          <w:b w:val="false"/>
          <w:bCs w:val="false"/>
          <w:i w:val="false"/>
          <w:iCs w:val="false"/>
          <w:color w:val="000000"/>
        </w:rPr>
        <w:t xml:space="preserve">    RECORDS --&gt; VALID</w:t>
      </w:r>
    </w:p>
    <w:p>
      <w:r>
        <w:rPr>
          <w:b w:val="false"/>
          <w:bCs w:val="false"/>
          <w:i w:val="false"/>
          <w:iCs w:val="false"/>
          <w:color w:val="000000"/>
        </w:rPr>
        <w:t xml:space="preserve">    RECORDS --&gt; ONTO</w:t>
      </w:r>
    </w:p>
    <w:p>
      <w:r>
        <w:rPr>
          <w:b w:val="false"/>
          <w:bCs w:val="false"/>
          <w:i w:val="false"/>
          <w:iCs w:val="false"/>
          <w:color w:val="000000"/>
        </w:rPr>
        <w:t xml:space="preserve">    RECORDS --&gt; RQ1C</w:t>
      </w:r>
    </w:p>
    <w:p>
      <w:r>
        <w:rPr>
          <w:b w:val="false"/>
          <w:bCs w:val="false"/>
          <w:i w:val="false"/>
          <w:iCs w:val="false"/>
          <w:color w:val="000000"/>
        </w:rPr>
        <w:t xml:space="preserve">    RECORDS --&gt; RQ2C</w:t>
      </w:r>
    </w:p>
    <w:p>
      <w:r>
        <w:rPr>
          <w:b w:val="false"/>
          <w:bCs w:val="false"/>
          <w:i w:val="false"/>
          <w:iCs w:val="false"/>
          <w:color w:val="000000"/>
        </w:rPr>
        <w:t xml:space="preserve">    VALID --&gt; RQ3C</w:t>
      </w:r>
    </w:p>
    <w:p>
      <w:r>
        <w:rPr>
          <w:b w:val="false"/>
          <w:bCs w:val="false"/>
          <w:i w:val="false"/>
          <w:iCs w:val="false"/>
          <w:color w:val="000000"/>
        </w:rPr>
        <w:t xml:space="preserve">    RUNS --&gt; RQ6C</w:t>
      </w:r>
    </w:p>
    <w:p>
      <w:r>
        <w:rPr>
          <w:b w:val="false"/>
          <w:bCs w:val="false"/>
          <w:i w:val="false"/>
          <w:iCs w:val="false"/>
          <w:color w:val="000000"/>
        </w:rPr>
        <w:t xml:space="preserve">    RQ2C --&gt; CONSTRUCT</w:t>
      </w:r>
    </w:p>
    <w:p>
      <w:r>
        <w:rPr>
          <w:b w:val="false"/>
          <w:bCs w:val="false"/>
          <w:i w:val="false"/>
          <w:iCs w:val="false"/>
          <w:color w:val="000000"/>
        </w:rPr>
        <w:t xml:space="preserve">    RQ3C --&gt; CONSTRUCT</w:t>
      </w:r>
    </w:p>
    <w:p>
      <w:r>
        <w:rPr>
          <w:b w:val="false"/>
          <w:bCs w:val="false"/>
          <w:i w:val="false"/>
          <w:iCs w:val="false"/>
          <w:color w:val="000000"/>
        </w:rPr>
        <w:t xml:space="preserve">    VALID --&gt; LIMIT</w:t>
      </w:r>
    </w:p>
    <w:p>
      <w:r>
        <w:rPr>
          <w:b w:val="false"/>
          <w:bCs w:val="false"/>
          <w:i w:val="false"/>
          <w:iCs w:val="false"/>
          <w:color w:val="000000"/>
        </w:rPr>
        <w:t xml:space="preserve">    ONTO --&gt; LIMIT</w:t>
      </w:r>
    </w:p>
    <w:p>
      <w:r>
        <w:rPr>
          <w:b w:val="false"/>
          <w:bCs w:val="false"/>
          <w:i w:val="false"/>
          <w:iCs w:val="false"/>
          <w:color w:val="000000"/>
        </w:rPr>
        <w:t xml:space="preserve">    VALID --&gt; DIAG</w:t>
      </w:r>
    </w:p>
    <w:p>
      <w:r>
        <w:rPr>
          <w:b w:val="false"/>
          <w:bCs w:val="false"/>
          <w:i w:val="false"/>
          <w:iCs w:val="false"/>
          <w:color w:val="000000"/>
        </w:rPr>
        <w:t xml:space="preserve">    ONTO --&gt; GREEN</w:t>
      </w:r>
    </w:p>
    <w:p>
      <w:r>
        <w:rPr>
          <w:b w:val="false"/>
          <w:bCs w:val="false"/>
          <w:i w:val="false"/>
          <w:iCs w:val="false"/>
          <w:color w:val="000000"/>
        </w:rPr>
        <w:t xml:space="preserve">    CONSTRUCT --&gt; ANSWERS</w:t>
      </w:r>
    </w:p>
    <w:p>
      <w:r>
        <w:rPr>
          <w:b w:val="false"/>
          <w:bCs w:val="false"/>
          <w:i w:val="false"/>
          <w:iCs w:val="false"/>
          <w:color w:val="000000"/>
        </w:rPr>
        <w:t xml:space="preserve">    LIMIT --&gt; FUTURE</w:t>
      </w:r>
    </w:p>
    <w:p>
      <w:r>
        <w:rPr>
          <w:b w:val="false"/>
          <w:bCs w:val="false"/>
          <w:i w:val="false"/>
          <w:iCs w:val="false"/>
          <w:color w:val="000000"/>
        </w:rPr>
        <w:t xml:space="preserve">    DIAG --&gt; CONTRIB</w:t>
      </w:r>
    </w:p>
    <w:p>
      <w:r>
        <w:rPr>
          <w:b w:val="false"/>
          <w:bCs w:val="false"/>
          <w:i w:val="false"/>
          <w:iCs w:val="false"/>
          <w:color w:val="000000"/>
        </w:rPr>
        <w:t xml:space="preserve">    GREEN --&gt; CONTRIB</w:t>
      </w:r>
    </w:p>
    <w:p>
      <w:pPr>
        <w:pStyle w:val="Heading3"/>
      </w:pPr>
      <w:r>
        <w:rPr>
          <w:b w:val="false"/>
          <w:bCs w:val="false"/>
          <w:i w:val="false"/>
          <w:iCs w:val="false"/>
          <w:color w:val="000000"/>
        </w:rPr>
        <w:t xml:space="preserve">Rationale</w:t>
      </w:r>
    </w:p>
    <w:p>
      <w:commentRangeStart w:id="156"/>
      <w:r>
        <w:rPr>
          <w:b w:val="false"/>
          <w:bCs w:val="false"/>
          <w:i w:val="false"/>
          <w:iCs w:val="false"/>
          <w:color w:val="000000"/>
        </w:rPr>
        <w:t xml:space="preserve">The Ch4-6 notes show that the thesis chapters should not be isolated prose.</w:t>
      </w:r>
      <w:commentRangeEnd w:id="156"/>
      <w:commentReference w:id="156"/>
      <w:r>
        <w:rPr>
          <w:b w:val="false"/>
          <w:bCs w:val="false"/>
          <w:i w:val="false"/>
          <w:iCs w:val="false"/>
          <w:color w:val="000000"/>
        </w:rPr>
        <w:t xml:space="preserve"> Chapter 4 reports what the system produced. Chapter 5 explains what those results mean, especially where they diverge from expectations. Chapter 6 turns the evidence and limitations into contributions and future work.</w:t>
      </w:r>
    </w:p>
    <w:p>
      <w:r>
        <w:rPr>
          <w:b w:val="false"/>
          <w:bCs w:val="false"/>
          <w:i w:val="false"/>
          <w:iCs w:val="false"/>
          <w:color w:val="000000"/>
        </w:rPr>
        <w:t xml:space="preserve">This integration is especially important for the ontology findings. A shallow mapping rate is not only a weakness; it becomes evidence for the need to extend Indonesian ESG vocabulary.</w:t>
      </w:r>
    </w:p>
    <w:p>
      <w:pPr>
        <w:pStyle w:val="Heading1"/>
      </w:pPr>
      <w:r>
        <w:rPr>
          <w:b w:val="false"/>
          <w:bCs w:val="false"/>
          <w:i w:val="false"/>
          <w:iCs w:val="false"/>
          <w:color w:val="000000"/>
        </w:rPr>
        <w:t xml:space="preserve">7. References</w:t>
      </w:r>
    </w:p>
    <w:p>
      <w:r>
        <w:rPr>
          <w:b w:val="false"/>
          <w:bCs w:val="false"/>
          <w:i w:val="false"/>
          <w:iCs w:val="false"/>
          <w:color w:val="000000"/>
        </w:rPr>
        <w:t xml:space="preserve">McHugh, M. L. (2012). Interrater reliability: The kappa statistic. </w:t>
      </w:r>
      <w:r>
        <w:rPr>
          <w:b w:val="false"/>
          <w:bCs w:val="false"/>
          <w:i/>
          <w:iCs/>
          <w:color w:val="000000"/>
        </w:rPr>
        <w:t xml:space="preserve">Biochemia Medica</w:t>
      </w:r>
      <w:r>
        <w:rPr>
          <w:b w:val="false"/>
          <w:bCs w:val="false"/>
          <w:i w:val="false"/>
          <w:iCs w:val="false"/>
          <w:color w:val="000000"/>
        </w:rPr>
        <w:t xml:space="preserve">, 22(3), 276-282. </w:t>
      </w:r>
      <w:r>
        <w:rPr>
          <w:b w:val="false"/>
          <w:bCs w:val="false"/>
          <w:i w:val="false"/>
          <w:iCs w:val="false"/>
          <w:color w:val="000000"/>
        </w:rPr>
        <w:t xml:space="preserve">https://pmc.ncbi.nlm.nih.gov/articles/PMC3900052/</w:t>
      </w:r>
    </w:p>
    <w:p>
      <w:r>
        <w:rPr>
          <w:b w:val="false"/>
          <w:bCs w:val="false"/>
          <w:i w:val="false"/>
          <w:iCs w:val="false"/>
          <w:color w:val="000000"/>
        </w:rPr>
        <w:t xml:space="preserve">Webersinke, N., Kraus, M., Bingler, J. A., &amp; Leippold, M. (2021). ClimateBERT: A pretrained language model for climate-related text. </w:t>
      </w:r>
      <w:r>
        <w:rPr>
          <w:b w:val="false"/>
          <w:bCs w:val="false"/>
          <w:i/>
          <w:iCs/>
          <w:color w:val="000000"/>
        </w:rPr>
        <w:t xml:space="preserve">arXiv</w:t>
      </w:r>
      <w:r>
        <w:rPr>
          <w:b w:val="false"/>
          <w:bCs w:val="false"/>
          <w:i w:val="false"/>
          <w:iCs w:val="false"/>
          <w:color w:val="000000"/>
        </w:rPr>
        <w:t xml:space="preserve">. </w:t>
      </w:r>
      <w:r>
        <w:rPr>
          <w:b w:val="false"/>
          <w:bCs w:val="false"/>
          <w:i w:val="false"/>
          <w:iCs w:val="false"/>
          <w:color w:val="000000"/>
        </w:rPr>
        <w:t xml:space="preserve">https://arxiv.org/abs/2110.12010</w:t>
      </w:r>
    </w:p>
    <w:p>
      <w:r>
        <w:rPr>
          <w:b w:val="false"/>
          <w:bCs w:val="false"/>
          <w:i w:val="false"/>
          <w:iCs w:val="false"/>
          <w:color w:val="000000"/>
        </w:rPr>
        <w:t xml:space="preserve">Zhang, W., Li, X., Deng, Y., Bing, L., &amp; Lam, W. (2022). A survey on aspect-based sentiment analysis: Tasks, methods, and challenges. </w:t>
      </w:r>
      <w:r>
        <w:rPr>
          <w:b w:val="false"/>
          <w:bCs w:val="false"/>
          <w:i/>
          <w:iCs/>
          <w:color w:val="000000"/>
        </w:rPr>
        <w:t xml:space="preserve">arXiv</w:t>
      </w:r>
      <w:r>
        <w:rPr>
          <w:b w:val="false"/>
          <w:bCs w:val="false"/>
          <w:i w:val="false"/>
          <w:iCs w:val="false"/>
          <w:color w:val="000000"/>
        </w:rPr>
        <w:t xml:space="preserve">. </w:t>
      </w:r>
      <w:r>
        <w:rPr>
          <w:b w:val="false"/>
          <w:bCs w:val="false"/>
          <w:i w:val="false"/>
          <w:iCs w:val="false"/>
          <w:color w:val="000000"/>
        </w:rPr>
        <w:t xml:space="preserve">https://arxiv.org/abs/2203.01054</w:t>
      </w:r>
    </w:p>
    <w:p>
      <w:commentRangeStart w:id="162"/>
      <w:r>
        <w:rPr>
          <w:b w:val="false"/>
          <w:bCs w:val="false"/>
          <w:i w:val="false"/>
          <w:iCs w:val="false"/>
          <w:color w:val="000000"/>
        </w:rPr>
        <w:t xml:space="preserve">Islam, M. M. (2025). </w:t>
      </w:r>
      <w:r>
        <w:rPr>
          <w:b w:val="false"/>
          <w:bCs w:val="false"/>
          <w:i/>
          <w:iCs/>
          <w:color w:val="000000"/>
        </w:rPr>
        <w:t xml:space="preserve">Towards Behaviour-Aware Multimodal Video Summarization: Integrating Visual, Audio, and Textual Cues for Human-Centric Content Analysis</w:t>
      </w:r>
      <w:commentRangeEnd w:id="162"/>
      <w:commentReference w:id="162"/>
      <w:r>
        <w:rPr>
          <w:b w:val="false"/>
          <w:bCs w:val="false"/>
          <w:i w:val="false"/>
          <w:iCs w:val="false"/>
          <w:color w:val="000000"/>
        </w:rPr>
        <w:t xml:space="preserve"> [Master's thesis, University of Oulu]. Local reference file: research_references/nbnfioulu-202506124422.pdf</w:t>
      </w:r>
    </w:p>
    <w:p>
      <w:pPr>
        <w:pStyle w:val="Heading1"/>
      </w:pPr>
      <w:r>
        <w:rPr>
          <w:b w:val="false"/>
          <w:bCs w:val="false"/>
          <w:i w:val="false"/>
          <w:iCs w:val="false"/>
          <w:color w:val="000000"/>
        </w:rPr>
        <w:t xml:space="preserve">8. Appendix: Executable Artifacts And Streamlit Pages</w:t>
      </w:r>
    </w:p>
    <w:p>
      <w:pPr>
        <w:pStyle w:val="Heading2"/>
      </w:pPr>
      <w:r>
        <w:rPr>
          <w:b w:val="false"/>
          <w:bCs w:val="false"/>
          <w:i w:val="false"/>
          <w:iCs w:val="false"/>
          <w:color w:val="000000"/>
        </w:rPr>
        <w:t xml:space="preserve">A. Core Streamlit Pages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4E7"/>
          </w:tcPr>
          <w:p>
            <w:r>
              <w:rPr>
                <w:b/>
                <w:bCs/>
                <w:i w:val="false"/>
                <w:iCs w:val="false"/>
                <w:color w:val="000000"/>
              </w:rPr>
              <w:t xml:space="preserve">Page</w:t>
            </w:r>
          </w:p>
        </w:tc>
        <w:tc>
          <w:tcPr>
            <w:shd w:fill="E4E4E7"/>
          </w:tcPr>
          <w:p>
            <w:r>
              <w:rPr>
                <w:b/>
                <w:bCs/>
                <w:i w:val="false"/>
                <w:iCs w:val="false"/>
                <w:color w:val="000000"/>
              </w:rPr>
              <w:t xml:space="preserve">Thesis role</w:t>
            </w:r>
          </w:p>
        </w:tc>
      </w:tr>
      <w:tr>
        <w:tc>
          <w:tcPr>
            <w:shd w:fill="E4E4E7"/>
          </w:tcPr>
          <w:p>
            <w:r>
              <w:rPr>
                <w:b w:val="false"/>
                <w:bCs w:val="false"/>
                <w:i w:val="false"/>
                <w:iCs w:val="false"/>
                <w:color w:val="000000"/>
              </w:rPr>
              <w:t xml:space="preserve">pages/3_0_Thesis_Action_Plan.py</w:t>
            </w:r>
          </w:p>
        </w:tc>
        <w:tc>
          <w:tcPr>
            <w:shd w:fill="E4E4E7"/>
          </w:tcPr>
          <w:p>
            <w:r>
              <w:rPr>
                <w:b w:val="false"/>
                <w:bCs w:val="false"/>
                <w:i w:val="false"/>
                <w:iCs w:val="false"/>
                <w:color w:val="000000"/>
              </w:rPr>
              <w:t xml:space="preserve">Live task execution, status counters, migration, annotation, prompt matrix</w:t>
            </w:r>
            <w:commentRangeEnd w:id="161"/>
            <w:commentReference w:id="161"/>
          </w:p>
        </w:tc>
      </w:tr>
      <w:tr>
        <w:tc>
          <w:tcPr>
            <w:shd w:fill="E4E4E7"/>
          </w:tcPr>
          <w:p>
            <w:r>
              <w:rPr>
                <w:b w:val="false"/>
                <w:bCs w:val="false"/>
                <w:i w:val="false"/>
                <w:iCs w:val="false"/>
                <w:color w:val="000000"/>
              </w:rPr>
              <w:t xml:space="preserve">pages/6_4_ch4-6.py</w:t>
            </w:r>
          </w:p>
        </w:tc>
        <w:tc>
          <w:tcPr>
            <w:shd w:fill="E4E4E7"/>
          </w:tcPr>
          <w:p>
            <w:r>
              <w:rPr>
                <w:b w:val="false"/>
                <w:bCs w:val="false"/>
                <w:i w:val="false"/>
                <w:iCs w:val="false"/>
                <w:color w:val="000000"/>
              </w:rPr>
              <w:t xml:space="preserve">Graph attachments, backing tables, chapter mapping, </w:t>
            </w:r>
            <w:r>
              <w:rPr>
                <w:b w:val="false"/>
                <w:bCs w:val="false"/>
                <w:i w:val="false"/>
                <w:iCs w:val="false"/>
                <w:color w:val="000000"/>
              </w:rPr>
              <w:t xml:space="preserve">benchmark checklist</w:t>
            </w:r>
            <w:commentRangeEnd w:id="159"/>
            <w:commentReference w:id="159"/>
          </w:p>
        </w:tc>
      </w:tr>
      <w:tr>
        <w:tc>
          <w:tcPr>
            <w:shd w:fill="E4E4E7"/>
          </w:tcPr>
          <w:p>
            <w:r>
              <w:rPr>
                <w:b w:val="false"/>
                <w:bCs w:val="false"/>
                <w:i w:val="false"/>
                <w:iCs w:val="false"/>
                <w:color w:val="000000"/>
              </w:rPr>
              <w:t xml:space="preserve">pages/6_0_Thesis_Draft_Chapter_Integration_Mermaid.py</w:t>
            </w:r>
          </w:p>
        </w:tc>
        <w:tc>
          <w:tcPr>
            <w:shd w:fill="E4E4E7"/>
          </w:tcPr>
          <w:p>
            <w:r>
              <w:rPr>
                <w:b w:val="false"/>
                <w:bCs w:val="false"/>
                <w:i w:val="false"/>
                <w:iCs w:val="false"/>
                <w:color w:val="000000"/>
              </w:rPr>
              <w:t xml:space="preserve">Thesis spine, RQ evidence, validation loop, </w:t>
            </w:r>
            <w:r>
              <w:rPr>
                <w:b w:val="false"/>
                <w:bCs w:val="false"/>
                <w:i w:val="false"/>
                <w:iCs w:val="false"/>
                <w:color w:val="000000"/>
              </w:rPr>
              <w:t xml:space="preserve">artifact lineage</w:t>
            </w:r>
            <w:commentRangeEnd w:id="157"/>
            <w:commentReference w:id="157"/>
          </w:p>
        </w:tc>
      </w:tr>
      <w:tr>
        <w:tc>
          <w:tcPr>
            <w:shd w:fill="E4E4E7"/>
          </w:tcPr>
          <w:p>
            <w:r>
              <w:rPr>
                <w:b w:val="false"/>
                <w:bCs w:val="false"/>
                <w:i w:val="false"/>
                <w:iCs w:val="false"/>
                <w:color w:val="000000"/>
              </w:rPr>
              <w:t xml:space="preserve">pages/6_1_Chapter_4_Implementation_Results.py</w:t>
            </w:r>
          </w:p>
        </w:tc>
        <w:tc>
          <w:tcPr>
            <w:shd w:fill="E4E4E7"/>
          </w:tcPr>
          <w:p>
            <w:r>
              <w:rPr>
                <w:b w:val="false"/>
                <w:bCs w:val="false"/>
                <w:i w:val="false"/>
                <w:iCs w:val="false"/>
                <w:color w:val="000000"/>
              </w:rPr>
              <w:t xml:space="preserve">Live Chapter 4 implementation and results</w:t>
            </w:r>
          </w:p>
        </w:tc>
      </w:tr>
      <w:tr>
        <w:tc>
          <w:tcPr>
            <w:shd w:fill="E4E4E7"/>
          </w:tcPr>
          <w:p>
            <w:r>
              <w:rPr>
                <w:b w:val="false"/>
                <w:bCs w:val="false"/>
                <w:i w:val="false"/>
                <w:iCs w:val="false"/>
                <w:color w:val="000000"/>
              </w:rPr>
              <w:t xml:space="preserve">pages/6_2_Chapter_5_Discussion.py</w:t>
            </w:r>
          </w:p>
        </w:tc>
        <w:tc>
          <w:tcPr>
            <w:shd w:fill="E4E4E7"/>
          </w:tcPr>
          <w:p>
            <w:r>
              <w:rPr>
                <w:b w:val="false"/>
                <w:bCs w:val="false"/>
                <w:i w:val="false"/>
                <w:iCs w:val="false"/>
                <w:color w:val="000000"/>
              </w:rPr>
              <w:t xml:space="preserve">Live Chapter 5 interpretation and limitations</w:t>
            </w:r>
          </w:p>
        </w:tc>
      </w:tr>
      <w:tr>
        <w:tc>
          <w:tcPr>
            <w:shd w:fill="E4E4E7"/>
          </w:tcPr>
          <w:p>
            <w:r>
              <w:rPr>
                <w:b w:val="false"/>
                <w:bCs w:val="false"/>
                <w:i w:val="false"/>
                <w:iCs w:val="false"/>
                <w:color w:val="000000"/>
              </w:rPr>
              <w:t xml:space="preserve">pages/6_3_Chapter_6_Conclusion.py</w:t>
            </w:r>
          </w:p>
        </w:tc>
        <w:tc>
          <w:tcPr>
            <w:shd w:fill="E4E4E7"/>
          </w:tcPr>
          <w:p>
            <w:r>
              <w:rPr>
                <w:b w:val="false"/>
                <w:bCs w:val="false"/>
                <w:i w:val="false"/>
                <w:iCs w:val="false"/>
                <w:color w:val="000000"/>
              </w:rPr>
              <w:t xml:space="preserve">Live Chapter 6 conclusions and future work</w:t>
            </w:r>
          </w:p>
        </w:tc>
      </w:tr>
      <w:tr>
        <w:tc>
          <w:tcPr>
            <w:shd w:fill="E4E4E7"/>
          </w:tcPr>
          <w:p>
            <w:r>
              <w:rPr>
                <w:b w:val="false"/>
                <w:bCs w:val="false"/>
                <w:i w:val="false"/>
                <w:iCs w:val="false"/>
                <w:color w:val="000000"/>
              </w:rPr>
              <w:t xml:space="preserve">pages/1_13_Semantic_Graph_Exporter.py</w:t>
            </w:r>
          </w:p>
        </w:tc>
        <w:tc>
          <w:tcPr>
            <w:shd w:fill="E4E4E7"/>
          </w:tcPr>
          <w:p>
            <w:r>
              <w:rPr>
                <w:b w:val="false"/>
                <w:bCs w:val="false"/>
                <w:i w:val="false"/>
                <w:iCs w:val="false"/>
                <w:color w:val="000000"/>
              </w:rPr>
              <w:t xml:space="preserve">RDF, OWL, Neo4j export</w:t>
            </w:r>
            <w:commentRangeEnd w:id="158"/>
            <w:commentReference w:id="158"/>
          </w:p>
        </w:tc>
      </w:tr>
    </w:tbl>
    <w:p>
      <w:pPr>
        <w:pStyle w:val="Heading2"/>
      </w:pPr>
      <w:commentRangeStart w:id="160"/>
      <w:r>
        <w:rPr>
          <w:b w:val="false"/>
          <w:bCs w:val="false"/>
          <w:i w:val="false"/>
          <w:iCs w:val="false"/>
          <w:color w:val="000000"/>
        </w:rPr>
        <w:t xml:space="preserve">B. Core Result Tables</w:t>
      </w:r>
      <w:commentRangeEnd w:id="160"/>
      <w:commentReference w:id="160"/>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4E7"/>
          </w:tcPr>
          <w:p>
            <w:r>
              <w:rPr>
                <w:b/>
                <w:bCs/>
                <w:i w:val="false"/>
                <w:iCs w:val="false"/>
                <w:color w:val="000000"/>
              </w:rPr>
              <w:t xml:space="preserve">Artifact</w:t>
            </w:r>
          </w:p>
        </w:tc>
        <w:tc>
          <w:tcPr>
            <w:shd w:fill="E4E4E7"/>
          </w:tcPr>
          <w:p>
            <w:r>
              <w:rPr>
                <w:b/>
                <w:bCs/>
                <w:i w:val="false"/>
                <w:iCs w:val="false"/>
                <w:color w:val="000000"/>
              </w:rPr>
              <w:t xml:space="preserve">Use</w:t>
            </w:r>
          </w:p>
        </w:tc>
      </w:tr>
      <w:tr>
        <w:tc>
          <w:tcPr>
            <w:shd w:fill="E4E4E7"/>
          </w:tcPr>
          <w:p>
            <w:r>
              <w:rPr>
                <w:b w:val="false"/>
                <w:bCs w:val="false"/>
                <w:i w:val="false"/>
                <w:iCs w:val="false"/>
                <w:color w:val="000000"/>
              </w:rPr>
              <w:t xml:space="preserve">results/thesis_workflow_dashboard/tone_records_flat.</w:t>
            </w:r>
            <w:r>
              <w:rPr>
                <w:b w:val="false"/>
                <w:bCs w:val="false"/>
                <w:i w:val="false"/>
                <w:iCs w:val="false"/>
                <w:color w:val="000000"/>
              </w:rPr>
              <w:t xml:space="preserve">csv</w:t>
            </w:r>
            <w:commentRangeEnd w:id="163"/>
            <w:commentReference w:id="163"/>
          </w:p>
        </w:tc>
        <w:tc>
          <w:tcPr>
            <w:shd w:fill="E4E4E7"/>
          </w:tcPr>
          <w:p>
            <w:r>
              <w:rPr>
                <w:b w:val="false"/>
                <w:bCs w:val="false"/>
                <w:i w:val="false"/>
                <w:iCs w:val="false"/>
                <w:color w:val="000000"/>
              </w:rPr>
              <w:t xml:space="preserve">Main structured ESG ABSA recor</w:t>
            </w:r>
            <w:commentRangeEnd w:id="163"/>
            <w:commentReference w:id="163"/>
            <w:r>
              <w:rPr>
                <w:b w:val="false"/>
                <w:bCs w:val="false"/>
                <w:i w:val="false"/>
                <w:iCs w:val="false"/>
                <w:color w:val="000000"/>
              </w:rPr>
              <w:t xml:space="preserve">d table</w:t>
            </w:r>
          </w:p>
        </w:tc>
      </w:tr>
      <w:tr>
        <w:tc>
          <w:tcPr>
            <w:shd w:fill="E4E4E7"/>
          </w:tcPr>
          <w:p>
            <w:r>
              <w:rPr>
                <w:b w:val="false"/>
                <w:bCs w:val="false"/>
                <w:i w:val="false"/>
                <w:iCs w:val="false"/>
                <w:color w:val="000000"/>
              </w:rPr>
              <w:t xml:space="preserve">results/thesis_workflow_dashboard/tone_esg_crosstab.csv</w:t>
            </w:r>
          </w:p>
        </w:tc>
        <w:tc>
          <w:tcPr>
            <w:shd w:fill="E4E4E7"/>
          </w:tcPr>
          <w:p>
            <w:r>
              <w:rPr>
                <w:b w:val="false"/>
                <w:bCs w:val="false"/>
                <w:i w:val="false"/>
                <w:iCs w:val="false"/>
                <w:color w:val="000000"/>
              </w:rPr>
              <w:t xml:space="preserve">ESG pillar by to</w:t>
            </w:r>
            <w:commentRangeEnd w:id="166"/>
            <w:commentReference w:id="166"/>
            <w:r>
              <w:rPr>
                <w:b w:val="false"/>
                <w:bCs w:val="false"/>
                <w:i w:val="false"/>
                <w:iCs w:val="false"/>
                <w:color w:val="000000"/>
              </w:rPr>
              <w:t xml:space="preserve">ne</w:t>
            </w:r>
          </w:p>
        </w:tc>
      </w:tr>
      <w:tr>
        <w:tc>
          <w:tcPr>
            <w:shd w:fill="E4E4E7"/>
          </w:tcPr>
          <w:p>
            <w:r>
              <w:rPr>
                <w:b w:val="false"/>
                <w:bCs w:val="false"/>
                <w:i w:val="false"/>
                <w:iCs w:val="false"/>
                <w:color w:val="000000"/>
              </w:rPr>
              <w:t xml:space="preserve">results/thesis_workflow_dashboard/tone_climatebert_label_crosstab.csv</w:t>
            </w:r>
          </w:p>
        </w:tc>
        <w:tc>
          <w:tcPr>
            <w:shd w:fill="E4E4E7"/>
          </w:tcPr>
          <w:p>
            <w:r>
              <w:rPr>
                <w:b w:val="false"/>
                <w:bCs w:val="false"/>
                <w:i w:val="false"/>
                <w:iCs w:val="false"/>
                <w:color w:val="000000"/>
              </w:rPr>
              <w:t xml:space="preserve">Tone by ClimateBERT-style lab</w:t>
            </w:r>
            <w:commentRangeEnd w:id="164"/>
            <w:commentReference w:id="164"/>
            <w:r>
              <w:rPr>
                <w:b w:val="false"/>
                <w:bCs w:val="false"/>
                <w:i w:val="false"/>
                <w:iCs w:val="false"/>
                <w:color w:val="000000"/>
              </w:rPr>
              <w:t xml:space="preserve">el</w:t>
            </w:r>
          </w:p>
        </w:tc>
      </w:tr>
      <w:tr>
        <w:tc>
          <w:tcPr>
            <w:shd w:fill="E4E4E7"/>
          </w:tcPr>
          <w:p>
            <w:r>
              <w:rPr>
                <w:b w:val="false"/>
                <w:bCs w:val="false"/>
                <w:i w:val="false"/>
                <w:iCs w:val="false"/>
                <w:color w:val="000000"/>
              </w:rPr>
              <w:t xml:space="preserve">results/thesis_workflow_dashboard/model_stability_summary.csv</w:t>
            </w:r>
          </w:p>
        </w:tc>
        <w:tc>
          <w:tcPr>
            <w:shd w:fill="E4E4E7"/>
          </w:tcPr>
          <w:p>
            <w:r>
              <w:rPr>
                <w:b w:val="false"/>
                <w:bCs w:val="false"/>
                <w:i w:val="false"/>
                <w:iCs w:val="false"/>
                <w:color w:val="000000"/>
              </w:rPr>
              <w:t xml:space="preserve">Model-level stability</w:t>
            </w:r>
          </w:p>
        </w:tc>
      </w:tr>
      <w:tr>
        <w:tc>
          <w:tcPr>
            <w:shd w:fill="E4E4E7"/>
          </w:tcPr>
          <w:p>
            <w:r>
              <w:rPr>
                <w:b w:val="false"/>
                <w:bCs w:val="false"/>
                <w:i w:val="false"/>
                <w:iCs w:val="false"/>
                <w:color w:val="000000"/>
              </w:rPr>
              <w:t xml:space="preserve">results/thesis_workflow_dashboard/prompt_stability_summary.csv</w:t>
            </w:r>
          </w:p>
        </w:tc>
        <w:tc>
          <w:tcPr>
            <w:shd w:fill="E4E4E7"/>
          </w:tcPr>
          <w:p>
            <w:r>
              <w:rPr>
                <w:b w:val="false"/>
                <w:bCs w:val="false"/>
                <w:i w:val="false"/>
                <w:iCs w:val="false"/>
                <w:color w:val="000000"/>
              </w:rPr>
              <w:t xml:space="preserve">Prompt-level stability</w:t>
            </w:r>
          </w:p>
        </w:tc>
      </w:tr>
      <w:tr>
        <w:tc>
          <w:tcPr>
            <w:shd w:fill="E4E4E7"/>
          </w:tcPr>
          <w:p>
            <w:r>
              <w:rPr>
                <w:b w:val="false"/>
                <w:bCs w:val="false"/>
                <w:i w:val="false"/>
                <w:iCs w:val="false"/>
                <w:color w:val="000000"/>
              </w:rPr>
              <w:t xml:space="preserve">results/thesis_workflow_dashboard/ontology_coverage.csv</w:t>
            </w:r>
          </w:p>
        </w:tc>
        <w:tc>
          <w:tcPr>
            <w:shd w:fill="E4E4E7"/>
          </w:tcPr>
          <w:p>
            <w:r>
              <w:rPr>
                <w:b w:val="false"/>
                <w:bCs w:val="false"/>
                <w:i w:val="false"/>
                <w:iCs w:val="false"/>
                <w:color w:val="000000"/>
              </w:rPr>
              <w:t xml:space="preserve">Mapped and unmapped aspec</w:t>
            </w:r>
            <w:commentRangeEnd w:id="165"/>
            <w:commentReference w:id="165"/>
            <w:r>
              <w:rPr>
                <w:b w:val="false"/>
                <w:bCs w:val="false"/>
                <w:i w:val="false"/>
                <w:iCs w:val="false"/>
                <w:color w:val="000000"/>
              </w:rPr>
              <w:t xml:space="preserve">ts</w:t>
            </w:r>
          </w:p>
        </w:tc>
      </w:tr>
      <w:tr>
        <w:tc>
          <w:tcPr>
            <w:shd w:fill="E4E4E7"/>
          </w:tcPr>
          <w:p>
            <w:r>
              <w:rPr>
                <w:b w:val="false"/>
                <w:bCs w:val="false"/>
                <w:i w:val="false"/>
                <w:iCs w:val="false"/>
                <w:color w:val="000000"/>
              </w:rPr>
              <w:t xml:space="preserve">results/revision_analysis/silver_tone_ground_truth.csv</w:t>
            </w:r>
          </w:p>
        </w:tc>
        <w:tc>
          <w:tcPr>
            <w:shd w:fill="E4E4E7"/>
          </w:tcPr>
          <w:p>
            <w:r>
              <w:rPr>
                <w:b w:val="false"/>
                <w:bCs w:val="false"/>
                <w:i w:val="false"/>
                <w:iCs w:val="false"/>
                <w:color w:val="000000"/>
              </w:rPr>
              <w:t xml:space="preserve">Silver-label ground truth scaffold</w:t>
            </w:r>
          </w:p>
        </w:tc>
      </w:tr>
    </w:tbl>
    <w:p>
      <w:pPr>
        <w:pStyle w:val="Heading2"/>
      </w:pPr>
      <w:commentRangeStart w:id="167"/>
      <w:r>
        <w:rPr>
          <w:b w:val="false"/>
          <w:bCs w:val="false"/>
          <w:i w:val="false"/>
          <w:iCs w:val="false"/>
          <w:color w:val="000000"/>
        </w:rPr>
        <w:t xml:space="preserve">C. Core Graph Attachments</w:t>
      </w:r>
      <w:commentRangeEnd w:id="167"/>
      <w:commentReference w:id="167"/>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4E7"/>
          </w:tcPr>
          <w:p>
            <w:r>
              <w:rPr>
                <w:b/>
                <w:bCs/>
                <w:i w:val="false"/>
                <w:iCs w:val="false"/>
                <w:color w:val="000000"/>
              </w:rPr>
              <w:t xml:space="preserve">Attachment</w:t>
            </w:r>
          </w:p>
        </w:tc>
        <w:tc>
          <w:tcPr>
            <w:shd w:fill="E4E4E7"/>
          </w:tcPr>
          <w:p>
            <w:r>
              <w:rPr>
                <w:b/>
                <w:bCs/>
                <w:i w:val="false"/>
                <w:iCs w:val="false"/>
                <w:color w:val="000000"/>
              </w:rPr>
              <w:t xml:space="preserve">Use</w:t>
            </w:r>
          </w:p>
        </w:tc>
      </w:tr>
      <w:tr>
        <w:tc>
          <w:tcPr>
            <w:shd w:fill="E4E4E7"/>
          </w:tcPr>
          <w:p>
            <w:r>
              <w:rPr>
                <w:b w:val="false"/>
                <w:bCs w:val="false"/>
                <w:i w:val="false"/>
                <w:iCs w:val="false"/>
                <w:color w:val="000000"/>
              </w:rPr>
              <w:t xml:space="preserve">results/docx_graph_attachments/docx_full_tone_distribution.p</w:t>
            </w:r>
            <w:commentRangeEnd w:id="170"/>
            <w:commentReference w:id="170"/>
            <w:r>
              <w:rPr>
                <w:b w:val="false"/>
                <w:bCs w:val="false"/>
                <w:i w:val="false"/>
                <w:iCs w:val="false"/>
                <w:color w:val="000000"/>
              </w:rPr>
              <w:t xml:space="preserve">ng</w:t>
            </w:r>
          </w:p>
        </w:tc>
        <w:tc>
          <w:tcPr>
            <w:shd w:fill="E4E4E7"/>
          </w:tcPr>
          <w:p>
            <w:r>
              <w:rPr>
                <w:b w:val="false"/>
                <w:bCs w:val="false"/>
                <w:i w:val="false"/>
                <w:iCs w:val="false"/>
                <w:color w:val="000000"/>
              </w:rPr>
              <w:t xml:space="preserve">Chapter 4 RQ2 tone distribution</w:t>
            </w:r>
          </w:p>
        </w:tc>
      </w:tr>
      <w:tr>
        <w:tc>
          <w:tcPr>
            <w:shd w:fill="E4E4E7"/>
          </w:tcPr>
          <w:p>
            <w:r>
              <w:rPr>
                <w:b w:val="false"/>
                <w:bCs w:val="false"/>
                <w:i w:val="false"/>
                <w:iCs w:val="false"/>
                <w:color w:val="000000"/>
              </w:rPr>
              <w:t xml:space="preserve">results/docx_graph_attachments/docx_full_esg_by_tone.png</w:t>
            </w:r>
          </w:p>
        </w:tc>
        <w:tc>
          <w:tcPr>
            <w:shd w:fill="E4E4E7"/>
          </w:tcPr>
          <w:p>
            <w:r>
              <w:rPr>
                <w:b w:val="false"/>
                <w:bCs w:val="false"/>
                <w:i w:val="false"/>
                <w:iCs w:val="false"/>
                <w:color w:val="000000"/>
              </w:rPr>
              <w:t xml:space="preserve">Chapter 4 RQ2 ESG by tone</w:t>
            </w:r>
          </w:p>
        </w:tc>
      </w:tr>
      <w:tr>
        <w:tc>
          <w:tcPr>
            <w:shd w:fill="E4E4E7"/>
          </w:tcPr>
          <w:p>
            <w:r>
              <w:rPr>
                <w:b w:val="false"/>
                <w:bCs w:val="false"/>
                <w:i w:val="false"/>
                <w:iCs w:val="false"/>
                <w:color w:val="000000"/>
              </w:rPr>
              <w:t xml:space="preserve">results/docx_graph_attachments/docx_full_aspect_by_tone_heatmap.png</w:t>
            </w:r>
          </w:p>
        </w:tc>
        <w:tc>
          <w:tcPr>
            <w:shd w:fill="E4E4E7"/>
          </w:tcPr>
          <w:p>
            <w:r>
              <w:rPr>
                <w:b w:val="false"/>
                <w:bCs w:val="false"/>
                <w:i w:val="false"/>
                <w:iCs w:val="false"/>
                <w:color w:val="000000"/>
              </w:rPr>
              <w:t xml:space="preserve">Chapter 4 RQ2 aspect by tone</w:t>
            </w:r>
          </w:p>
        </w:tc>
      </w:tr>
      <w:tr>
        <w:tc>
          <w:tcPr>
            <w:shd w:fill="E4E4E7"/>
          </w:tcPr>
          <w:p>
            <w:r>
              <w:rPr>
                <w:b w:val="false"/>
                <w:bCs w:val="false"/>
                <w:i w:val="false"/>
                <w:iCs w:val="false"/>
                <w:color w:val="000000"/>
              </w:rPr>
              <w:t xml:space="preserve">results/docx_graph_attachments/docx_climatebert_baseline.png</w:t>
            </w:r>
          </w:p>
        </w:tc>
        <w:tc>
          <w:tcPr>
            <w:shd w:fill="E4E4E7"/>
          </w:tcPr>
          <w:p>
            <w:r>
              <w:rPr>
                <w:b w:val="false"/>
                <w:bCs w:val="false"/>
                <w:i w:val="false"/>
                <w:iCs w:val="false"/>
                <w:color w:val="000000"/>
              </w:rPr>
              <w:t xml:space="preserve">Chapter 4/5 RQ3 ClimateBERT baseline</w:t>
            </w:r>
          </w:p>
        </w:tc>
      </w:tr>
      <w:tr>
        <w:tc>
          <w:tcPr>
            <w:shd w:fill="E4E4E7"/>
          </w:tcPr>
          <w:p>
            <w:r>
              <w:rPr>
                <w:b w:val="false"/>
                <w:bCs w:val="false"/>
                <w:i w:val="false"/>
                <w:iCs w:val="false"/>
                <w:color w:val="000000"/>
              </w:rPr>
              <w:t xml:space="preserve">results/docx_graph_attachments/docx_model_parse_success.png</w:t>
            </w:r>
          </w:p>
        </w:tc>
        <w:tc>
          <w:tcPr>
            <w:shd w:fill="E4E4E7"/>
          </w:tcPr>
          <w:p>
            <w:r>
              <w:rPr>
                <w:b w:val="false"/>
                <w:bCs w:val="false"/>
                <w:i w:val="false"/>
                <w:iCs w:val="false"/>
                <w:color w:val="000000"/>
              </w:rPr>
              <w:t xml:space="preserve">Chapter 6 RQ6 model stability</w:t>
            </w:r>
          </w:p>
        </w:tc>
      </w:tr>
      <w:tr>
        <w:tc>
          <w:tcPr>
            <w:shd w:fill="E4E4E7"/>
          </w:tcPr>
          <w:p>
            <w:r>
              <w:rPr>
                <w:b w:val="false"/>
                <w:bCs w:val="false"/>
                <w:i w:val="false"/>
                <w:iCs w:val="false"/>
                <w:color w:val="000000"/>
              </w:rPr>
              <w:t xml:space="preserve">results/docx_graph_attachments/docx_ontology_mapped_vs_unmapped.png</w:t>
            </w:r>
          </w:p>
        </w:tc>
        <w:tc>
          <w:tcPr>
            <w:shd w:fill="E4E4E7"/>
          </w:tcPr>
          <w:p>
            <w:r>
              <w:rPr>
                <w:b w:val="false"/>
                <w:bCs w:val="false"/>
                <w:i w:val="false"/>
                <w:iCs w:val="false"/>
                <w:color w:val="000000"/>
              </w:rPr>
              <w:t xml:space="preserve">Chapter 5/6 ontology coverage</w:t>
            </w:r>
          </w:p>
        </w:tc>
      </w:tr>
      <w:tr>
        <w:tc>
          <w:tcPr>
            <w:shd w:fill="E4E4E7"/>
          </w:tcPr>
          <w:p>
            <w:r>
              <w:rPr>
                <w:b w:val="false"/>
                <w:bCs w:val="false"/>
                <w:i w:val="false"/>
                <w:iCs w:val="false"/>
                <w:color w:val="000000"/>
              </w:rPr>
              <w:t xml:space="preserve">results/docx_graph_attachments/aspect_cooccurrence_edges.png</w:t>
            </w:r>
          </w:p>
        </w:tc>
        <w:tc>
          <w:tcPr>
            <w:shd w:fill="E4E4E7"/>
          </w:tcPr>
          <w:p>
            <w:r>
              <w:rPr>
                <w:b w:val="false"/>
                <w:bCs w:val="false"/>
                <w:i w:val="false"/>
                <w:iCs w:val="false"/>
                <w:color w:val="000000"/>
              </w:rPr>
              <w:t xml:space="preserve">Aspect relationship analysis</w:t>
            </w:r>
          </w:p>
        </w:tc>
      </w:tr>
      <w:tr>
        <w:tc>
          <w:tcPr>
            <w:shd w:fill="E4E4E7"/>
          </w:tcPr>
          <w:p>
            <w:r>
              <w:rPr>
                <w:b w:val="false"/>
                <w:bCs w:val="false"/>
                <w:i w:val="false"/>
                <w:iCs w:val="false"/>
                <w:color w:val="000000"/>
              </w:rPr>
              <w:t xml:space="preserve">results/docx_graph_attachments/aspect_network_centrality.png</w:t>
            </w:r>
          </w:p>
        </w:tc>
        <w:tc>
          <w:tcPr>
            <w:shd w:fill="E4E4E7"/>
          </w:tcPr>
          <w:p>
            <w:r>
              <w:rPr>
                <w:b w:val="false"/>
                <w:bCs w:val="false"/>
                <w:i w:val="false"/>
                <w:iCs w:val="false"/>
                <w:color w:val="000000"/>
              </w:rPr>
              <w:t xml:space="preserve">Aspect centrality analysis</w:t>
            </w:r>
          </w:p>
        </w:tc>
      </w:tr>
    </w:tbl>
    <w:p>
      <w:pPr>
        <w:pStyle w:val="Heading2"/>
      </w:pPr>
      <w:commentRangeStart w:id="168"/>
      <w:r>
        <w:rPr>
          <w:b w:val="false"/>
          <w:bCs w:val="false"/>
          <w:i w:val="false"/>
          <w:iCs w:val="false"/>
          <w:color w:val="000000"/>
        </w:rPr>
        <w:t xml:space="preserve">D. Recommended Figure/Table Format</w:t>
      </w:r>
      <w:commentRangeEnd w:id="168"/>
      <w:commentReference w:id="168"/>
    </w:p>
    <w:p>
      <w:commentRangeStart w:id="169"/>
      <w:r>
        <w:rPr>
          <w:b w:val="false"/>
          <w:bCs w:val="false"/>
          <w:i w:val="false"/>
          <w:iCs w:val="false"/>
          <w:color w:val="000000"/>
        </w:rPr>
        <w:t xml:space="preserve">Every graph section should include:</w:t>
      </w:r>
      <w:commentRangeEnd w:id="169"/>
      <w:commentReference w:id="169"/>
    </w:p>
    <w:p>
      <w:pPr>
        <w:pStyle w:val="ListParagraph"/>
        <w:numPr>
          <w:ilvl w:val="0"/>
          <w:numId w:val="8"/>
        </w:numPr>
      </w:pPr>
      <w:r>
        <w:rPr>
          <w:b w:val="false"/>
          <w:bCs w:val="false"/>
          <w:i w:val="false"/>
          <w:iCs w:val="false"/>
          <w:color w:val="000000"/>
        </w:rPr>
        <w:t xml:space="preserve">Chapter and RQ label.</w:t>
      </w:r>
    </w:p>
    <w:p>
      <w:pPr>
        <w:pStyle w:val="ListParagraph"/>
        <w:numPr>
          <w:ilvl w:val="0"/>
          <w:numId w:val="8"/>
        </w:numPr>
      </w:pPr>
      <w:r>
        <w:rPr>
          <w:b w:val="false"/>
          <w:bCs w:val="false"/>
          <w:i w:val="false"/>
          <w:iCs w:val="false"/>
          <w:color w:val="000000"/>
        </w:rPr>
        <w:t xml:space="preserve">Graph path.</w:t>
      </w:r>
    </w:p>
    <w:p>
      <w:pPr>
        <w:pStyle w:val="ListParagraph"/>
        <w:numPr>
          <w:ilvl w:val="0"/>
          <w:numId w:val="8"/>
        </w:numPr>
      </w:pPr>
      <w:r>
        <w:rPr>
          <w:b w:val="false"/>
          <w:bCs w:val="false"/>
          <w:i w:val="false"/>
          <w:iCs w:val="false"/>
          <w:color w:val="000000"/>
        </w:rPr>
        <w:t xml:space="preserve">Original table path.</w:t>
      </w:r>
    </w:p>
    <w:p>
      <w:pPr>
        <w:pStyle w:val="ListParagraph"/>
        <w:numPr>
          <w:ilvl w:val="0"/>
          <w:numId w:val="8"/>
        </w:numPr>
      </w:pPr>
      <w:r>
        <w:rPr>
          <w:b w:val="false"/>
          <w:bCs w:val="false"/>
          <w:i w:val="false"/>
          <w:iCs w:val="false"/>
          <w:color w:val="000000"/>
        </w:rPr>
        <w:t xml:space="preserve">Redirect/open page button.</w:t>
      </w:r>
    </w:p>
    <w:p>
      <w:pPr>
        <w:pStyle w:val="ListParagraph"/>
        <w:numPr>
          <w:ilvl w:val="0"/>
          <w:numId w:val="8"/>
        </w:numPr>
      </w:pPr>
      <w:r>
        <w:rPr>
          <w:b w:val="false"/>
          <w:bCs w:val="false"/>
          <w:i w:val="false"/>
          <w:iCs w:val="false"/>
          <w:color w:val="000000"/>
        </w:rPr>
        <w:t xml:space="preserve">Original graph attachment.</w:t>
      </w:r>
    </w:p>
    <w:p>
      <w:pPr>
        <w:pStyle w:val="ListParagraph"/>
        <w:numPr>
          <w:ilvl w:val="0"/>
          <w:numId w:val="8"/>
        </w:numPr>
      </w:pPr>
      <w:r>
        <w:rPr>
          <w:b w:val="false"/>
          <w:bCs w:val="false"/>
          <w:i w:val="false"/>
          <w:iCs w:val="false"/>
          <w:color w:val="000000"/>
        </w:rPr>
        <w:t xml:space="preserve">Original/backing table.</w:t>
      </w:r>
    </w:p>
    <w:p>
      <w:pPr>
        <w:pStyle w:val="ListParagraph"/>
        <w:numPr>
          <w:ilvl w:val="0"/>
          <w:numId w:val="8"/>
        </w:numPr>
      </w:pPr>
      <w:r>
        <w:rPr>
          <w:b w:val="false"/>
          <w:bCs w:val="false"/>
          <w:i w:val="false"/>
          <w:iCs w:val="false"/>
          <w:color w:val="000000"/>
        </w:rPr>
        <w:t xml:space="preserve">Interpretation box.</w:t>
      </w:r>
    </w:p>
    <w:p>
      <w:pPr>
        <w:pStyle w:val="ListParagraph"/>
        <w:numPr>
          <w:ilvl w:val="0"/>
          <w:numId w:val="8"/>
        </w:numPr>
      </w:pPr>
      <w:r>
        <w:rPr>
          <w:b w:val="false"/>
          <w:bCs w:val="false"/>
          <w:i w:val="false"/>
          <w:iCs w:val="false"/>
          <w:color w:val="000000"/>
        </w:rPr>
        <w:t xml:space="preserve">Limitation or next-action box.</w:t>
      </w:r>
    </w:p>
    <w:p>
      <w:commentRangeStart w:id="171"/>
      <w:r>
        <w:rPr>
          <w:b w:val="false"/>
          <w:bCs w:val="false"/>
          <w:i w:val="false"/>
          <w:iCs w:val="false"/>
          <w:color w:val="000000"/>
        </w:rPr>
        <w:t xml:space="preserve">This format keeps the paper, dashboard, graph, and data table connected</w:t>
      </w:r>
      <w:commentRangeEnd w:id="171"/>
      <w:commentReference w:id="171"/>
      <w:sdt>
        <w:sdtPr>
          <w:tag w:val="CITATION HwangA26"/>
          <w:id w:val="950746289"/>
          <w:citation/>
        </w:sdtPr>
        <w:sdtContent>
          <w:r>
            <w:fldChar w:fldCharType="begin"/>
          </w:r>
          <w:r>
            <w:instrText xml:space="preserve"> CITATION HwangA26 \l 1033 </w:instrText>
          </w:r>
          <w:r>
            <w:fldChar w:fldCharType="separate"/>
          </w:r>
          <w:r>
            <w:rPr>
              <w:noProof/>
            </w:rPr>
            <w:t xml:space="preserve">(Hwang et al., 2026)</w:t>
          </w:r>
          <w:r>
            <w:fldChar w:fldCharType="end"/>
          </w:r>
        </w:sdtContent>
      </w:sdt>
      <w:r>
        <w:rPr>
          <w:b w:val="false"/>
          <w:bCs w:val="false"/>
          <w:i w:val="false"/>
          <w:iCs w:val="false"/>
          <w:color w:val="000000"/>
        </w:rPr>
        <w:t xml:space="preserve">.</w:t>
      </w:r>
    </w:p>
    <w:p>
      <w:pPr>
        <w:pBdr>
          <w:bottom w:val="single" w:color="auto" w:sz="6" w:space="1"/>
        </w:pBdr>
        <w:spacing w:before="2160"/>
      </w:pPr>
      <w:r>
        <w:t xml:space="preserve">
</w:t>
      </w:r>
    </w:p>
    <w:p>
      <w:pPr>
        <w:pStyle w:val="JenniRefHeader"/>
      </w:pPr>
      <w:r>
        <w:rPr>
          <w:color w:val="000000"/>
        </w:rPr>
        <w:t xml:space="preserve">References</w:t>
      </w:r>
    </w:p>
    <w:p>
      <w:pPr>
        <w:pStyle w:val="JenniRefBody"/>
        <w:ind w:start="720" w:hanging="720"/>
      </w:pPr>
      <w:bookmarkStart w:name="74621ccd135483f55d2acd080dd118b3" w:id="1"/>
      <w:r>
        <w:rPr>
          <w:b w:val="false"/>
          <w:bCs w:val="false"/>
          <w:i w:val="false"/>
          <w:iCs w:val="false"/>
          <w:color w:val="000000"/>
        </w:rPr>
        <w:t xml:space="preserve">  </w:t>
      </w:r>
      <w:r>
        <w:rPr>
          <w:b w:val="false"/>
          <w:bCs w:val="false"/>
          <w:i w:val="false"/>
          <w:iCs w:val="false"/>
          <w:color w:val="000000"/>
        </w:rPr>
        <w:t xml:space="preserve">Adhariani, D., &amp; Sciulli, N. (2020). The future of integrated reporting in an emerging market: an analysis of the disclosure conformity level. </w:t>
      </w:r>
      <w:r>
        <w:rPr>
          <w:b w:val="false"/>
          <w:bCs w:val="false"/>
          <w:i/>
          <w:iCs/>
          <w:color w:val="000000"/>
        </w:rPr>
        <w:t xml:space="preserve">Asian Review of Accounting</w:t>
      </w:r>
      <w:r>
        <w:rPr>
          <w:b w:val="false"/>
          <w:bCs w:val="false"/>
          <w:i w:val="false"/>
          <w:iCs w:val="false"/>
          <w:color w:val="000000"/>
        </w:rPr>
        <w:t xml:space="preserve">, </w:t>
      </w:r>
      <w:r>
        <w:rPr>
          <w:b w:val="false"/>
          <w:bCs w:val="false"/>
          <w:i/>
          <w:iCs/>
          <w:color w:val="000000"/>
        </w:rPr>
        <w:t xml:space="preserve">28</w:t>
      </w:r>
      <w:r>
        <w:rPr>
          <w:b w:val="false"/>
          <w:bCs w:val="false"/>
          <w:i w:val="false"/>
          <w:iCs w:val="false"/>
          <w:color w:val="000000"/>
        </w:rPr>
        <w:t xml:space="preserve">(4), 619–634. </w:t>
      </w:r>
      <w:r>
        <w:rPr>
          <w:b w:val="false"/>
          <w:bCs w:val="false"/>
          <w:i w:val="false"/>
          <w:iCs w:val="false"/>
          <w:color w:val="000000"/>
        </w:rPr>
        <w:t xml:space="preserve">https://doi.org/10.1108/ara-02-2019-0045</w:t>
      </w:r>
      <w:r>
        <w:rPr>
          <w:b w:val="false"/>
          <w:bCs w:val="false"/>
          <w:i w:val="false"/>
          <w:iCs w:val="false"/>
          <w:color w:val="000000"/>
        </w:rPr>
        <w:t xml:space="preserve">
</w:t>
      </w:r>
      <w:bookmarkEnd w:id="1"/>
    </w:p>
    <w:p>
      <w:pPr>
        <w:pStyle w:val="JenniRefBody"/>
        <w:ind w:start="720" w:hanging="720"/>
      </w:pPr>
      <w:bookmarkStart w:name="543335d67ea98e558e8df400d2f011ef" w:id="1"/>
      <w:r>
        <w:rPr>
          <w:b w:val="false"/>
          <w:bCs w:val="false"/>
          <w:i w:val="false"/>
          <w:iCs w:val="false"/>
          <w:color w:val="000000"/>
        </w:rPr>
        <w:t xml:space="preserve">  </w:t>
      </w:r>
      <w:r>
        <w:rPr>
          <w:b w:val="false"/>
          <w:bCs w:val="false"/>
          <w:i w:val="false"/>
          <w:iCs w:val="false"/>
          <w:color w:val="000000"/>
        </w:rPr>
        <w:t xml:space="preserve">Adhariani, D., &amp; Toit, E. du. (2020). Readability of sustainability reports: evidence from Indonesia. </w:t>
      </w:r>
      <w:r>
        <w:rPr>
          <w:b w:val="false"/>
          <w:bCs w:val="false"/>
          <w:i/>
          <w:iCs/>
          <w:color w:val="000000"/>
        </w:rPr>
        <w:t xml:space="preserve">Journal of Accounting in Emerging Economies</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(4), 621–636. </w:t>
      </w:r>
      <w:r>
        <w:rPr>
          <w:b w:val="false"/>
          <w:bCs w:val="false"/>
          <w:i w:val="false"/>
          <w:iCs w:val="false"/>
          <w:color w:val="000000"/>
        </w:rPr>
        <w:t xml:space="preserve">https://doi.org/10.1108/jaee-10-2019-0194</w:t>
      </w:r>
      <w:r>
        <w:rPr>
          <w:b w:val="false"/>
          <w:bCs w:val="false"/>
          <w:i w:val="false"/>
          <w:iCs w:val="false"/>
          <w:color w:val="000000"/>
        </w:rPr>
        <w:t xml:space="preserve">
</w:t>
      </w:r>
      <w:bookmarkEnd w:id="1"/>
    </w:p>
    <w:p>
      <w:pPr>
        <w:pStyle w:val="JenniRefBody"/>
        <w:ind w:start="720" w:hanging="720"/>
      </w:pPr>
      <w:bookmarkStart w:name="49ae0f6eedd38b8564e1607d50bf7937" w:id="1"/>
      <w:r>
        <w:rPr>
          <w:b w:val="false"/>
          <w:bCs w:val="false"/>
          <w:i w:val="false"/>
          <w:iCs w:val="false"/>
          <w:color w:val="000000"/>
        </w:rPr>
        <w:t xml:space="preserve">  </w:t>
      </w:r>
      <w:r>
        <w:rPr>
          <w:b w:val="false"/>
          <w:bCs w:val="false"/>
          <w:i w:val="false"/>
          <w:iCs w:val="false"/>
          <w:color w:val="000000"/>
        </w:rPr>
        <w:t xml:space="preserve">Aguda, T., Siddagangappa, S., Kochkina, E., Kaur, S., Wang, D., Smiley, C., &amp; Shah, S. (2024). Large Language Models as Financial Data Annotators: A Study on   Effectiveness and Efficiency.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https://doi.org/10.48550/arxiv.2403.18152</w:t>
      </w:r>
      <w:r>
        <w:rPr>
          <w:b w:val="false"/>
          <w:bCs w:val="false"/>
          <w:i w:val="false"/>
          <w:iCs w:val="false"/>
          <w:color w:val="000000"/>
        </w:rPr>
        <w:t xml:space="preserve">
</w:t>
      </w:r>
      <w:bookmarkEnd w:id="1"/>
    </w:p>
    <w:p>
      <w:pPr>
        <w:pStyle w:val="JenniRefBody"/>
        <w:ind w:start="720" w:hanging="720"/>
      </w:pPr>
      <w:bookmarkStart w:name="95f35beb5e12d98ca9942f743c025077" w:id="1"/>
      <w:r>
        <w:rPr>
          <w:b w:val="false"/>
          <w:bCs w:val="false"/>
          <w:i w:val="false"/>
          <w:iCs w:val="false"/>
          <w:color w:val="000000"/>
        </w:rPr>
        <w:t xml:space="preserve">  </w:t>
      </w:r>
      <w:r>
        <w:rPr>
          <w:b w:val="false"/>
          <w:bCs w:val="false"/>
          <w:i w:val="false"/>
          <w:iCs w:val="false"/>
          <w:color w:val="000000"/>
        </w:rPr>
        <w:t xml:space="preserve">Ahmed, S. R., Shah, A., Tran, Q. H., Khetan, V., Kang, S., Mehta, A. I., Bao, Y., &amp; Wei, W. (2025). Enhancing Retrieval for ESGLLM via ESG-CID -- A Disclosure Content Index Finetuning Dataset for Mapping GRI and ESRS.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https://doi.org/10.48550/arxiv.2503.10674</w:t>
      </w:r>
      <w:r>
        <w:rPr>
          <w:b w:val="false"/>
          <w:bCs w:val="false"/>
          <w:i w:val="false"/>
          <w:iCs w:val="false"/>
          <w:color w:val="000000"/>
        </w:rPr>
        <w:t xml:space="preserve">
</w:t>
      </w:r>
      <w:bookmarkEnd w:id="1"/>
    </w:p>
    <w:p>
      <w:pPr>
        <w:pStyle w:val="JenniRefBody"/>
        <w:ind w:start="720" w:hanging="720"/>
      </w:pPr>
      <w:bookmarkStart w:name="c2f5394bdfa8079b3b55106964b1af1b" w:id="1"/>
      <w:r>
        <w:rPr>
          <w:b w:val="false"/>
          <w:bCs w:val="false"/>
          <w:i w:val="false"/>
          <w:iCs w:val="false"/>
          <w:color w:val="000000"/>
        </w:rPr>
        <w:t xml:space="preserve">  </w:t>
      </w:r>
      <w:r>
        <w:rPr>
          <w:b w:val="false"/>
          <w:bCs w:val="false"/>
          <w:i w:val="false"/>
          <w:iCs w:val="false"/>
          <w:color w:val="000000"/>
        </w:rPr>
        <w:t xml:space="preserve">Al‐Shaer, H., Albitar, K., &amp; Hussainey, K. (2021). Creating sustainability reports that matter: an investigation of factors behind the narratives. </w:t>
      </w:r>
      <w:r>
        <w:rPr>
          <w:b w:val="false"/>
          <w:bCs w:val="false"/>
          <w:i/>
          <w:iCs/>
          <w:color w:val="000000"/>
        </w:rPr>
        <w:t xml:space="preserve">Journal of Applied Accounting Research</w:t>
      </w:r>
      <w:r>
        <w:rPr>
          <w:b w:val="false"/>
          <w:bCs w:val="false"/>
          <w:i w:val="false"/>
          <w:iCs w:val="false"/>
          <w:color w:val="000000"/>
        </w:rPr>
        <w:t xml:space="preserve">, </w:t>
      </w:r>
      <w:r>
        <w:rPr>
          <w:b w:val="false"/>
          <w:bCs w:val="false"/>
          <w:i/>
          <w:iCs/>
          <w:color w:val="000000"/>
        </w:rPr>
        <w:t xml:space="preserve">23</w:t>
      </w:r>
      <w:r>
        <w:rPr>
          <w:b w:val="false"/>
          <w:bCs w:val="false"/>
          <w:i w:val="false"/>
          <w:iCs w:val="false"/>
          <w:color w:val="000000"/>
        </w:rPr>
        <w:t xml:space="preserve">(3), 738–763. </w:t>
      </w:r>
      <w:r>
        <w:rPr>
          <w:b w:val="false"/>
          <w:bCs w:val="false"/>
          <w:i w:val="false"/>
          <w:iCs w:val="false"/>
          <w:color w:val="000000"/>
        </w:rPr>
        <w:t xml:space="preserve">https://doi.org/10.1108/jaar-05-2021-0136</w:t>
      </w:r>
      <w:r>
        <w:rPr>
          <w:b w:val="false"/>
          <w:bCs w:val="false"/>
          <w:i w:val="false"/>
          <w:iCs w:val="false"/>
          <w:color w:val="000000"/>
        </w:rPr>
        <w:t xml:space="preserve">
</w:t>
      </w:r>
      <w:bookmarkEnd w:id="1"/>
    </w:p>
    <w:p>
      <w:pPr>
        <w:pStyle w:val="JenniRefBody"/>
        <w:ind w:start="720" w:hanging="720"/>
      </w:pPr>
      <w:bookmarkStart w:name="306bcd6136e808339a7f203673b588ee" w:id="1"/>
      <w:r>
        <w:rPr>
          <w:b w:val="false"/>
          <w:bCs w:val="false"/>
          <w:i w:val="false"/>
          <w:iCs w:val="false"/>
          <w:color w:val="000000"/>
        </w:rPr>
        <w:t xml:space="preserve">  </w:t>
      </w:r>
      <w:r>
        <w:rPr>
          <w:b w:val="false"/>
          <w:bCs w:val="false"/>
          <w:i w:val="false"/>
          <w:iCs w:val="false"/>
          <w:color w:val="000000"/>
        </w:rPr>
        <w:t xml:space="preserve">Ameraldo, F., Rizki, M. F., &amp; Rabaya, A. J. (2025). Exploring anti-corruption disclosure: are Islamic banks better than conventional banks? </w:t>
      </w:r>
      <w:r>
        <w:rPr>
          <w:b w:val="false"/>
          <w:bCs w:val="false"/>
          <w:i/>
          <w:iCs/>
          <w:color w:val="000000"/>
        </w:rPr>
        <w:t xml:space="preserve">Journal of Islamic Marketing</w:t>
      </w:r>
      <w:r>
        <w:rPr>
          <w:b w:val="false"/>
          <w:bCs w:val="false"/>
          <w:i w:val="false"/>
          <w:iCs w:val="false"/>
          <w:color w:val="000000"/>
        </w:rPr>
        <w:t xml:space="preserve">. </w:t>
      </w:r>
      <w:r>
        <w:rPr>
          <w:b w:val="false"/>
          <w:bCs w:val="false"/>
          <w:i w:val="false"/>
          <w:iCs w:val="false"/>
          <w:color w:val="000000"/>
        </w:rPr>
        <w:t xml:space="preserve">https://doi.org/10.1108/jima-10-2024-0488</w:t>
      </w:r>
      <w:r>
        <w:rPr>
          <w:b w:val="false"/>
          <w:bCs w:val="false"/>
          <w:i w:val="false"/>
          <w:iCs w:val="false"/>
          <w:color w:val="000000"/>
        </w:rPr>
        <w:t xml:space="preserve">
</w:t>
      </w:r>
      <w:bookmarkEnd w:id="1"/>
    </w:p>
    <w:p>
      <w:pPr>
        <w:pStyle w:val="JenniRefBody"/>
        <w:ind w:start="720" w:hanging="720"/>
      </w:pPr>
      <w:bookmarkStart w:name="b56a1c0f8208c1c0a541e5126f70ac2c" w:id="1"/>
      <w:r>
        <w:rPr>
          <w:b w:val="false"/>
          <w:bCs w:val="false"/>
          <w:i w:val="false"/>
          <w:iCs w:val="false"/>
          <w:color w:val="000000"/>
        </w:rPr>
        <w:t xml:space="preserve">  </w:t>
      </w:r>
      <w:r>
        <w:rPr>
          <w:b w:val="false"/>
          <w:bCs w:val="false"/>
          <w:i w:val="false"/>
          <w:iCs w:val="false"/>
          <w:color w:val="000000"/>
        </w:rPr>
        <w:t xml:space="preserve">Anaraki, S. A. M., Croce, D., &amp; Basili, R. (2025). Large language models for sustainability reporting: A systematic review and research agenda. </w:t>
      </w:r>
      <w:r>
        <w:rPr>
          <w:b w:val="false"/>
          <w:bCs w:val="false"/>
          <w:i/>
          <w:iCs/>
          <w:color w:val="000000"/>
        </w:rPr>
        <w:t xml:space="preserve">Sustainable Futures</w:t>
      </w:r>
      <w:r>
        <w:rPr>
          <w:b w:val="false"/>
          <w:bCs w:val="false"/>
          <w:i w:val="false"/>
          <w:iCs w:val="false"/>
          <w:color w:val="000000"/>
        </w:rPr>
        <w:t xml:space="preserve">, </w:t>
      </w:r>
      <w:r>
        <w:rPr>
          <w:b w:val="false"/>
          <w:bCs w:val="false"/>
          <w:i/>
          <w:iCs/>
          <w:color w:val="000000"/>
        </w:rPr>
        <w:t xml:space="preserve">10</w:t>
      </w:r>
      <w:r>
        <w:rPr>
          <w:b w:val="false"/>
          <w:bCs w:val="false"/>
          <w:i w:val="false"/>
          <w:iCs w:val="false"/>
          <w:color w:val="000000"/>
        </w:rPr>
        <w:t xml:space="preserve">, 101494–101494. </w:t>
      </w:r>
      <w:r>
        <w:rPr>
          <w:b w:val="false"/>
          <w:bCs w:val="false"/>
          <w:i w:val="false"/>
          <w:iCs w:val="false"/>
          <w:color w:val="000000"/>
        </w:rPr>
        <w:t xml:space="preserve">https://doi.org/10.1016/j.sftr.2025.101494</w:t>
      </w:r>
      <w:r>
        <w:rPr>
          <w:b w:val="false"/>
          <w:bCs w:val="false"/>
          <w:i w:val="false"/>
          <w:iCs w:val="false"/>
          <w:color w:val="000000"/>
        </w:rPr>
        <w:t xml:space="preserve">
</w:t>
      </w:r>
      <w:bookmarkEnd w:id="1"/>
    </w:p>
    <w:p>
      <w:pPr>
        <w:pStyle w:val="JenniRefBody"/>
        <w:ind w:start="720" w:hanging="720"/>
      </w:pPr>
      <w:bookmarkStart w:name="d9bf57807e9ae422199365755c7c8ca6" w:id="1"/>
      <w:r>
        <w:rPr>
          <w:b w:val="false"/>
          <w:bCs w:val="false"/>
          <w:i w:val="false"/>
          <w:iCs w:val="false"/>
          <w:color w:val="000000"/>
        </w:rPr>
        <w:t xml:space="preserve">  </w:t>
      </w:r>
      <w:r>
        <w:rPr>
          <w:b w:val="false"/>
          <w:bCs w:val="false"/>
          <w:i w:val="false"/>
          <w:iCs w:val="false"/>
          <w:color w:val="000000"/>
        </w:rPr>
        <w:t xml:space="preserve">Artstein, R., &amp; Poesio, M. (2008). Inter-Coder Agreement for Computational Linguistics. </w:t>
      </w:r>
      <w:r>
        <w:rPr>
          <w:b w:val="false"/>
          <w:bCs w:val="false"/>
          <w:i/>
          <w:iCs/>
          <w:color w:val="000000"/>
        </w:rPr>
        <w:t xml:space="preserve">Computational Linguistics</w:t>
      </w:r>
      <w:r>
        <w:rPr>
          <w:b w:val="false"/>
          <w:bCs w:val="false"/>
          <w:i w:val="false"/>
          <w:iCs w:val="false"/>
          <w:color w:val="000000"/>
        </w:rPr>
        <w:t xml:space="preserve">, </w:t>
      </w:r>
      <w:r>
        <w:rPr>
          <w:b w:val="false"/>
          <w:bCs w:val="false"/>
          <w:i/>
          <w:iCs/>
          <w:color w:val="000000"/>
        </w:rPr>
        <w:t xml:space="preserve">34</w:t>
      </w:r>
      <w:r>
        <w:rPr>
          <w:b w:val="false"/>
          <w:bCs w:val="false"/>
          <w:i w:val="false"/>
          <w:iCs w:val="false"/>
          <w:color w:val="000000"/>
        </w:rPr>
        <w:t xml:space="preserve">(4), 555–596. </w:t>
      </w:r>
      <w:r>
        <w:rPr>
          <w:b w:val="false"/>
          <w:bCs w:val="false"/>
          <w:i w:val="false"/>
          <w:iCs w:val="false"/>
          <w:color w:val="000000"/>
        </w:rPr>
        <w:t xml:space="preserve">https://doi.org/10.1162/coli.07-034-r2</w:t>
      </w:r>
      <w:r>
        <w:rPr>
          <w:b w:val="false"/>
          <w:bCs w:val="false"/>
          <w:i w:val="false"/>
          <w:iCs w:val="false"/>
          <w:color w:val="000000"/>
        </w:rPr>
        <w:t xml:space="preserve">
</w:t>
      </w:r>
      <w:bookmarkEnd w:id="1"/>
    </w:p>
    <w:p>
      <w:pPr>
        <w:pStyle w:val="JenniRefBody"/>
        <w:ind w:start="720" w:hanging="720"/>
      </w:pPr>
      <w:bookmarkStart w:name="89aa0596424e45c7e157d82924f2554f" w:id="1"/>
      <w:r>
        <w:rPr>
          <w:b w:val="false"/>
          <w:bCs w:val="false"/>
          <w:i w:val="false"/>
          <w:iCs w:val="false"/>
          <w:color w:val="000000"/>
        </w:rPr>
        <w:t xml:space="preserve">  </w:t>
      </w:r>
      <w:r>
        <w:rPr>
          <w:b w:val="false"/>
          <w:bCs w:val="false"/>
          <w:i w:val="false"/>
          <w:iCs w:val="false"/>
          <w:color w:val="000000"/>
        </w:rPr>
        <w:t xml:space="preserve">Atil, B., Chittams, A., Fu, L., Türe, F., Xu, L., &amp; Baldwin, B. (2024). LLM Stability: A detailed analysis with some surprises.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https://doi.org/10.48550/arxiv.2408.04667</w:t>
      </w:r>
      <w:r>
        <w:rPr>
          <w:b w:val="false"/>
          <w:bCs w:val="false"/>
          <w:i w:val="false"/>
          <w:iCs w:val="false"/>
          <w:color w:val="000000"/>
        </w:rPr>
        <w:t xml:space="preserve">
</w:t>
      </w:r>
      <w:bookmarkEnd w:id="1"/>
    </w:p>
    <w:p>
      <w:pPr>
        <w:pStyle w:val="JenniRefBody"/>
        <w:ind w:start="720" w:hanging="720"/>
      </w:pPr>
      <w:bookmarkStart w:name="017eb6f5c95a4215faa3efa367e2385e" w:id="1"/>
      <w:r>
        <w:rPr>
          <w:b w:val="false"/>
          <w:bCs w:val="false"/>
          <w:i w:val="false"/>
          <w:iCs w:val="false"/>
          <w:color w:val="000000"/>
        </w:rPr>
        <w:t xml:space="preserve">  </w:t>
      </w:r>
      <w:r>
        <w:rPr>
          <w:b w:val="false"/>
          <w:bCs w:val="false"/>
          <w:i w:val="false"/>
          <w:iCs w:val="false"/>
          <w:color w:val="000000"/>
        </w:rPr>
        <w:t xml:space="preserve">Balaji, K. (2024). Text Mining in Climate Change Communication and Corporate Sustainability Reporting. In </w:t>
      </w:r>
      <w:r>
        <w:rPr>
          <w:b w:val="false"/>
          <w:bCs w:val="false"/>
          <w:i/>
          <w:iCs/>
          <w:color w:val="000000"/>
        </w:rPr>
        <w:t xml:space="preserve">Practice, progress, and proficiency in sustainability</w:t>
      </w:r>
      <w:r>
        <w:rPr>
          <w:b w:val="false"/>
          <w:bCs w:val="false"/>
          <w:i w:val="false"/>
          <w:iCs w:val="false"/>
          <w:color w:val="000000"/>
        </w:rPr>
        <w:t xml:space="preserve"> (pp. 385–418). IGI Global. </w:t>
      </w:r>
      <w:r>
        <w:rPr>
          <w:b w:val="false"/>
          <w:bCs w:val="false"/>
          <w:i w:val="false"/>
          <w:iCs w:val="false"/>
          <w:color w:val="000000"/>
        </w:rPr>
        <w:t xml:space="preserve">https://doi.org/10.4018/979-8-3693-7230-2.ch021</w:t>
      </w:r>
      <w:r>
        <w:rPr>
          <w:b w:val="false"/>
          <w:bCs w:val="false"/>
          <w:i w:val="false"/>
          <w:iCs w:val="false"/>
          <w:color w:val="000000"/>
        </w:rPr>
        <w:t xml:space="preserve">
</w:t>
      </w:r>
      <w:bookmarkEnd w:id="1"/>
    </w:p>
    <w:p>
      <w:pPr>
        <w:pStyle w:val="JenniRefBody"/>
        <w:ind w:start="720" w:hanging="720"/>
      </w:pPr>
      <w:bookmarkStart w:name="3bd38f098e28cb80369e651ee89493c7" w:id="1"/>
      <w:r>
        <w:rPr>
          <w:b w:val="false"/>
          <w:bCs w:val="false"/>
          <w:i w:val="false"/>
          <w:iCs w:val="false"/>
          <w:color w:val="000000"/>
        </w:rPr>
        <w:t xml:space="preserve">  </w:t>
      </w:r>
      <w:r>
        <w:rPr>
          <w:b w:val="false"/>
          <w:bCs w:val="false"/>
          <w:i w:val="false"/>
          <w:iCs w:val="false"/>
          <w:color w:val="000000"/>
        </w:rPr>
        <w:t xml:space="preserve">Barker, R. (2025). Corporate sustainability reporting. </w:t>
      </w:r>
      <w:r>
        <w:rPr>
          <w:b w:val="false"/>
          <w:bCs w:val="false"/>
          <w:i/>
          <w:iCs/>
          <w:color w:val="000000"/>
        </w:rPr>
        <w:t xml:space="preserve">Journal of Accounting and Public Policy</w:t>
      </w:r>
      <w:r>
        <w:rPr>
          <w:b w:val="false"/>
          <w:bCs w:val="false"/>
          <w:i w:val="false"/>
          <w:iCs w:val="false"/>
          <w:color w:val="000000"/>
        </w:rPr>
        <w:t xml:space="preserve">, </w:t>
      </w:r>
      <w:r>
        <w:rPr>
          <w:b w:val="false"/>
          <w:bCs w:val="false"/>
          <w:i/>
          <w:iCs/>
          <w:color w:val="000000"/>
        </w:rPr>
        <w:t xml:space="preserve">49</w:t>
      </w:r>
      <w:r>
        <w:rPr>
          <w:b w:val="false"/>
          <w:bCs w:val="false"/>
          <w:i w:val="false"/>
          <w:iCs w:val="false"/>
          <w:color w:val="000000"/>
        </w:rPr>
        <w:t xml:space="preserve">, 107280–107280. </w:t>
      </w:r>
      <w:r>
        <w:rPr>
          <w:b w:val="false"/>
          <w:bCs w:val="false"/>
          <w:i w:val="false"/>
          <w:iCs w:val="false"/>
          <w:color w:val="000000"/>
        </w:rPr>
        <w:t xml:space="preserve">https://doi.org/10.1016/j.jaccpubpol.2024.107280</w:t>
      </w:r>
      <w:r>
        <w:rPr>
          <w:b w:val="false"/>
          <w:bCs w:val="false"/>
          <w:i w:val="false"/>
          <w:iCs w:val="false"/>
          <w:color w:val="000000"/>
        </w:rPr>
        <w:t xml:space="preserve">
</w:t>
      </w:r>
      <w:bookmarkEnd w:id="1"/>
    </w:p>
    <w:p>
      <w:pPr>
        <w:pStyle w:val="JenniRefBody"/>
        <w:ind w:start="720" w:hanging="720"/>
      </w:pPr>
      <w:bookmarkStart w:name="9548a833fb50064d4fe159fad5954240" w:id="1"/>
      <w:r>
        <w:rPr>
          <w:b w:val="false"/>
          <w:bCs w:val="false"/>
          <w:i w:val="false"/>
          <w:iCs w:val="false"/>
          <w:color w:val="000000"/>
        </w:rPr>
        <w:t xml:space="preserve">  </w:t>
      </w:r>
      <w:r>
        <w:rPr>
          <w:b w:val="false"/>
          <w:bCs w:val="false"/>
          <w:i w:val="false"/>
          <w:iCs w:val="false"/>
          <w:color w:val="000000"/>
        </w:rPr>
        <w:t xml:space="preserve">Beck, J., Steinberg, A. F., Dimmelmeier, A., Domènech, L., Kormanyos, E., Fehr, M., &amp; Schierholz, M. (2025). Addressing data gaps in sustainability reporting: A benchmark dataset for greenhouse gas emission extraction. </w:t>
      </w:r>
      <w:r>
        <w:rPr>
          <w:b w:val="false"/>
          <w:bCs w:val="false"/>
          <w:i/>
          <w:iCs/>
          <w:color w:val="000000"/>
        </w:rPr>
        <w:t xml:space="preserve">Scientific Data</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(1), 1497–1497. </w:t>
      </w:r>
      <w:r>
        <w:rPr>
          <w:b w:val="false"/>
          <w:bCs w:val="false"/>
          <w:i w:val="false"/>
          <w:iCs w:val="false"/>
          <w:color w:val="000000"/>
        </w:rPr>
        <w:t xml:space="preserve">https://doi.org/10.1038/s41597-025-05664-8</w:t>
      </w:r>
      <w:r>
        <w:rPr>
          <w:b w:val="false"/>
          <w:bCs w:val="false"/>
          <w:i w:val="false"/>
          <w:iCs w:val="false"/>
          <w:color w:val="000000"/>
        </w:rPr>
        <w:t xml:space="preserve">
</w:t>
      </w:r>
      <w:bookmarkEnd w:id="1"/>
    </w:p>
    <w:p>
      <w:pPr>
        <w:pStyle w:val="JenniRefBody"/>
        <w:ind w:start="720" w:hanging="720"/>
      </w:pPr>
      <w:bookmarkStart w:name="736c8d13a6d804a6ef7315a245b0933d" w:id="1"/>
      <w:r>
        <w:rPr>
          <w:b w:val="false"/>
          <w:bCs w:val="false"/>
          <w:i w:val="false"/>
          <w:iCs w:val="false"/>
          <w:color w:val="000000"/>
        </w:rPr>
        <w:t xml:space="preserve">  </w:t>
      </w:r>
      <w:r>
        <w:rPr>
          <w:b w:val="false"/>
          <w:bCs w:val="false"/>
          <w:i w:val="false"/>
          <w:iCs w:val="false"/>
          <w:color w:val="000000"/>
        </w:rPr>
        <w:t xml:space="preserve">Bernini, F., &amp; Rosa, F. L. (2023). Research in the greenwashing field: concepts, theories, and potential impacts on economic and social value. </w:t>
      </w:r>
      <w:r>
        <w:rPr>
          <w:b w:val="false"/>
          <w:bCs w:val="false"/>
          <w:i/>
          <w:iCs/>
          <w:color w:val="000000"/>
        </w:rPr>
        <w:t xml:space="preserve">Journal of Management &amp; Governance</w:t>
      </w:r>
      <w:r>
        <w:rPr>
          <w:b w:val="false"/>
          <w:bCs w:val="false"/>
          <w:i w:val="false"/>
          <w:iCs w:val="false"/>
          <w:color w:val="000000"/>
        </w:rPr>
        <w:t xml:space="preserve">, </w:t>
      </w:r>
      <w:r>
        <w:rPr>
          <w:b w:val="false"/>
          <w:bCs w:val="false"/>
          <w:i/>
          <w:iCs/>
          <w:color w:val="000000"/>
        </w:rPr>
        <w:t xml:space="preserve">28</w:t>
      </w:r>
      <w:r>
        <w:rPr>
          <w:b w:val="false"/>
          <w:bCs w:val="false"/>
          <w:i w:val="false"/>
          <w:iCs w:val="false"/>
          <w:color w:val="000000"/>
        </w:rPr>
        <w:t xml:space="preserve">(2), 405–444. </w:t>
      </w:r>
      <w:r>
        <w:rPr>
          <w:b w:val="false"/>
          <w:bCs w:val="false"/>
          <w:i w:val="false"/>
          <w:iCs w:val="false"/>
          <w:color w:val="000000"/>
        </w:rPr>
        <w:t xml:space="preserve">https://doi.org/10.1007/s10997-023-09686-5</w:t>
      </w:r>
      <w:r>
        <w:rPr>
          <w:b w:val="false"/>
          <w:bCs w:val="false"/>
          <w:i w:val="false"/>
          <w:iCs w:val="false"/>
          <w:color w:val="000000"/>
        </w:rPr>
        <w:t xml:space="preserve">
</w:t>
      </w:r>
      <w:bookmarkEnd w:id="1"/>
    </w:p>
    <w:p>
      <w:pPr>
        <w:pStyle w:val="JenniRefBody"/>
        <w:ind w:start="720" w:hanging="720"/>
      </w:pPr>
      <w:bookmarkStart w:name="a5fbb687ffe742e2ad2eb327ce7d28dd" w:id="1"/>
      <w:r>
        <w:rPr>
          <w:b w:val="false"/>
          <w:bCs w:val="false"/>
          <w:i w:val="false"/>
          <w:iCs w:val="false"/>
          <w:color w:val="000000"/>
        </w:rPr>
        <w:t xml:space="preserve">  </w:t>
      </w:r>
      <w:r>
        <w:rPr>
          <w:b w:val="false"/>
          <w:bCs w:val="false"/>
          <w:i w:val="false"/>
          <w:iCs w:val="false"/>
          <w:color w:val="000000"/>
        </w:rPr>
        <w:t xml:space="preserve">Billert, F., &amp; Conrad, S. (2024). Nano-ESG: Extracting Corporate Sustainability Information from News   Articles.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https://doi.org/10.48550/arxiv.2412.15093</w:t>
      </w:r>
      <w:r>
        <w:rPr>
          <w:b w:val="false"/>
          <w:bCs w:val="false"/>
          <w:i w:val="false"/>
          <w:iCs w:val="false"/>
          <w:color w:val="000000"/>
        </w:rPr>
        <w:t xml:space="preserve">
</w:t>
      </w:r>
      <w:bookmarkEnd w:id="1"/>
    </w:p>
    <w:p>
      <w:pPr>
        <w:pStyle w:val="JenniRefBody"/>
        <w:ind w:start="720" w:hanging="720"/>
      </w:pPr>
      <w:bookmarkStart w:name="268445e316dacb50a5edf191f4616fbb" w:id="1"/>
      <w:r>
        <w:rPr>
          <w:b w:val="false"/>
          <w:bCs w:val="false"/>
          <w:i w:val="false"/>
          <w:iCs w:val="false"/>
          <w:color w:val="000000"/>
        </w:rPr>
        <w:t xml:space="preserve">  </w:t>
      </w:r>
      <w:r>
        <w:rPr>
          <w:b w:val="false"/>
          <w:bCs w:val="false"/>
          <w:i w:val="false"/>
          <w:iCs w:val="false"/>
          <w:color w:val="000000"/>
        </w:rPr>
        <w:t xml:space="preserve">Bingler, J., Kraus, M., Leippold, M., &amp; Webersinke, N. (2022). Cheap talk and cherry-picking: What ClimateBert has to say on corporate climate risk disclosures. </w:t>
      </w:r>
      <w:r>
        <w:rPr>
          <w:b w:val="false"/>
          <w:bCs w:val="false"/>
          <w:i/>
          <w:iCs/>
          <w:color w:val="000000"/>
        </w:rPr>
        <w:t xml:space="preserve">Finance Research Letters</w:t>
      </w:r>
      <w:r>
        <w:rPr>
          <w:b w:val="false"/>
          <w:bCs w:val="false"/>
          <w:i w:val="false"/>
          <w:iCs w:val="false"/>
          <w:color w:val="000000"/>
        </w:rPr>
        <w:t xml:space="preserve">, </w:t>
      </w:r>
      <w:r>
        <w:rPr>
          <w:b w:val="false"/>
          <w:bCs w:val="false"/>
          <w:i/>
          <w:iCs/>
          <w:color w:val="000000"/>
        </w:rPr>
        <w:t xml:space="preserve">47</w:t>
      </w:r>
      <w:r>
        <w:rPr>
          <w:b w:val="false"/>
          <w:bCs w:val="false"/>
          <w:i w:val="false"/>
          <w:iCs w:val="false"/>
          <w:color w:val="000000"/>
        </w:rPr>
        <w:t xml:space="preserve">, 102776–102776. </w:t>
      </w:r>
      <w:r>
        <w:rPr>
          <w:b w:val="false"/>
          <w:bCs w:val="false"/>
          <w:i w:val="false"/>
          <w:iCs w:val="false"/>
          <w:color w:val="000000"/>
        </w:rPr>
        <w:t xml:space="preserve">https://doi.org/10.1016/j.frl.2022.102776</w:t>
      </w:r>
      <w:r>
        <w:rPr>
          <w:b w:val="false"/>
          <w:bCs w:val="false"/>
          <w:i w:val="false"/>
          <w:iCs w:val="false"/>
          <w:color w:val="000000"/>
        </w:rPr>
        <w:t xml:space="preserve">
</w:t>
      </w:r>
      <w:bookmarkEnd w:id="1"/>
    </w:p>
    <w:p>
      <w:pPr>
        <w:pStyle w:val="JenniRefBody"/>
        <w:ind w:start="720" w:hanging="720"/>
      </w:pPr>
      <w:bookmarkStart w:name="cf548fafd2a667d3a2a89b55e5a90658" w:id="1"/>
      <w:r>
        <w:rPr>
          <w:b w:val="false"/>
          <w:bCs w:val="false"/>
          <w:i w:val="false"/>
          <w:iCs w:val="false"/>
          <w:color w:val="000000"/>
        </w:rPr>
        <w:t xml:space="preserve">  </w:t>
      </w:r>
      <w:r>
        <w:rPr>
          <w:b w:val="false"/>
          <w:bCs w:val="false"/>
          <w:i w:val="false"/>
          <w:iCs w:val="false"/>
          <w:color w:val="000000"/>
        </w:rPr>
        <w:t xml:space="preserve">Braun, N. H., Ong, K., Mao, R., Cambria, E., &amp; Mengaldo, G. (2026). Enhancing Language Models for Robust Greenwashing Detection.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https://doi.org/10.48550/arxiv.2601.21722</w:t>
      </w:r>
      <w:r>
        <w:rPr>
          <w:b w:val="false"/>
          <w:bCs w:val="false"/>
          <w:i w:val="false"/>
          <w:iCs w:val="false"/>
          <w:color w:val="000000"/>
        </w:rPr>
        <w:t xml:space="preserve">
</w:t>
      </w:r>
      <w:bookmarkEnd w:id="1"/>
    </w:p>
    <w:p>
      <w:pPr>
        <w:pStyle w:val="JenniRefBody"/>
        <w:ind w:start="720" w:hanging="720"/>
      </w:pPr>
      <w:bookmarkStart w:name="a58903332a0a7a9bd3273e5f97b61504" w:id="1"/>
      <w:r>
        <w:rPr>
          <w:b w:val="false"/>
          <w:bCs w:val="false"/>
          <w:i w:val="false"/>
          <w:iCs w:val="false"/>
          <w:color w:val="000000"/>
        </w:rPr>
        <w:t xml:space="preserve">  </w:t>
      </w:r>
      <w:r>
        <w:rPr>
          <w:b w:val="false"/>
          <w:bCs w:val="false"/>
          <w:i w:val="false"/>
          <w:iCs w:val="false"/>
          <w:color w:val="000000"/>
        </w:rPr>
        <w:t xml:space="preserve">Brauwers, G., &amp; Frăsincar, F. (2021). A Survey on Aspect-Based Sentiment Classification [Review of </w:t>
      </w:r>
      <w:r>
        <w:rPr>
          <w:b w:val="false"/>
          <w:bCs w:val="false"/>
          <w:i/>
          <w:iCs/>
          <w:color w:val="000000"/>
        </w:rPr>
        <w:t xml:space="preserve">A Survey on Aspect-Based Sentiment Classification</w:t>
      </w:r>
      <w:r>
        <w:rPr>
          <w:b w:val="false"/>
          <w:bCs w:val="false"/>
          <w:i w:val="false"/>
          <w:iCs w:val="false"/>
          <w:color w:val="000000"/>
        </w:rPr>
        <w:t xml:space="preserve">]. </w:t>
      </w:r>
      <w:r>
        <w:rPr>
          <w:b w:val="false"/>
          <w:bCs w:val="false"/>
          <w:i/>
          <w:iCs/>
          <w:color w:val="000000"/>
        </w:rPr>
        <w:t xml:space="preserve">ACM Computing Surveys</w:t>
      </w:r>
      <w:r>
        <w:rPr>
          <w:b w:val="false"/>
          <w:bCs w:val="false"/>
          <w:i w:val="false"/>
          <w:iCs w:val="false"/>
          <w:color w:val="000000"/>
        </w:rPr>
        <w:t xml:space="preserve">, </w:t>
      </w:r>
      <w:r>
        <w:rPr>
          <w:b w:val="false"/>
          <w:bCs w:val="false"/>
          <w:i/>
          <w:iCs/>
          <w:color w:val="000000"/>
        </w:rPr>
        <w:t xml:space="preserve">55</w:t>
      </w:r>
      <w:r>
        <w:rPr>
          <w:b w:val="false"/>
          <w:bCs w:val="false"/>
          <w:i w:val="false"/>
          <w:iCs w:val="false"/>
          <w:color w:val="000000"/>
        </w:rPr>
        <w:t xml:space="preserve">(4), 1–37. Association for Computing Machinery. </w:t>
      </w:r>
      <w:r>
        <w:rPr>
          <w:b w:val="false"/>
          <w:bCs w:val="false"/>
          <w:i w:val="false"/>
          <w:iCs w:val="false"/>
          <w:color w:val="000000"/>
        </w:rPr>
        <w:t xml:space="preserve">https://doi.org/10.1145/3503044</w:t>
      </w:r>
      <w:r>
        <w:rPr>
          <w:b w:val="false"/>
          <w:bCs w:val="false"/>
          <w:i w:val="false"/>
          <w:iCs w:val="false"/>
          <w:color w:val="000000"/>
        </w:rPr>
        <w:t xml:space="preserve">
</w:t>
      </w:r>
      <w:bookmarkEnd w:id="1"/>
    </w:p>
    <w:p>
      <w:pPr>
        <w:pStyle w:val="JenniRefBody"/>
        <w:ind w:start="720" w:hanging="720"/>
      </w:pPr>
      <w:bookmarkStart w:name="bf94d949ff0eece1ad78ed2ae120c0d3" w:id="1"/>
      <w:r>
        <w:rPr>
          <w:b w:val="false"/>
          <w:bCs w:val="false"/>
          <w:i w:val="false"/>
          <w:iCs w:val="false"/>
          <w:color w:val="000000"/>
        </w:rPr>
        <w:t xml:space="preserve">  </w:t>
      </w:r>
      <w:r>
        <w:rPr>
          <w:b w:val="false"/>
          <w:bCs w:val="false"/>
          <w:i w:val="false"/>
          <w:iCs w:val="false"/>
          <w:color w:val="000000"/>
        </w:rPr>
        <w:t xml:space="preserve">Bronzini, M., Nicolini, C., Lepri, B., Passerini, A., &amp; Staiano, J. (2024). Glitter or gold? Deriving structured insights from sustainability reports via large language models. </w:t>
      </w:r>
      <w:r>
        <w:rPr>
          <w:b w:val="false"/>
          <w:bCs w:val="false"/>
          <w:i/>
          <w:iCs/>
          <w:color w:val="000000"/>
        </w:rPr>
        <w:t xml:space="preserve">EPJ Data Science</w:t>
      </w:r>
      <w:r>
        <w:rPr>
          <w:b w:val="false"/>
          <w:bCs w:val="false"/>
          <w:i w:val="false"/>
          <w:iCs w:val="false"/>
          <w:color w:val="000000"/>
        </w:rPr>
        <w:t xml:space="preserve">, </w:t>
      </w:r>
      <w:r>
        <w:rPr>
          <w:b w:val="false"/>
          <w:bCs w:val="false"/>
          <w:i/>
          <w:iCs/>
          <w:color w:val="000000"/>
        </w:rPr>
        <w:t xml:space="preserve">13</w:t>
      </w:r>
      <w:r>
        <w:rPr>
          <w:b w:val="false"/>
          <w:bCs w:val="false"/>
          <w:i w:val="false"/>
          <w:iCs w:val="false"/>
          <w:color w:val="000000"/>
        </w:rPr>
        <w:t xml:space="preserve">(1). </w:t>
      </w:r>
      <w:r>
        <w:rPr>
          <w:b w:val="false"/>
          <w:bCs w:val="false"/>
          <w:i w:val="false"/>
          <w:iCs w:val="false"/>
          <w:color w:val="000000"/>
        </w:rPr>
        <w:t xml:space="preserve">https://doi.org/10.1140/epjds/s13688-024-00481-2</w:t>
      </w:r>
      <w:r>
        <w:rPr>
          <w:b w:val="false"/>
          <w:bCs w:val="false"/>
          <w:i w:val="false"/>
          <w:iCs w:val="false"/>
          <w:color w:val="000000"/>
        </w:rPr>
        <w:t xml:space="preserve">
</w:t>
      </w:r>
      <w:bookmarkEnd w:id="1"/>
    </w:p>
    <w:p>
      <w:pPr>
        <w:pStyle w:val="JenniRefBody"/>
        <w:ind w:start="720" w:hanging="720"/>
      </w:pPr>
      <w:bookmarkStart w:name="6b5760e7031f2645b3275381c9cd7d16" w:id="1"/>
      <w:r>
        <w:rPr>
          <w:b w:val="false"/>
          <w:bCs w:val="false"/>
          <w:i w:val="false"/>
          <w:iCs w:val="false"/>
          <w:color w:val="000000"/>
        </w:rPr>
        <w:t xml:space="preserve">  </w:t>
      </w:r>
      <w:r>
        <w:rPr>
          <w:b w:val="false"/>
          <w:bCs w:val="false"/>
          <w:i w:val="false"/>
          <w:iCs w:val="false"/>
          <w:color w:val="000000"/>
        </w:rPr>
        <w:t xml:space="preserve">Bubula, M., Baierer, K., Lehmann, J., Neudecker, C., Rezanezhad, V., &amp; Škarić, D. (2025). </w:t>
      </w:r>
      <w:r>
        <w:rPr>
          <w:b w:val="false"/>
          <w:bCs w:val="false"/>
          <w:i/>
          <w:iCs/>
          <w:color w:val="000000"/>
        </w:rPr>
        <w:t xml:space="preserve">How Scalable is Quality Assessment of Text Recognition? A Combinationof Ground Truth and Confidence Scores</w:t>
      </w:r>
      <w:r>
        <w:rPr>
          <w:b w:val="false"/>
          <w:bCs w:val="false"/>
          <w:i w:val="false"/>
          <w:iCs w:val="false"/>
          <w:color w:val="000000"/>
        </w:rPr>
        <w:t xml:space="preserve"> (pp. 1285–1309). </w:t>
      </w:r>
      <w:r>
        <w:rPr>
          <w:b w:val="false"/>
          <w:bCs w:val="false"/>
          <w:i w:val="false"/>
          <w:iCs w:val="false"/>
          <w:color w:val="000000"/>
        </w:rPr>
        <w:t xml:space="preserve">https://doi.org/10.63744/gr59c1ixu6wj</w:t>
      </w:r>
      <w:r>
        <w:rPr>
          <w:b w:val="false"/>
          <w:bCs w:val="false"/>
          <w:i w:val="false"/>
          <w:iCs w:val="false"/>
          <w:color w:val="000000"/>
        </w:rPr>
        <w:t xml:space="preserve">
</w:t>
      </w:r>
      <w:bookmarkEnd w:id="1"/>
    </w:p>
    <w:p>
      <w:pPr>
        <w:pStyle w:val="JenniRefBody"/>
        <w:ind w:start="720" w:hanging="720"/>
      </w:pPr>
      <w:bookmarkStart w:name="02cb3819a512dca2c2538aafcc5abe64" w:id="1"/>
      <w:r>
        <w:rPr>
          <w:b w:val="false"/>
          <w:bCs w:val="false"/>
          <w:i w:val="false"/>
          <w:iCs w:val="false"/>
          <w:color w:val="000000"/>
        </w:rPr>
        <w:t xml:space="preserve">  </w:t>
      </w:r>
      <w:r>
        <w:rPr>
          <w:b w:val="false"/>
          <w:bCs w:val="false"/>
          <w:i w:val="false"/>
          <w:iCs w:val="false"/>
          <w:color w:val="000000"/>
        </w:rPr>
        <w:t xml:space="preserve">Calamai, T., Balalau, O., Guenedal, T. L., &amp; Suchanek, F. M. (2025). Corporate Greenwashing Detection in Text - a Survey.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https://doi.org/10.48550/arxiv.2502.07541</w:t>
      </w:r>
      <w:r>
        <w:rPr>
          <w:b w:val="false"/>
          <w:bCs w:val="false"/>
          <w:i w:val="false"/>
          <w:iCs w:val="false"/>
          <w:color w:val="000000"/>
        </w:rPr>
        <w:t xml:space="preserve">
</w:t>
      </w:r>
      <w:bookmarkEnd w:id="1"/>
    </w:p>
    <w:p>
      <w:pPr>
        <w:pStyle w:val="JenniRefBody"/>
        <w:ind w:start="720" w:hanging="720"/>
      </w:pPr>
      <w:bookmarkStart w:name="bffaadfceb93ab69aa25fed3825105bd" w:id="1"/>
      <w:r>
        <w:rPr>
          <w:b w:val="false"/>
          <w:bCs w:val="false"/>
          <w:i w:val="false"/>
          <w:iCs w:val="false"/>
          <w:color w:val="000000"/>
        </w:rPr>
        <w:t xml:space="preserve">  </w:t>
      </w:r>
      <w:r>
        <w:rPr>
          <w:b w:val="false"/>
          <w:bCs w:val="false"/>
          <w:i w:val="false"/>
          <w:iCs w:val="false"/>
          <w:color w:val="000000"/>
        </w:rPr>
        <w:t xml:space="preserve">Camastra, F., Coniglio, G., &amp; Blasotti, A. (2025). The illusion of stakeholder governance: Corporate purpose or corporate spin? </w:t>
      </w:r>
      <w:r>
        <w:rPr>
          <w:b w:val="false"/>
          <w:bCs w:val="false"/>
          <w:i/>
          <w:iCs/>
          <w:color w:val="000000"/>
        </w:rPr>
        <w:t xml:space="preserve">Corporate Governance and Organizational Behavior Review</w:t>
      </w:r>
      <w:r>
        <w:rPr>
          <w:b w:val="false"/>
          <w:bCs w:val="false"/>
          <w:i w:val="false"/>
          <w:iCs w:val="false"/>
          <w:color w:val="000000"/>
        </w:rPr>
        <w:t xml:space="preserve">, </w:t>
      </w:r>
      <w:r>
        <w:rPr>
          <w:b w:val="false"/>
          <w:bCs w:val="false"/>
          <w:i/>
          <w:iCs/>
          <w:color w:val="000000"/>
        </w:rPr>
        <w:t xml:space="preserve">9</w:t>
      </w:r>
      <w:r>
        <w:rPr>
          <w:b w:val="false"/>
          <w:bCs w:val="false"/>
          <w:i w:val="false"/>
          <w:iCs w:val="false"/>
          <w:color w:val="000000"/>
        </w:rPr>
        <w:t xml:space="preserve">(2), 20–20. </w:t>
      </w:r>
      <w:r>
        <w:rPr>
          <w:b w:val="false"/>
          <w:bCs w:val="false"/>
          <w:i w:val="false"/>
          <w:iCs w:val="false"/>
          <w:color w:val="000000"/>
        </w:rPr>
        <w:t xml:space="preserve">https://doi.org/10.22495/cgobrv9i2p2</w:t>
      </w:r>
      <w:r>
        <w:rPr>
          <w:b w:val="false"/>
          <w:bCs w:val="false"/>
          <w:i w:val="false"/>
          <w:iCs w:val="false"/>
          <w:color w:val="000000"/>
        </w:rPr>
        <w:t xml:space="preserve">
</w:t>
      </w:r>
      <w:bookmarkEnd w:id="1"/>
    </w:p>
    <w:p>
      <w:pPr>
        <w:pStyle w:val="JenniRefBody"/>
        <w:ind w:start="720" w:hanging="720"/>
      </w:pPr>
      <w:bookmarkStart w:name="6e2abc609596453ca2fe97e4553aca84" w:id="1"/>
      <w:r>
        <w:rPr>
          <w:b w:val="false"/>
          <w:bCs w:val="false"/>
          <w:i w:val="false"/>
          <w:iCs w:val="false"/>
          <w:color w:val="000000"/>
        </w:rPr>
        <w:t xml:space="preserve">  </w:t>
      </w:r>
      <w:r>
        <w:rPr>
          <w:b w:val="false"/>
          <w:bCs w:val="false"/>
          <w:i w:val="false"/>
          <w:iCs w:val="false"/>
          <w:color w:val="000000"/>
        </w:rPr>
        <w:t xml:space="preserve">Caro-González, A. (2023). Designing Ad Hoc Impact Monitoring Systems. In </w:t>
      </w:r>
      <w:r>
        <w:rPr>
          <w:b w:val="false"/>
          <w:bCs w:val="false"/>
          <w:i/>
          <w:iCs/>
          <w:color w:val="000000"/>
        </w:rPr>
        <w:t xml:space="preserve">SpringerBriefs in business</w:t>
      </w:r>
      <w:r>
        <w:rPr>
          <w:b w:val="false"/>
          <w:bCs w:val="false"/>
          <w:i w:val="false"/>
          <w:iCs w:val="false"/>
          <w:color w:val="000000"/>
        </w:rPr>
        <w:t xml:space="preserve"> (pp. 91–101). Springer Nature. </w:t>
      </w:r>
      <w:r>
        <w:rPr>
          <w:b w:val="false"/>
          <w:bCs w:val="false"/>
          <w:i w:val="false"/>
          <w:iCs w:val="false"/>
          <w:color w:val="000000"/>
        </w:rPr>
        <w:t xml:space="preserve">https://doi.org/10.1007/978-3-031-43132-6_6</w:t>
      </w:r>
      <w:r>
        <w:rPr>
          <w:b w:val="false"/>
          <w:bCs w:val="false"/>
          <w:i w:val="false"/>
          <w:iCs w:val="false"/>
          <w:color w:val="000000"/>
        </w:rPr>
        <w:t xml:space="preserve">
</w:t>
      </w:r>
      <w:bookmarkEnd w:id="1"/>
    </w:p>
    <w:p>
      <w:pPr>
        <w:pStyle w:val="JenniRefBody"/>
        <w:ind w:start="720" w:hanging="720"/>
      </w:pPr>
      <w:bookmarkStart w:name="149ff4551dabd4845cd0db9491e384b0" w:id="1"/>
      <w:r>
        <w:rPr>
          <w:b w:val="false"/>
          <w:bCs w:val="false"/>
          <w:i w:val="false"/>
          <w:iCs w:val="false"/>
          <w:color w:val="000000"/>
        </w:rPr>
        <w:t xml:space="preserve">  </w:t>
      </w:r>
      <w:r>
        <w:rPr>
          <w:b w:val="false"/>
          <w:bCs w:val="false"/>
          <w:i w:val="false"/>
          <w:iCs w:val="false"/>
          <w:color w:val="000000"/>
        </w:rPr>
        <w:t xml:space="preserve">Chatterjee, S., Dey, S., De, S., &amp; Deuri, J. (2026). A Hybrid Retrieval-Generative AI Framework for FinTech Document Handling and Compliance Tracking. </w:t>
      </w:r>
      <w:r>
        <w:rPr>
          <w:b w:val="false"/>
          <w:bCs w:val="false"/>
          <w:i/>
          <w:iCs/>
          <w:color w:val="000000"/>
        </w:rPr>
        <w:t xml:space="preserve">International Journal of Innovative Science and Research Technology (IJISRT)</w:t>
      </w:r>
      <w:r>
        <w:rPr>
          <w:b w:val="false"/>
          <w:bCs w:val="false"/>
          <w:i w:val="false"/>
          <w:iCs w:val="false"/>
          <w:color w:val="000000"/>
        </w:rPr>
        <w:t xml:space="preserve">, 2779–2779. </w:t>
      </w:r>
      <w:r>
        <w:rPr>
          <w:b w:val="false"/>
          <w:bCs w:val="false"/>
          <w:i w:val="false"/>
          <w:iCs w:val="false"/>
          <w:color w:val="000000"/>
        </w:rPr>
        <w:t xml:space="preserve">https://doi.org/10.38124/ijisrt/26jan1585</w:t>
      </w:r>
      <w:r>
        <w:rPr>
          <w:b w:val="false"/>
          <w:bCs w:val="false"/>
          <w:i w:val="false"/>
          <w:iCs w:val="false"/>
          <w:color w:val="000000"/>
        </w:rPr>
        <w:t xml:space="preserve">
</w:t>
      </w:r>
      <w:bookmarkEnd w:id="1"/>
    </w:p>
    <w:p>
      <w:pPr>
        <w:pStyle w:val="JenniRefBody"/>
        <w:ind w:start="720" w:hanging="720"/>
      </w:pPr>
      <w:bookmarkStart w:name="0acb84e6788ac1e4ec2ff096eb739f2b" w:id="1"/>
      <w:r>
        <w:rPr>
          <w:b w:val="false"/>
          <w:bCs w:val="false"/>
          <w:i w:val="false"/>
          <w:iCs w:val="false"/>
          <w:color w:val="000000"/>
        </w:rPr>
        <w:t xml:space="preserve">  </w:t>
      </w:r>
      <w:r>
        <w:rPr>
          <w:b w:val="false"/>
          <w:bCs w:val="false"/>
          <w:i w:val="false"/>
          <w:iCs w:val="false"/>
          <w:color w:val="000000"/>
        </w:rPr>
        <w:t xml:space="preserve">Chebolu, S. U. S., Dernoncourt, F., Lipka, N., &amp; Solorio, T. (2023). </w:t>
      </w:r>
      <w:r>
        <w:rPr>
          <w:b w:val="false"/>
          <w:bCs w:val="false"/>
          <w:i/>
          <w:iCs/>
          <w:color w:val="000000"/>
        </w:rPr>
        <w:t xml:space="preserve">A Review of Datasets for Aspect-based Sentiment Analysis</w:t>
      </w:r>
      <w:r>
        <w:rPr>
          <w:b w:val="false"/>
          <w:bCs w:val="false"/>
          <w:i w:val="false"/>
          <w:iCs w:val="false"/>
          <w:color w:val="000000"/>
        </w:rPr>
        <w:t xml:space="preserve"> [Review of </w:t>
      </w:r>
      <w:r>
        <w:rPr>
          <w:b w:val="false"/>
          <w:bCs w:val="false"/>
          <w:i/>
          <w:iCs/>
          <w:color w:val="000000"/>
        </w:rPr>
        <w:t xml:space="preserve">A Review of Datasets for Aspect-based Sentiment Analysis</w:t>
      </w:r>
      <w:r>
        <w:rPr>
          <w:b w:val="false"/>
          <w:bCs w:val="false"/>
          <w:i w:val="false"/>
          <w:iCs w:val="false"/>
          <w:color w:val="000000"/>
        </w:rPr>
        <w:t xml:space="preserve">]. 611–628. </w:t>
      </w:r>
      <w:r>
        <w:rPr>
          <w:b w:val="false"/>
          <w:bCs w:val="false"/>
          <w:i w:val="false"/>
          <w:iCs w:val="false"/>
          <w:color w:val="000000"/>
        </w:rPr>
        <w:t xml:space="preserve">https://doi.org/10.18653/v1/2023.ijcnlp-main.41</w:t>
      </w:r>
      <w:r>
        <w:rPr>
          <w:b w:val="false"/>
          <w:bCs w:val="false"/>
          <w:i w:val="false"/>
          <w:iCs w:val="false"/>
          <w:color w:val="000000"/>
        </w:rPr>
        <w:t xml:space="preserve">
</w:t>
      </w:r>
      <w:bookmarkEnd w:id="1"/>
    </w:p>
    <w:p>
      <w:pPr>
        <w:pStyle w:val="JenniRefBody"/>
        <w:ind w:start="720" w:hanging="720"/>
      </w:pPr>
      <w:bookmarkStart w:name="f1b7047ec5cc21e393021f375a97429b" w:id="1"/>
      <w:r>
        <w:rPr>
          <w:b w:val="false"/>
          <w:bCs w:val="false"/>
          <w:i w:val="false"/>
          <w:iCs w:val="false"/>
          <w:color w:val="000000"/>
        </w:rPr>
        <w:t xml:space="preserve">  </w:t>
      </w:r>
      <w:r>
        <w:rPr>
          <w:b w:val="false"/>
          <w:bCs w:val="false"/>
          <w:i w:val="false"/>
          <w:iCs w:val="false"/>
          <w:color w:val="000000"/>
        </w:rPr>
        <w:t xml:space="preserve">Chen, C.-C., Tseng, Y.-M., Kang, J., Lhuissier, A., Seki, Y., Day, M.-Y., Tu, T.-T., &amp; Chen, H. (2023). </w:t>
      </w:r>
      <w:r>
        <w:rPr>
          <w:b w:val="false"/>
          <w:bCs w:val="false"/>
          <w:i/>
          <w:iCs/>
          <w:color w:val="000000"/>
        </w:rPr>
        <w:t xml:space="preserve">Multi-Lingual ESG Impact Type Identification</w:t>
      </w:r>
      <w:r>
        <w:rPr>
          <w:b w:val="false"/>
          <w:bCs w:val="false"/>
          <w:i w:val="false"/>
          <w:iCs w:val="false"/>
          <w:color w:val="000000"/>
        </w:rPr>
        <w:t xml:space="preserve">. 46–50. </w:t>
      </w:r>
      <w:r>
        <w:rPr>
          <w:b w:val="false"/>
          <w:bCs w:val="false"/>
          <w:i w:val="false"/>
          <w:iCs w:val="false"/>
          <w:color w:val="000000"/>
        </w:rPr>
        <w:t xml:space="preserve">https://doi.org/10.18653/v1/2023.finnlp-2.6</w:t>
      </w:r>
      <w:r>
        <w:rPr>
          <w:b w:val="false"/>
          <w:bCs w:val="false"/>
          <w:i w:val="false"/>
          <w:iCs w:val="false"/>
          <w:color w:val="000000"/>
        </w:rPr>
        <w:t xml:space="preserve">
</w:t>
      </w:r>
      <w:bookmarkEnd w:id="1"/>
    </w:p>
    <w:p>
      <w:pPr>
        <w:pStyle w:val="JenniRefBody"/>
        <w:ind w:start="720" w:hanging="720"/>
      </w:pPr>
      <w:bookmarkStart w:name="a968d27da6cd8065c2e929cff65353b5" w:id="1"/>
      <w:r>
        <w:rPr>
          <w:b w:val="false"/>
          <w:bCs w:val="false"/>
          <w:i w:val="false"/>
          <w:iCs w:val="false"/>
          <w:color w:val="000000"/>
        </w:rPr>
        <w:t xml:space="preserve">  </w:t>
      </w:r>
      <w:r>
        <w:rPr>
          <w:b w:val="false"/>
          <w:bCs w:val="false"/>
          <w:i w:val="false"/>
          <w:iCs w:val="false"/>
          <w:color w:val="000000"/>
        </w:rPr>
        <w:t xml:space="preserve">Chen, Q. (2026). From Text Analysis to Metrics: AI Approaches to ESG Assessment. </w:t>
      </w:r>
      <w:r>
        <w:rPr>
          <w:b w:val="false"/>
          <w:bCs w:val="false"/>
          <w:i/>
          <w:iCs/>
          <w:color w:val="000000"/>
        </w:rPr>
        <w:t xml:space="preserve">Academic Journal of Science and Technology</w:t>
      </w:r>
      <w:r>
        <w:rPr>
          <w:b w:val="false"/>
          <w:bCs w:val="false"/>
          <w:i w:val="false"/>
          <w:iCs w:val="false"/>
          <w:color w:val="000000"/>
        </w:rPr>
        <w:t xml:space="preserve">, </w:t>
      </w:r>
      <w:r>
        <w:rPr>
          <w:b w:val="false"/>
          <w:bCs w:val="false"/>
          <w:i/>
          <w:iCs/>
          <w:color w:val="000000"/>
        </w:rPr>
        <w:t xml:space="preserve">19</w:t>
      </w:r>
      <w:r>
        <w:rPr>
          <w:b w:val="false"/>
          <w:bCs w:val="false"/>
          <w:i w:val="false"/>
          <w:iCs w:val="false"/>
          <w:color w:val="000000"/>
        </w:rPr>
        <w:t xml:space="preserve">(2), 23–28. </w:t>
      </w:r>
      <w:r>
        <w:rPr>
          <w:b w:val="false"/>
          <w:bCs w:val="false"/>
          <w:i w:val="false"/>
          <w:iCs w:val="false"/>
          <w:color w:val="000000"/>
        </w:rPr>
        <w:t xml:space="preserve">https://doi.org/10.54097/wr1teh04</w:t>
      </w:r>
      <w:r>
        <w:rPr>
          <w:b w:val="false"/>
          <w:bCs w:val="false"/>
          <w:i w:val="false"/>
          <w:iCs w:val="false"/>
          <w:color w:val="000000"/>
        </w:rPr>
        <w:t xml:space="preserve">
</w:t>
      </w:r>
      <w:bookmarkEnd w:id="1"/>
    </w:p>
    <w:p>
      <w:pPr>
        <w:pStyle w:val="JenniRefBody"/>
        <w:ind w:start="720" w:hanging="720"/>
      </w:pPr>
      <w:bookmarkStart w:name="573c09e1222e2dcab4183b28454dc61a" w:id="1"/>
      <w:r>
        <w:rPr>
          <w:b w:val="false"/>
          <w:bCs w:val="false"/>
          <w:i w:val="false"/>
          <w:iCs w:val="false"/>
          <w:color w:val="000000"/>
        </w:rPr>
        <w:t xml:space="preserve">  </w:t>
      </w:r>
      <w:r>
        <w:rPr>
          <w:b w:val="false"/>
          <w:bCs w:val="false"/>
          <w:i w:val="false"/>
          <w:iCs w:val="false"/>
          <w:color w:val="000000"/>
        </w:rPr>
        <w:t xml:space="preserve">Chen, S., Long, G., Jiang, J., Liu, D., &amp; Zhang, C. (2023). Foundation Models for Weather and Climate Data Understanding: A Comprehensive Survey.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https://doi.org/10.48550/arxiv.2312.03014</w:t>
      </w:r>
      <w:r>
        <w:rPr>
          <w:b w:val="false"/>
          <w:bCs w:val="false"/>
          <w:i w:val="false"/>
          <w:iCs w:val="false"/>
          <w:color w:val="000000"/>
        </w:rPr>
        <w:t xml:space="preserve">
</w:t>
      </w:r>
      <w:bookmarkEnd w:id="1"/>
    </w:p>
    <w:p>
      <w:pPr>
        <w:pStyle w:val="JenniRefBody"/>
        <w:ind w:start="720" w:hanging="720"/>
      </w:pPr>
      <w:bookmarkStart w:name="29989138809d9b900a48ceeeffc28668" w:id="1"/>
      <w:r>
        <w:rPr>
          <w:b w:val="false"/>
          <w:bCs w:val="false"/>
          <w:i w:val="false"/>
          <w:iCs w:val="false"/>
          <w:color w:val="000000"/>
        </w:rPr>
        <w:t xml:space="preserve">  </w:t>
      </w:r>
      <w:r>
        <w:rPr>
          <w:b w:val="false"/>
          <w:bCs w:val="false"/>
          <w:i w:val="false"/>
          <w:iCs w:val="false"/>
          <w:color w:val="000000"/>
        </w:rPr>
        <w:t xml:space="preserve">Chen, X., Xie, H., Qin, S. J., Chai, Y., Tao, X., &amp; Wang, F. L. (2024). Cognitive-Inspired Deep Learning Models for Aspect-Based Sentiment Analysis: A Retrospective Overview and Bibliometric Analysis. </w:t>
      </w:r>
      <w:r>
        <w:rPr>
          <w:b w:val="false"/>
          <w:bCs w:val="false"/>
          <w:i/>
          <w:iCs/>
          <w:color w:val="000000"/>
        </w:rPr>
        <w:t xml:space="preserve">Cognitive Computation</w:t>
      </w:r>
      <w:r>
        <w:rPr>
          <w:b w:val="false"/>
          <w:bCs w:val="false"/>
          <w:i w:val="false"/>
          <w:iCs w:val="false"/>
          <w:color w:val="000000"/>
        </w:rPr>
        <w:t xml:space="preserve">, </w:t>
      </w:r>
      <w:r>
        <w:rPr>
          <w:b w:val="false"/>
          <w:bCs w:val="false"/>
          <w:i/>
          <w:iCs/>
          <w:color w:val="000000"/>
        </w:rPr>
        <w:t xml:space="preserve">16</w:t>
      </w:r>
      <w:r>
        <w:rPr>
          <w:b w:val="false"/>
          <w:bCs w:val="false"/>
          <w:i w:val="false"/>
          <w:iCs w:val="false"/>
          <w:color w:val="000000"/>
        </w:rPr>
        <w:t xml:space="preserve">(6), 3518–3556. </w:t>
      </w:r>
      <w:r>
        <w:rPr>
          <w:b w:val="false"/>
          <w:bCs w:val="false"/>
          <w:i w:val="false"/>
          <w:iCs w:val="false"/>
          <w:color w:val="000000"/>
        </w:rPr>
        <w:t xml:space="preserve">https://doi.org/10.1007/s12559-024-10331-y</w:t>
      </w:r>
      <w:r>
        <w:rPr>
          <w:b w:val="false"/>
          <w:bCs w:val="false"/>
          <w:i w:val="false"/>
          <w:iCs w:val="false"/>
          <w:color w:val="000000"/>
        </w:rPr>
        <w:t xml:space="preserve">
</w:t>
      </w:r>
      <w:bookmarkEnd w:id="1"/>
    </w:p>
    <w:p>
      <w:pPr>
        <w:pStyle w:val="JenniRefBody"/>
        <w:ind w:start="720" w:hanging="720"/>
      </w:pPr>
      <w:bookmarkStart w:name="1ef1225b2e0bcb24b7936fbcb2f177a0" w:id="1"/>
      <w:r>
        <w:rPr>
          <w:b w:val="false"/>
          <w:bCs w:val="false"/>
          <w:i w:val="false"/>
          <w:iCs w:val="false"/>
          <w:color w:val="000000"/>
        </w:rPr>
        <w:t xml:space="preserve">  </w:t>
      </w:r>
      <w:r>
        <w:rPr>
          <w:b w:val="false"/>
          <w:bCs w:val="false"/>
          <w:i w:val="false"/>
          <w:iCs w:val="false"/>
          <w:color w:val="000000"/>
        </w:rPr>
        <w:t xml:space="preserve">Cheng, X., Mayya, R., &amp; Sedoc, J. (2024). From Human Annotation to LLMs: SILICON Annotation Workflow for   Management Research.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https://doi.org/10.48550/arxiv.2412.14461</w:t>
      </w:r>
      <w:r>
        <w:rPr>
          <w:b w:val="false"/>
          <w:bCs w:val="false"/>
          <w:i w:val="false"/>
          <w:iCs w:val="false"/>
          <w:color w:val="000000"/>
        </w:rPr>
        <w:t xml:space="preserve">
</w:t>
      </w:r>
      <w:bookmarkEnd w:id="1"/>
    </w:p>
    <w:p>
      <w:pPr>
        <w:pStyle w:val="JenniRefBody"/>
        <w:ind w:start="720" w:hanging="720"/>
      </w:pPr>
      <w:bookmarkStart w:name="80de07f2b0991fae3603caf1c98e11f1" w:id="1"/>
      <w:r>
        <w:rPr>
          <w:b w:val="false"/>
          <w:bCs w:val="false"/>
          <w:i w:val="false"/>
          <w:iCs w:val="false"/>
          <w:color w:val="000000"/>
        </w:rPr>
        <w:t xml:space="preserve">  </w:t>
      </w:r>
      <w:r>
        <w:rPr>
          <w:b w:val="false"/>
          <w:bCs w:val="false"/>
          <w:i w:val="false"/>
          <w:iCs w:val="false"/>
          <w:color w:val="000000"/>
        </w:rPr>
        <w:t xml:space="preserve">Choi, C., Lopez-Lira, A., Lee, Y., Kwon, J., Kim, M., Hwang, J., Ha, M., Kim, C., Ha, J., Yun, S., &amp; Kim, J. (2025). Structuring the Unstructured: A Multi-Agent System for Extracting and Querying Financial KPIs and Guidance.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https://doi.org/10.48550/arxiv.2505.19197</w:t>
      </w:r>
      <w:r>
        <w:rPr>
          <w:b w:val="false"/>
          <w:bCs w:val="false"/>
          <w:i w:val="false"/>
          <w:iCs w:val="false"/>
          <w:color w:val="000000"/>
        </w:rPr>
        <w:t xml:space="preserve">
</w:t>
      </w:r>
      <w:bookmarkEnd w:id="1"/>
    </w:p>
    <w:p>
      <w:pPr>
        <w:pStyle w:val="JenniRefBody"/>
        <w:ind w:start="720" w:hanging="720"/>
      </w:pPr>
      <w:bookmarkStart w:name="45b446959043e055bdb1835af8cd9c42" w:id="1"/>
      <w:r>
        <w:rPr>
          <w:b w:val="false"/>
          <w:bCs w:val="false"/>
          <w:i w:val="false"/>
          <w:iCs w:val="false"/>
          <w:color w:val="000000"/>
        </w:rPr>
        <w:t xml:space="preserve">  </w:t>
      </w:r>
      <w:r>
        <w:rPr>
          <w:b w:val="false"/>
          <w:bCs w:val="false"/>
          <w:i w:val="false"/>
          <w:iCs w:val="false"/>
          <w:color w:val="000000"/>
        </w:rPr>
        <w:t xml:space="preserve">Christensen, H. B., Hail, L., &amp; Leuz, C. (2021). Mandatory CSR and sustainability reporting: economic analysis and literature review. </w:t>
      </w:r>
      <w:r>
        <w:rPr>
          <w:b w:val="false"/>
          <w:bCs w:val="false"/>
          <w:i/>
          <w:iCs/>
          <w:color w:val="000000"/>
        </w:rPr>
        <w:t xml:space="preserve">Review of Accounting Studies</w:t>
      </w:r>
      <w:r>
        <w:rPr>
          <w:b w:val="false"/>
          <w:bCs w:val="false"/>
          <w:i w:val="false"/>
          <w:iCs w:val="false"/>
          <w:color w:val="000000"/>
        </w:rPr>
        <w:t xml:space="preserve">, </w:t>
      </w:r>
      <w:r>
        <w:rPr>
          <w:b w:val="false"/>
          <w:bCs w:val="false"/>
          <w:i/>
          <w:iCs/>
          <w:color w:val="000000"/>
        </w:rPr>
        <w:t xml:space="preserve">26</w:t>
      </w:r>
      <w:r>
        <w:rPr>
          <w:b w:val="false"/>
          <w:bCs w:val="false"/>
          <w:i w:val="false"/>
          <w:iCs w:val="false"/>
          <w:color w:val="000000"/>
        </w:rPr>
        <w:t xml:space="preserve">(3), 1176–1248. </w:t>
      </w:r>
      <w:r>
        <w:rPr>
          <w:b w:val="false"/>
          <w:bCs w:val="false"/>
          <w:i w:val="false"/>
          <w:iCs w:val="false"/>
          <w:color w:val="000000"/>
        </w:rPr>
        <w:t xml:space="preserve">https://doi.org/10.1007/s11142-021-09609-5</w:t>
      </w:r>
      <w:r>
        <w:rPr>
          <w:b w:val="false"/>
          <w:bCs w:val="false"/>
          <w:i w:val="false"/>
          <w:iCs w:val="false"/>
          <w:color w:val="000000"/>
        </w:rPr>
        <w:t xml:space="preserve">
</w:t>
      </w:r>
      <w:bookmarkEnd w:id="1"/>
    </w:p>
    <w:p>
      <w:pPr>
        <w:pStyle w:val="JenniRefBody"/>
        <w:ind w:start="720" w:hanging="720"/>
      </w:pPr>
      <w:bookmarkStart w:name="5cd797c1a282885d9764d659607b7b94" w:id="1"/>
      <w:r>
        <w:rPr>
          <w:b w:val="false"/>
          <w:bCs w:val="false"/>
          <w:i w:val="false"/>
          <w:iCs w:val="false"/>
          <w:color w:val="000000"/>
        </w:rPr>
        <w:t xml:space="preserve">  </w:t>
      </w:r>
      <w:r>
        <w:rPr>
          <w:b w:val="false"/>
          <w:bCs w:val="false"/>
          <w:i w:val="false"/>
          <w:iCs w:val="false"/>
          <w:color w:val="000000"/>
        </w:rPr>
        <w:t xml:space="preserve">Deng, J., Zhang, Z., Cheng, J.-K., &amp; Ma, J. (2025). </w:t>
      </w:r>
      <w:r>
        <w:rPr>
          <w:b w:val="false"/>
          <w:bCs w:val="false"/>
          <w:i/>
          <w:iCs/>
          <w:color w:val="000000"/>
        </w:rPr>
        <w:t xml:space="preserve">Enhancing Large Language Models on Domain-specific Tasks: A Novel Training Strategy via Domain Adaptation and Preference Alignment</w:t>
      </w:r>
      <w:r>
        <w:rPr>
          <w:b w:val="false"/>
          <w:bCs w:val="false"/>
          <w:i w:val="false"/>
          <w:iCs w:val="false"/>
          <w:color w:val="000000"/>
        </w:rPr>
        <w:t xml:space="preserve">. 1–5. </w:t>
      </w:r>
      <w:r>
        <w:rPr>
          <w:b w:val="false"/>
          <w:bCs w:val="false"/>
          <w:i w:val="false"/>
          <w:iCs w:val="false"/>
          <w:color w:val="000000"/>
        </w:rPr>
        <w:t xml:space="preserve">https://doi.org/10.1109/icassp49660.2025.10890050</w:t>
      </w:r>
      <w:r>
        <w:rPr>
          <w:b w:val="false"/>
          <w:bCs w:val="false"/>
          <w:i w:val="false"/>
          <w:iCs w:val="false"/>
          <w:color w:val="000000"/>
        </w:rPr>
        <w:t xml:space="preserve">
</w:t>
      </w:r>
      <w:bookmarkEnd w:id="1"/>
    </w:p>
    <w:p>
      <w:pPr>
        <w:pStyle w:val="JenniRefBody"/>
        <w:ind w:start="720" w:hanging="720"/>
      </w:pPr>
      <w:bookmarkStart w:name="0651838e1e0c1087fb0f5d2d0dc6b593" w:id="1"/>
      <w:r>
        <w:rPr>
          <w:b w:val="false"/>
          <w:bCs w:val="false"/>
          <w:i w:val="false"/>
          <w:iCs w:val="false"/>
          <w:color w:val="000000"/>
        </w:rPr>
        <w:t xml:space="preserve">  </w:t>
      </w:r>
      <w:r>
        <w:rPr>
          <w:b w:val="false"/>
          <w:bCs w:val="false"/>
          <w:i w:val="false"/>
          <w:iCs w:val="false"/>
          <w:color w:val="000000"/>
        </w:rPr>
        <w:t xml:space="preserve">Deng, Y., Zhang, W., Pan, S. J., &amp; Bing, L. (2023). Bidirectional Generative Framework for Cross-domain Aspect-based Sentiment Analysis.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https://doi.org/10.48550/arxiv.2305.09509</w:t>
      </w:r>
      <w:r>
        <w:rPr>
          <w:b w:val="false"/>
          <w:bCs w:val="false"/>
          <w:i w:val="false"/>
          <w:iCs w:val="false"/>
          <w:color w:val="000000"/>
        </w:rPr>
        <w:t xml:space="preserve">
</w:t>
      </w:r>
      <w:bookmarkEnd w:id="1"/>
    </w:p>
    <w:p>
      <w:pPr>
        <w:pStyle w:val="JenniRefBody"/>
        <w:ind w:start="720" w:hanging="720"/>
      </w:pPr>
      <w:bookmarkStart w:name="27bbbb2f88f41542070474e0571f7b50" w:id="1"/>
      <w:r>
        <w:rPr>
          <w:b w:val="false"/>
          <w:bCs w:val="false"/>
          <w:i w:val="false"/>
          <w:iCs w:val="false"/>
          <w:color w:val="000000"/>
        </w:rPr>
        <w:t xml:space="preserve">  </w:t>
      </w:r>
      <w:r>
        <w:rPr>
          <w:b w:val="false"/>
          <w:bCs w:val="false"/>
          <w:i w:val="false"/>
          <w:iCs w:val="false"/>
          <w:color w:val="000000"/>
        </w:rPr>
        <w:t xml:space="preserve">Derrick, K. (2024). ESG Sentiment Analysis: comparing human and language model performance   including GPT.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https://doi.org/10.48550/arxiv.2402.16650</w:t>
      </w:r>
      <w:r>
        <w:rPr>
          <w:b w:val="false"/>
          <w:bCs w:val="false"/>
          <w:i w:val="false"/>
          <w:iCs w:val="false"/>
          <w:color w:val="000000"/>
        </w:rPr>
        <w:t xml:space="preserve">
</w:t>
      </w:r>
      <w:bookmarkEnd w:id="1"/>
    </w:p>
    <w:p>
      <w:pPr>
        <w:pStyle w:val="JenniRefBody"/>
        <w:ind w:start="720" w:hanging="720"/>
      </w:pPr>
      <w:bookmarkStart w:name="d68c43d4ae9689adbac9c2bf35b1bb30" w:id="1"/>
      <w:r>
        <w:rPr>
          <w:b w:val="false"/>
          <w:bCs w:val="false"/>
          <w:i w:val="false"/>
          <w:iCs w:val="false"/>
          <w:color w:val="000000"/>
        </w:rPr>
        <w:t xml:space="preserve">  </w:t>
      </w:r>
      <w:r>
        <w:rPr>
          <w:b w:val="false"/>
          <w:bCs w:val="false"/>
          <w:i w:val="false"/>
          <w:iCs w:val="false"/>
          <w:color w:val="000000"/>
        </w:rPr>
        <w:t xml:space="preserve">F., S., Paul, &amp; Huoviala, P. (2023). Large language models for aspect-based sentiment analysis.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https://doi.org/10.48550/arxiv.2310.18025</w:t>
      </w:r>
      <w:r>
        <w:rPr>
          <w:b w:val="false"/>
          <w:bCs w:val="false"/>
          <w:i w:val="false"/>
          <w:iCs w:val="false"/>
          <w:color w:val="000000"/>
        </w:rPr>
        <w:t xml:space="preserve">
</w:t>
      </w:r>
      <w:bookmarkEnd w:id="1"/>
    </w:p>
    <w:p>
      <w:pPr>
        <w:pStyle w:val="JenniRefBody"/>
        <w:ind w:start="720" w:hanging="720"/>
      </w:pPr>
      <w:bookmarkStart w:name="a0e62c9d651eb68478084bf095190a26" w:id="1"/>
      <w:r>
        <w:rPr>
          <w:b w:val="false"/>
          <w:bCs w:val="false"/>
          <w:i w:val="false"/>
          <w:iCs w:val="false"/>
          <w:color w:val="000000"/>
        </w:rPr>
        <w:t xml:space="preserve">  </w:t>
      </w:r>
      <w:r>
        <w:rPr>
          <w:b w:val="false"/>
          <w:bCs w:val="false"/>
          <w:i w:val="false"/>
          <w:iCs w:val="false"/>
          <w:color w:val="000000"/>
        </w:rPr>
        <w:t xml:space="preserve">Fehle, J., Kruschwitz, U., Hellwig, N. C., &amp; Wolff, C. (2026). Leveraging fine-tuning of large language models for aspect-based sentiment analysis in resource-scarce environments. </w:t>
      </w:r>
      <w:r>
        <w:rPr>
          <w:b w:val="false"/>
          <w:bCs w:val="false"/>
          <w:i/>
          <w:iCs/>
          <w:color w:val="000000"/>
        </w:rPr>
        <w:t xml:space="preserve">Knowledge-Based Systems</w:t>
      </w:r>
      <w:r>
        <w:rPr>
          <w:b w:val="false"/>
          <w:bCs w:val="false"/>
          <w:i w:val="false"/>
          <w:iCs w:val="false"/>
          <w:color w:val="000000"/>
        </w:rPr>
        <w:t xml:space="preserve">, </w:t>
      </w:r>
      <w:r>
        <w:rPr>
          <w:b w:val="false"/>
          <w:bCs w:val="false"/>
          <w:i/>
          <w:iCs/>
          <w:color w:val="000000"/>
        </w:rPr>
        <w:t xml:space="preserve">336</w:t>
      </w:r>
      <w:r>
        <w:rPr>
          <w:b w:val="false"/>
          <w:bCs w:val="false"/>
          <w:i w:val="false"/>
          <w:iCs w:val="false"/>
          <w:color w:val="000000"/>
        </w:rPr>
        <w:t xml:space="preserve">, 115277–115277. </w:t>
      </w:r>
      <w:r>
        <w:rPr>
          <w:b w:val="false"/>
          <w:bCs w:val="false"/>
          <w:i w:val="false"/>
          <w:iCs w:val="false"/>
          <w:color w:val="000000"/>
        </w:rPr>
        <w:t xml:space="preserve">https://doi.org/10.1016/j.knosys.2026.115277</w:t>
      </w:r>
      <w:r>
        <w:rPr>
          <w:b w:val="false"/>
          <w:bCs w:val="false"/>
          <w:i w:val="false"/>
          <w:iCs w:val="false"/>
          <w:color w:val="000000"/>
        </w:rPr>
        <w:t xml:space="preserve">
</w:t>
      </w:r>
      <w:bookmarkEnd w:id="1"/>
    </w:p>
    <w:p>
      <w:pPr>
        <w:pStyle w:val="JenniRefBody"/>
        <w:ind w:start="720" w:hanging="720"/>
      </w:pPr>
      <w:bookmarkStart w:name="16f7bade59f8c22cbdf78c2dc804b3bd" w:id="1"/>
      <w:r>
        <w:rPr>
          <w:b w:val="false"/>
          <w:bCs w:val="false"/>
          <w:i w:val="false"/>
          <w:iCs w:val="false"/>
          <w:color w:val="000000"/>
        </w:rPr>
        <w:t xml:space="preserve">  </w:t>
      </w:r>
      <w:r>
        <w:rPr>
          <w:b w:val="false"/>
          <w:bCs w:val="false"/>
          <w:i w:val="false"/>
          <w:iCs w:val="false"/>
          <w:color w:val="000000"/>
        </w:rPr>
        <w:t xml:space="preserve">Fuchs, G., Nus, A., Eshel, Y., &amp; Shapira, B. (2025). </w:t>
      </w:r>
      <w:r>
        <w:rPr>
          <w:b w:val="false"/>
          <w:bCs w:val="false"/>
          <w:i/>
          <w:iCs/>
          <w:color w:val="000000"/>
        </w:rPr>
        <w:t xml:space="preserve">Enhancing Data Annotation for Student Models: A Self-Training Approach with Large Language Models</w:t>
      </w:r>
      <w:r>
        <w:rPr>
          <w:b w:val="false"/>
          <w:bCs w:val="false"/>
          <w:i w:val="false"/>
          <w:iCs w:val="false"/>
          <w:color w:val="000000"/>
        </w:rPr>
        <w:t xml:space="preserve">. 2706–2712. </w:t>
      </w:r>
      <w:r>
        <w:rPr>
          <w:b w:val="false"/>
          <w:bCs w:val="false"/>
          <w:i w:val="false"/>
          <w:iCs w:val="false"/>
          <w:color w:val="000000"/>
        </w:rPr>
        <w:t xml:space="preserve">https://doi.org/10.1145/3701716.3717862</w:t>
      </w:r>
      <w:r>
        <w:rPr>
          <w:b w:val="false"/>
          <w:bCs w:val="false"/>
          <w:i w:val="false"/>
          <w:iCs w:val="false"/>
          <w:color w:val="000000"/>
        </w:rPr>
        <w:t xml:space="preserve">
</w:t>
      </w:r>
      <w:bookmarkEnd w:id="1"/>
    </w:p>
    <w:p>
      <w:pPr>
        <w:pStyle w:val="JenniRefBody"/>
        <w:ind w:start="720" w:hanging="720"/>
      </w:pPr>
      <w:bookmarkStart w:name="b30d4b3e3004dc57ef43e31ed6a51f82" w:id="1"/>
      <w:r>
        <w:rPr>
          <w:b w:val="false"/>
          <w:bCs w:val="false"/>
          <w:i w:val="false"/>
          <w:iCs w:val="false"/>
          <w:color w:val="000000"/>
        </w:rPr>
        <w:t xml:space="preserve">  </w:t>
      </w:r>
      <w:r>
        <w:rPr>
          <w:b w:val="false"/>
          <w:bCs w:val="false"/>
          <w:i w:val="false"/>
          <w:iCs w:val="false"/>
          <w:color w:val="000000"/>
        </w:rPr>
        <w:t xml:space="preserve">George, S. S., &amp; Saji, N. (2025). ESGBench: A Benchmark for Explainable ESG Question Answering in Corporate Sustainability Reports.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https://doi.org/10.48550/arxiv.2511.16438</w:t>
      </w:r>
      <w:r>
        <w:rPr>
          <w:b w:val="false"/>
          <w:bCs w:val="false"/>
          <w:i w:val="false"/>
          <w:iCs w:val="false"/>
          <w:color w:val="000000"/>
        </w:rPr>
        <w:t xml:space="preserve">
</w:t>
      </w:r>
      <w:bookmarkEnd w:id="1"/>
    </w:p>
    <w:p>
      <w:pPr>
        <w:pStyle w:val="JenniRefBody"/>
        <w:ind w:start="720" w:hanging="720"/>
      </w:pPr>
      <w:bookmarkStart w:name="35bab107f32879da31942003afba1f69" w:id="1"/>
      <w:r>
        <w:rPr>
          <w:b w:val="false"/>
          <w:bCs w:val="false"/>
          <w:i w:val="false"/>
          <w:iCs w:val="false"/>
          <w:color w:val="000000"/>
        </w:rPr>
        <w:t xml:space="preserve">  </w:t>
      </w:r>
      <w:r>
        <w:rPr>
          <w:b w:val="false"/>
          <w:bCs w:val="false"/>
          <w:i w:val="false"/>
          <w:iCs w:val="false"/>
          <w:color w:val="000000"/>
        </w:rPr>
        <w:t xml:space="preserve">Georgios, K., Aris, K., Ioannis, Eleni, P., Pla, K., Danae, Evaggelia, P., George, P., &amp; Panayiotis, T. (2025). EmeraldMind: A Knowledge Graph-Augmented Framework for Greenwashing Detection.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https://doi.org/10.48550/arxiv.2512.11506</w:t>
      </w:r>
      <w:r>
        <w:rPr>
          <w:b w:val="false"/>
          <w:bCs w:val="false"/>
          <w:i w:val="false"/>
          <w:iCs w:val="false"/>
          <w:color w:val="000000"/>
        </w:rPr>
        <w:t xml:space="preserve">
</w:t>
      </w:r>
      <w:bookmarkEnd w:id="1"/>
    </w:p>
    <w:p>
      <w:pPr>
        <w:pStyle w:val="JenniRefBody"/>
        <w:ind w:start="720" w:hanging="720"/>
      </w:pPr>
      <w:bookmarkStart w:name="a596c3e96b23c8daad36f595c3bee108" w:id="1"/>
      <w:r>
        <w:rPr>
          <w:b w:val="false"/>
          <w:bCs w:val="false"/>
          <w:i w:val="false"/>
          <w:iCs w:val="false"/>
          <w:color w:val="000000"/>
        </w:rPr>
        <w:t xml:space="preserve">  </w:t>
      </w:r>
      <w:r>
        <w:rPr>
          <w:b w:val="false"/>
          <w:bCs w:val="false"/>
          <w:i w:val="false"/>
          <w:iCs w:val="false"/>
          <w:color w:val="000000"/>
        </w:rPr>
        <w:t xml:space="preserve">Guo, H., &amp; Wei, Z. (2026). From OCR to Analysis: Tracking Correction Provenance in Digital Humanities Pipelines.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https://doi.org/10.48550/arxiv.2603.00884</w:t>
      </w:r>
      <w:r>
        <w:rPr>
          <w:b w:val="false"/>
          <w:bCs w:val="false"/>
          <w:i w:val="false"/>
          <w:iCs w:val="false"/>
          <w:color w:val="000000"/>
        </w:rPr>
        <w:t xml:space="preserve">
</w:t>
      </w:r>
      <w:bookmarkEnd w:id="1"/>
    </w:p>
    <w:p>
      <w:pPr>
        <w:pStyle w:val="JenniRefBody"/>
        <w:ind w:start="720" w:hanging="720"/>
      </w:pPr>
      <w:bookmarkStart w:name="9eabb7484032db1ef337a5aa2dce21b6" w:id="1"/>
      <w:r>
        <w:rPr>
          <w:b w:val="false"/>
          <w:bCs w:val="false"/>
          <w:i w:val="false"/>
          <w:iCs w:val="false"/>
          <w:color w:val="000000"/>
        </w:rPr>
        <w:t xml:space="preserve">  </w:t>
      </w:r>
      <w:r>
        <w:rPr>
          <w:b w:val="false"/>
          <w:bCs w:val="false"/>
          <w:i w:val="false"/>
          <w:iCs w:val="false"/>
          <w:color w:val="000000"/>
        </w:rPr>
        <w:t xml:space="preserve">Hallgren, K. A. (2012). Computing Inter-Rater Reliability for Observational Data: An Overview and Tutorial. </w:t>
      </w:r>
      <w:r>
        <w:rPr>
          <w:b w:val="false"/>
          <w:bCs w:val="false"/>
          <w:i/>
          <w:iCs/>
          <w:color w:val="000000"/>
        </w:rPr>
        <w:t xml:space="preserve">Tutorials in Quantitative Methods for Psychology</w:t>
      </w:r>
      <w:r>
        <w:rPr>
          <w:b w:val="false"/>
          <w:bCs w:val="false"/>
          <w:i w:val="false"/>
          <w:iCs w:val="false"/>
          <w:color w:val="000000"/>
        </w:rPr>
        <w:t xml:space="preserve">, </w:t>
      </w:r>
      <w:r>
        <w:rPr>
          <w:b w:val="false"/>
          <w:bCs w:val="false"/>
          <w:i/>
          <w:iCs/>
          <w:color w:val="000000"/>
        </w:rPr>
        <w:t xml:space="preserve">8</w:t>
      </w:r>
      <w:r>
        <w:rPr>
          <w:b w:val="false"/>
          <w:bCs w:val="false"/>
          <w:i w:val="false"/>
          <w:iCs w:val="false"/>
          <w:color w:val="000000"/>
        </w:rPr>
        <w:t xml:space="preserve">(1), 23–34. </w:t>
      </w:r>
      <w:r>
        <w:rPr>
          <w:b w:val="false"/>
          <w:bCs w:val="false"/>
          <w:i w:val="false"/>
          <w:iCs w:val="false"/>
          <w:color w:val="000000"/>
        </w:rPr>
        <w:t xml:space="preserve">https://doi.org/10.20982/tqmp.08.1.p023</w:t>
      </w:r>
      <w:r>
        <w:rPr>
          <w:b w:val="false"/>
          <w:bCs w:val="false"/>
          <w:i w:val="false"/>
          <w:iCs w:val="false"/>
          <w:color w:val="000000"/>
        </w:rPr>
        <w:t xml:space="preserve">
</w:t>
      </w:r>
      <w:bookmarkEnd w:id="1"/>
    </w:p>
    <w:p>
      <w:pPr>
        <w:pStyle w:val="JenniRefBody"/>
        <w:ind w:start="720" w:hanging="720"/>
      </w:pPr>
      <w:bookmarkStart w:name="32a57847aa4e9f72997aa1d4539a5fa1" w:id="1"/>
      <w:r>
        <w:rPr>
          <w:b w:val="false"/>
          <w:bCs w:val="false"/>
          <w:i w:val="false"/>
          <w:iCs w:val="false"/>
          <w:color w:val="000000"/>
        </w:rPr>
        <w:t xml:space="preserve">  </w:t>
      </w:r>
      <w:r>
        <w:rPr>
          <w:b w:val="false"/>
          <w:bCs w:val="false"/>
          <w:i w:val="false"/>
          <w:iCs w:val="false"/>
          <w:color w:val="000000"/>
        </w:rPr>
        <w:t xml:space="preserve">Han, H., Wang, Y., Shomer, H., Guo, K., Ding, J., Yuan, L., Halappanavar, M., Rossi, R. A., Mukherjee, S., Tang, X., He, Q., Hua, Z., Long, B., Zhao, T., Shah, N., Javari, A., Xia, Y., &amp; Tang, J. (2024). Retrieval-Augmented Generation with Graphs (GraphRAG).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https://doi.org/10.48550/arxiv.2501.00309</w:t>
      </w:r>
      <w:r>
        <w:rPr>
          <w:b w:val="false"/>
          <w:bCs w:val="false"/>
          <w:i w:val="false"/>
          <w:iCs w:val="false"/>
          <w:color w:val="000000"/>
        </w:rPr>
        <w:t xml:space="preserve">
</w:t>
      </w:r>
      <w:bookmarkEnd w:id="1"/>
    </w:p>
    <w:p>
      <w:pPr>
        <w:pStyle w:val="JenniRefBody"/>
        <w:ind w:start="720" w:hanging="720"/>
      </w:pPr>
      <w:bookmarkStart w:name="05bb39053eb9d475790967a93efd9051" w:id="1"/>
      <w:r>
        <w:rPr>
          <w:b w:val="false"/>
          <w:bCs w:val="false"/>
          <w:i w:val="false"/>
          <w:iCs w:val="false"/>
          <w:color w:val="000000"/>
        </w:rPr>
        <w:t xml:space="preserve">  </w:t>
      </w:r>
      <w:r>
        <w:rPr>
          <w:b w:val="false"/>
          <w:bCs w:val="false"/>
          <w:i w:val="false"/>
          <w:iCs w:val="false"/>
          <w:color w:val="000000"/>
        </w:rPr>
        <w:t xml:space="preserve">He, C., Zhou, X., Wu, Y., Yu, X., Zhang, Y., Zhang, L., Wang, D., Lyu, S., Xu, H., Wang, X., Liu, W., &amp; Miao, C. (2025). ESGenius: Benchmarking LLMs on Environmental, Social, and Governance (ESG) and Sustainability Knowledge.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https://doi.org/10.48550/arxiv.2506.01646</w:t>
      </w:r>
      <w:r>
        <w:rPr>
          <w:b w:val="false"/>
          <w:bCs w:val="false"/>
          <w:i w:val="false"/>
          <w:iCs w:val="false"/>
          <w:color w:val="000000"/>
        </w:rPr>
        <w:t xml:space="preserve">
</w:t>
      </w:r>
      <w:bookmarkEnd w:id="1"/>
    </w:p>
    <w:p>
      <w:pPr>
        <w:pStyle w:val="JenniRefBody"/>
        <w:ind w:start="720" w:hanging="720"/>
      </w:pPr>
      <w:bookmarkStart w:name="199b5db386211da63b70a1ca58e4d0ee" w:id="1"/>
      <w:r>
        <w:rPr>
          <w:b w:val="false"/>
          <w:bCs w:val="false"/>
          <w:i w:val="false"/>
          <w:iCs w:val="false"/>
          <w:color w:val="000000"/>
        </w:rPr>
        <w:t xml:space="preserve">  </w:t>
      </w:r>
      <w:r>
        <w:rPr>
          <w:b w:val="false"/>
          <w:bCs w:val="false"/>
          <w:i w:val="false"/>
          <w:iCs w:val="false"/>
          <w:color w:val="000000"/>
        </w:rPr>
        <w:t xml:space="preserve">He, C., Zhou, X., Yu, X., Zhang, L., Zhang, Y., Wu, Y., Xiao, L., Liangyue, L., Wang, D., Xu, H., Wang, X., Liu, W. C., &amp; Miao, C. (2026a). SSKG Hub: An Expert-Guided Platform for LLM-Empowered Sustainability Standards Knowledge Graphs.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https://doi.org/10.48550/arxiv.2603.00669</w:t>
      </w:r>
      <w:r>
        <w:rPr>
          <w:b w:val="false"/>
          <w:bCs w:val="false"/>
          <w:i w:val="false"/>
          <w:iCs w:val="false"/>
          <w:color w:val="000000"/>
        </w:rPr>
        <w:t xml:space="preserve">
</w:t>
      </w:r>
      <w:bookmarkEnd w:id="1"/>
    </w:p>
    <w:p>
      <w:pPr>
        <w:pStyle w:val="JenniRefBody"/>
        <w:ind w:start="720" w:hanging="720"/>
      </w:pPr>
      <w:bookmarkStart w:name="43fa6e3434693fc9b00765efd3f7e930" w:id="1"/>
      <w:r>
        <w:rPr>
          <w:b w:val="false"/>
          <w:bCs w:val="false"/>
          <w:i w:val="false"/>
          <w:iCs w:val="false"/>
          <w:color w:val="000000"/>
        </w:rPr>
        <w:t xml:space="preserve">  </w:t>
      </w:r>
      <w:r>
        <w:rPr>
          <w:b w:val="false"/>
          <w:bCs w:val="false"/>
          <w:i w:val="false"/>
          <w:iCs w:val="false"/>
          <w:color w:val="000000"/>
        </w:rPr>
        <w:t xml:space="preserve">He, C., Zhou, X., Yu, X., Zhang, L., Zhang, Y., Wu, Y., Xiao, L., Liangyue, L., Wang, D., Xu, H., Wang, X., Liu, W. C., &amp; Miao, C. (2026b). SSKG Hub: An Expert-Guided Platform for LLM-Empowered Sustainability Standards Knowledge Graphs.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http://arxiv.org/abs/2603.00669</w:t>
      </w:r>
      <w:r>
        <w:rPr>
          <w:b w:val="false"/>
          <w:bCs w:val="false"/>
          <w:i w:val="false"/>
          <w:iCs w:val="false"/>
          <w:color w:val="000000"/>
        </w:rPr>
        <w:t xml:space="preserve">
</w:t>
      </w:r>
      <w:bookmarkEnd w:id="1"/>
    </w:p>
    <w:p>
      <w:pPr>
        <w:pStyle w:val="JenniRefBody"/>
        <w:ind w:start="720" w:hanging="720"/>
      </w:pPr>
      <w:bookmarkStart w:name="a286a030f9f98e0061df77aa6a9dcfd5" w:id="1"/>
      <w:r>
        <w:rPr>
          <w:b w:val="false"/>
          <w:bCs w:val="false"/>
          <w:i w:val="false"/>
          <w:iCs w:val="false"/>
          <w:color w:val="000000"/>
        </w:rPr>
        <w:t xml:space="preserve">  </w:t>
      </w:r>
      <w:r>
        <w:rPr>
          <w:b w:val="false"/>
          <w:bCs w:val="false"/>
          <w:i w:val="false"/>
          <w:iCs w:val="false"/>
          <w:color w:val="000000"/>
        </w:rPr>
        <w:t xml:space="preserve">Hua, Y. C., Denny, P., Taškova, K., &amp; Wicker, J. (2023). A Systematic Review of Aspect-based Sentiment Analysis: Domains, Methods, and Trends [Review of </w:t>
      </w:r>
      <w:r>
        <w:rPr>
          <w:b w:val="false"/>
          <w:bCs w:val="false"/>
          <w:i/>
          <w:iCs/>
          <w:color w:val="000000"/>
        </w:rPr>
        <w:t xml:space="preserve">A Systematic Review of Aspect-based Sentiment Analysis: Domains, Methods, and Trends</w:t>
      </w:r>
      <w:r>
        <w:rPr>
          <w:b w:val="false"/>
          <w:bCs w:val="false"/>
          <w:i w:val="false"/>
          <w:iCs w:val="false"/>
          <w:color w:val="000000"/>
        </w:rPr>
        <w:t xml:space="preserve">].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https://doi.org/10.48550/arxiv.2311.10777</w:t>
      </w:r>
      <w:r>
        <w:rPr>
          <w:b w:val="false"/>
          <w:bCs w:val="false"/>
          <w:i w:val="false"/>
          <w:iCs w:val="false"/>
          <w:color w:val="000000"/>
        </w:rPr>
        <w:t xml:space="preserve">
</w:t>
      </w:r>
      <w:bookmarkEnd w:id="1"/>
    </w:p>
    <w:p>
      <w:pPr>
        <w:pStyle w:val="JenniRefBody"/>
        <w:ind w:start="720" w:hanging="720"/>
      </w:pPr>
      <w:bookmarkStart w:name="c77eb03858bc90ff3f27509f756bc137" w:id="1"/>
      <w:r>
        <w:rPr>
          <w:b w:val="false"/>
          <w:bCs w:val="false"/>
          <w:i w:val="false"/>
          <w:iCs w:val="false"/>
          <w:color w:val="000000"/>
        </w:rPr>
        <w:t xml:space="preserve">  </w:t>
      </w:r>
      <w:r>
        <w:rPr>
          <w:b w:val="false"/>
          <w:bCs w:val="false"/>
          <w:i w:val="false"/>
          <w:iCs w:val="false"/>
          <w:color w:val="000000"/>
        </w:rPr>
        <w:t xml:space="preserve">Hwang, A., Kambhamettu, H., Yang, Y., Patel, A., Chang, J. C., &amp; Head, A. (2026). Connecting the Dots: Surfacing Structure in Documents through AI-Generated Cross-Modal Links.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http://arxiv.org/abs/2602.16895</w:t>
      </w:r>
      <w:r>
        <w:rPr>
          <w:b w:val="false"/>
          <w:bCs w:val="false"/>
          <w:i w:val="false"/>
          <w:iCs w:val="false"/>
          <w:color w:val="000000"/>
        </w:rPr>
        <w:t xml:space="preserve">
</w:t>
      </w:r>
      <w:bookmarkEnd w:id="1"/>
    </w:p>
    <w:p>
      <w:pPr>
        <w:pStyle w:val="JenniRefBody"/>
        <w:ind w:start="720" w:hanging="720"/>
      </w:pPr>
      <w:bookmarkStart w:name="18ccc0b87d14904a1688d7a4ad5e377d" w:id="1"/>
      <w:r>
        <w:rPr>
          <w:b w:val="false"/>
          <w:bCs w:val="false"/>
          <w:i w:val="false"/>
          <w:iCs w:val="false"/>
          <w:color w:val="000000"/>
        </w:rPr>
        <w:t xml:space="preserve">  </w:t>
      </w:r>
      <w:r>
        <w:rPr>
          <w:b w:val="false"/>
          <w:bCs w:val="false"/>
          <w:i w:val="false"/>
          <w:iCs w:val="false"/>
          <w:color w:val="000000"/>
        </w:rPr>
        <w:t xml:space="preserve">Iwata, T., Comte, G., Flores, M. E., Kondo, R., &amp; Hisano, R. (2025). Aligning ESG Controversy Data with International Guidelines through Semi-Automatic Ontology Construction.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https://doi.org/10.48550/arxiv.2509.10922</w:t>
      </w:r>
      <w:r>
        <w:rPr>
          <w:b w:val="false"/>
          <w:bCs w:val="false"/>
          <w:i w:val="false"/>
          <w:iCs w:val="false"/>
          <w:color w:val="000000"/>
        </w:rPr>
        <w:t xml:space="preserve">
</w:t>
      </w:r>
      <w:bookmarkEnd w:id="1"/>
    </w:p>
    <w:p>
      <w:pPr>
        <w:pStyle w:val="JenniRefBody"/>
        <w:ind w:start="720" w:hanging="720"/>
      </w:pPr>
      <w:bookmarkStart w:name="64e9bd62dd93fb34d420261412f539d7" w:id="1"/>
      <w:r>
        <w:rPr>
          <w:b w:val="false"/>
          <w:bCs w:val="false"/>
          <w:i w:val="false"/>
          <w:iCs w:val="false"/>
          <w:color w:val="000000"/>
        </w:rPr>
        <w:t xml:space="preserve">  </w:t>
      </w:r>
      <w:r>
        <w:rPr>
          <w:b w:val="false"/>
          <w:bCs w:val="false"/>
          <w:i w:val="false"/>
          <w:iCs w:val="false"/>
          <w:color w:val="000000"/>
        </w:rPr>
        <w:t xml:space="preserve">Jablonka, K. M., Ai, Q., Al-Feghali, A., Badhwar, S., Bocarsly, J. D., Bran, A. M., Bringuier, S., Brinson, L. C., Choudhary, K., Çırcı, D., Cox, S., Jong, W. A. de, Evans, M. L., Gastellu, N., Genzling, J., Gil, M. V., Gupta, A. K., Hong, Z., Imran, A., … Blaiszik, B. (2023). 14 examples of how LLMs can transform materials science and chemistry: a reflection on a large language model hackathon. </w:t>
      </w:r>
      <w:r>
        <w:rPr>
          <w:b w:val="false"/>
          <w:bCs w:val="false"/>
          <w:i/>
          <w:iCs/>
          <w:color w:val="000000"/>
        </w:rPr>
        <w:t xml:space="preserve">Digital Discovery</w:t>
      </w:r>
      <w:r>
        <w:rPr>
          <w:b w:val="false"/>
          <w:bCs w:val="false"/>
          <w:i w:val="false"/>
          <w:iCs w:val="false"/>
          <w:color w:val="000000"/>
        </w:rPr>
        <w:t xml:space="preserve">, </w:t>
      </w:r>
      <w:r>
        <w:rPr>
          <w:b w:val="false"/>
          <w:bCs w:val="false"/>
          <w:i/>
          <w:iCs/>
          <w:color w:val="000000"/>
        </w:rPr>
        <w:t xml:space="preserve">2</w:t>
      </w:r>
      <w:r>
        <w:rPr>
          <w:b w:val="false"/>
          <w:bCs w:val="false"/>
          <w:i w:val="false"/>
          <w:iCs w:val="false"/>
          <w:color w:val="000000"/>
        </w:rPr>
        <w:t xml:space="preserve">(5), 1233–1250. </w:t>
      </w:r>
      <w:r>
        <w:rPr>
          <w:b w:val="false"/>
          <w:bCs w:val="false"/>
          <w:i w:val="false"/>
          <w:iCs w:val="false"/>
          <w:color w:val="000000"/>
        </w:rPr>
        <w:t xml:space="preserve">https://doi.org/10.1039/d3dd00113j</w:t>
      </w:r>
      <w:r>
        <w:rPr>
          <w:b w:val="false"/>
          <w:bCs w:val="false"/>
          <w:i w:val="false"/>
          <w:iCs w:val="false"/>
          <w:color w:val="000000"/>
        </w:rPr>
        <w:t xml:space="preserve">
</w:t>
      </w:r>
      <w:bookmarkEnd w:id="1"/>
    </w:p>
    <w:p>
      <w:pPr>
        <w:pStyle w:val="JenniRefBody"/>
        <w:ind w:start="720" w:hanging="720"/>
      </w:pPr>
      <w:bookmarkStart w:name="7b065133da7d499db063ff7218635911" w:id="1"/>
      <w:r>
        <w:rPr>
          <w:b w:val="false"/>
          <w:bCs w:val="false"/>
          <w:i w:val="false"/>
          <w:iCs w:val="false"/>
          <w:color w:val="000000"/>
        </w:rPr>
        <w:t xml:space="preserve">  </w:t>
      </w:r>
      <w:r>
        <w:rPr>
          <w:b w:val="false"/>
          <w:bCs w:val="false"/>
          <w:i w:val="false"/>
          <w:iCs w:val="false"/>
          <w:color w:val="000000"/>
        </w:rPr>
        <w:t xml:space="preserve">Kang, H., &amp; Kim, J. (2022). Analyzing and Visualizing Text Information in Corporate Sustainability Reports Using Natural Language Processing Methods. </w:t>
      </w:r>
      <w:r>
        <w:rPr>
          <w:b w:val="false"/>
          <w:bCs w:val="false"/>
          <w:i/>
          <w:iCs/>
          <w:color w:val="000000"/>
        </w:rPr>
        <w:t xml:space="preserve">Applied Sciences</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(11), 5614–5614. </w:t>
      </w:r>
      <w:r>
        <w:rPr>
          <w:b w:val="false"/>
          <w:bCs w:val="false"/>
          <w:i w:val="false"/>
          <w:iCs w:val="false"/>
          <w:color w:val="000000"/>
        </w:rPr>
        <w:t xml:space="preserve">https://doi.org/10.3390/app12115614</w:t>
      </w:r>
      <w:r>
        <w:rPr>
          <w:b w:val="false"/>
          <w:bCs w:val="false"/>
          <w:i w:val="false"/>
          <w:iCs w:val="false"/>
          <w:color w:val="000000"/>
        </w:rPr>
        <w:t xml:space="preserve">
</w:t>
      </w:r>
      <w:bookmarkEnd w:id="1"/>
    </w:p>
    <w:p>
      <w:pPr>
        <w:pStyle w:val="JenniRefBody"/>
        <w:ind w:start="720" w:hanging="720"/>
      </w:pPr>
      <w:bookmarkStart w:name="4c6b8063632408b9500eaa188531ab17" w:id="1"/>
      <w:r>
        <w:rPr>
          <w:b w:val="false"/>
          <w:bCs w:val="false"/>
          <w:i w:val="false"/>
          <w:iCs w:val="false"/>
          <w:color w:val="000000"/>
        </w:rPr>
        <w:t xml:space="preserve">  </w:t>
      </w:r>
      <w:r>
        <w:rPr>
          <w:b w:val="false"/>
          <w:bCs w:val="false"/>
          <w:i w:val="false"/>
          <w:iCs w:val="false"/>
          <w:color w:val="000000"/>
        </w:rPr>
        <w:t xml:space="preserve">Kumari, N. (2025). Aspect Based Sentiment Analysis for Product Reviews. </w:t>
      </w:r>
      <w:r>
        <w:rPr>
          <w:b w:val="false"/>
          <w:bCs w:val="false"/>
          <w:i/>
          <w:iCs/>
          <w:color w:val="000000"/>
        </w:rPr>
        <w:t xml:space="preserve">International Journal for Research in Applied Science and Engineering Technology</w:t>
      </w:r>
      <w:r>
        <w:rPr>
          <w:b w:val="false"/>
          <w:bCs w:val="false"/>
          <w:i w:val="false"/>
          <w:iCs w:val="false"/>
          <w:color w:val="000000"/>
        </w:rPr>
        <w:t xml:space="preserve">, </w:t>
      </w:r>
      <w:r>
        <w:rPr>
          <w:b w:val="false"/>
          <w:bCs w:val="false"/>
          <w:i/>
          <w:iCs/>
          <w:color w:val="000000"/>
        </w:rPr>
        <w:t xml:space="preserve">13</w:t>
      </w:r>
      <w:r>
        <w:rPr>
          <w:b w:val="false"/>
          <w:bCs w:val="false"/>
          <w:i w:val="false"/>
          <w:iCs w:val="false"/>
          <w:color w:val="000000"/>
        </w:rPr>
        <w:t xml:space="preserve">(4), 6103–6113. </w:t>
      </w:r>
      <w:r>
        <w:rPr>
          <w:b w:val="false"/>
          <w:bCs w:val="false"/>
          <w:i w:val="false"/>
          <w:iCs w:val="false"/>
          <w:color w:val="000000"/>
        </w:rPr>
        <w:t xml:space="preserve">https://doi.org/10.22214/ijraset.2025.69491</w:t>
      </w:r>
      <w:r>
        <w:rPr>
          <w:b w:val="false"/>
          <w:bCs w:val="false"/>
          <w:i w:val="false"/>
          <w:iCs w:val="false"/>
          <w:color w:val="000000"/>
        </w:rPr>
        <w:t xml:space="preserve">
</w:t>
      </w:r>
      <w:bookmarkEnd w:id="1"/>
    </w:p>
    <w:p>
      <w:pPr>
        <w:pStyle w:val="JenniRefBody"/>
        <w:ind w:start="720" w:hanging="720"/>
      </w:pPr>
      <w:bookmarkStart w:name="e64ce8e1448ee3c9213f210a2c995915" w:id="1"/>
      <w:r>
        <w:rPr>
          <w:b w:val="false"/>
          <w:bCs w:val="false"/>
          <w:i w:val="false"/>
          <w:iCs w:val="false"/>
          <w:color w:val="000000"/>
        </w:rPr>
        <w:t xml:space="preserve">  </w:t>
      </w:r>
      <w:r>
        <w:rPr>
          <w:b w:val="false"/>
          <w:bCs w:val="false"/>
          <w:i w:val="false"/>
          <w:iCs w:val="false"/>
          <w:color w:val="000000"/>
        </w:rPr>
        <w:t xml:space="preserve">Kushwaha, N., Singh, A. K., &amp; Sheikh, H. (2025). NatureKG: an ontology and knowledge graph for nature finance with a Text2Cypher application. </w:t>
      </w:r>
      <w:r>
        <w:rPr>
          <w:b w:val="false"/>
          <w:bCs w:val="false"/>
          <w:i/>
          <w:iCs/>
          <w:color w:val="000000"/>
        </w:rPr>
        <w:t xml:space="preserve">Frontiers in Artificial Intelligence</w:t>
      </w:r>
      <w:r>
        <w:rPr>
          <w:b w:val="false"/>
          <w:bCs w:val="false"/>
          <w:i w:val="false"/>
          <w:iCs w:val="false"/>
          <w:color w:val="000000"/>
        </w:rPr>
        <w:t xml:space="preserve">, </w:t>
      </w:r>
      <w:r>
        <w:rPr>
          <w:b w:val="false"/>
          <w:bCs w:val="false"/>
          <w:i/>
          <w:iCs/>
          <w:color w:val="000000"/>
        </w:rPr>
        <w:t xml:space="preserve">8</w:t>
      </w:r>
      <w:r>
        <w:rPr>
          <w:b w:val="false"/>
          <w:bCs w:val="false"/>
          <w:i w:val="false"/>
          <w:iCs w:val="false"/>
          <w:color w:val="000000"/>
        </w:rPr>
        <w:t xml:space="preserve">, 1693843–1693843. </w:t>
      </w:r>
      <w:r>
        <w:rPr>
          <w:b w:val="false"/>
          <w:bCs w:val="false"/>
          <w:i w:val="false"/>
          <w:iCs w:val="false"/>
          <w:color w:val="000000"/>
        </w:rPr>
        <w:t xml:space="preserve">https://doi.org/10.3389/frai.2025.1693843</w:t>
      </w:r>
      <w:r>
        <w:rPr>
          <w:b w:val="false"/>
          <w:bCs w:val="false"/>
          <w:i w:val="false"/>
          <w:iCs w:val="false"/>
          <w:color w:val="000000"/>
        </w:rPr>
        <w:t xml:space="preserve">
</w:t>
      </w:r>
      <w:bookmarkEnd w:id="1"/>
    </w:p>
    <w:p>
      <w:pPr>
        <w:pStyle w:val="JenniRefBody"/>
        <w:ind w:start="720" w:hanging="720"/>
      </w:pPr>
      <w:bookmarkStart w:name="d52f1deecc565912979332320a1bf781" w:id="1"/>
      <w:r>
        <w:rPr>
          <w:b w:val="false"/>
          <w:bCs w:val="false"/>
          <w:i w:val="false"/>
          <w:iCs w:val="false"/>
          <w:color w:val="000000"/>
        </w:rPr>
        <w:t xml:space="preserve">  </w:t>
      </w:r>
      <w:r>
        <w:rPr>
          <w:b w:val="false"/>
          <w:bCs w:val="false"/>
          <w:i w:val="false"/>
          <w:iCs w:val="false"/>
          <w:color w:val="000000"/>
        </w:rPr>
        <w:t xml:space="preserve">Lanshina, T. (2017). Implementing the G20/OECD Principles of Corporate Governance: What is the Progress in BRICS and Indonesia? </w:t>
      </w:r>
      <w:r>
        <w:rPr>
          <w:b w:val="false"/>
          <w:bCs w:val="false"/>
          <w:i/>
          <w:iCs/>
          <w:color w:val="000000"/>
        </w:rPr>
        <w:t xml:space="preserve">International Organisations Research Journal</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(3), 137–159. </w:t>
      </w:r>
      <w:r>
        <w:rPr>
          <w:b w:val="false"/>
          <w:bCs w:val="false"/>
          <w:i w:val="false"/>
          <w:iCs w:val="false"/>
          <w:color w:val="000000"/>
        </w:rPr>
        <w:t xml:space="preserve">https://doi.org/10.17323/1996-7845-2017-03-137</w:t>
      </w:r>
      <w:r>
        <w:rPr>
          <w:b w:val="false"/>
          <w:bCs w:val="false"/>
          <w:i w:val="false"/>
          <w:iCs w:val="false"/>
          <w:color w:val="000000"/>
        </w:rPr>
        <w:t xml:space="preserve">
</w:t>
      </w:r>
      <w:bookmarkEnd w:id="1"/>
    </w:p>
    <w:p>
      <w:pPr>
        <w:pStyle w:val="JenniRefBody"/>
        <w:ind w:start="720" w:hanging="720"/>
      </w:pPr>
      <w:bookmarkStart w:name="21931f1ab36a787a024c000321efdba3" w:id="1"/>
      <w:r>
        <w:rPr>
          <w:b w:val="false"/>
          <w:bCs w:val="false"/>
          <w:i w:val="false"/>
          <w:iCs w:val="false"/>
          <w:color w:val="000000"/>
        </w:rPr>
        <w:t xml:space="preserve">  </w:t>
      </w:r>
      <w:r>
        <w:rPr>
          <w:b w:val="false"/>
          <w:bCs w:val="false"/>
          <w:i w:val="false"/>
          <w:iCs w:val="false"/>
          <w:color w:val="000000"/>
        </w:rPr>
        <w:t xml:space="preserve">Lee, J., Wang, X., Schuurmans, D., Bosma, M., H., E., Le, Q. V., &amp; Zhou, D. (2022). Chain-of-Thought Prompting Elicits Reasoning in Large Language Models.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https://doi.org/10.48550/arxiv.2201.11903</w:t>
      </w:r>
      <w:r>
        <w:rPr>
          <w:b w:val="false"/>
          <w:bCs w:val="false"/>
          <w:i w:val="false"/>
          <w:iCs w:val="false"/>
          <w:color w:val="000000"/>
        </w:rPr>
        <w:t xml:space="preserve">
</w:t>
      </w:r>
      <w:bookmarkEnd w:id="1"/>
    </w:p>
    <w:p>
      <w:pPr>
        <w:pStyle w:val="JenniRefBody"/>
        <w:ind w:start="720" w:hanging="720"/>
      </w:pPr>
      <w:bookmarkStart w:name="15691877af5f732e02a302646fe934df" w:id="1"/>
      <w:r>
        <w:rPr>
          <w:b w:val="false"/>
          <w:bCs w:val="false"/>
          <w:i w:val="false"/>
          <w:iCs w:val="false"/>
          <w:color w:val="000000"/>
        </w:rPr>
        <w:t xml:space="preserve">  </w:t>
      </w:r>
      <w:r>
        <w:rPr>
          <w:b w:val="false"/>
          <w:bCs w:val="false"/>
          <w:i w:val="false"/>
          <w:iCs w:val="false"/>
          <w:color w:val="000000"/>
        </w:rPr>
        <w:t xml:space="preserve">Li, C., Keeley, A. R., &amp; Managi, S. (2025). ESG emphasis of top companies in East and Southeast Asian countries unveiled by deep learning. </w:t>
      </w:r>
      <w:r>
        <w:rPr>
          <w:b w:val="false"/>
          <w:bCs w:val="false"/>
          <w:i/>
          <w:iCs/>
          <w:color w:val="000000"/>
        </w:rPr>
        <w:t xml:space="preserve">Green Technologies and Sustainability</w:t>
      </w:r>
      <w:r>
        <w:rPr>
          <w:b w:val="false"/>
          <w:bCs w:val="false"/>
          <w:i w:val="false"/>
          <w:iCs w:val="false"/>
          <w:color w:val="000000"/>
        </w:rPr>
        <w:t xml:space="preserve">, </w:t>
      </w:r>
      <w:r>
        <w:rPr>
          <w:b w:val="false"/>
          <w:bCs w:val="false"/>
          <w:i/>
          <w:iCs/>
          <w:color w:val="000000"/>
        </w:rPr>
        <w:t xml:space="preserve">4</w:t>
      </w:r>
      <w:r>
        <w:rPr>
          <w:b w:val="false"/>
          <w:bCs w:val="false"/>
          <w:i w:val="false"/>
          <w:iCs w:val="false"/>
          <w:color w:val="000000"/>
        </w:rPr>
        <w:t xml:space="preserve">(2), 100296–100296. </w:t>
      </w:r>
      <w:r>
        <w:rPr>
          <w:b w:val="false"/>
          <w:bCs w:val="false"/>
          <w:i w:val="false"/>
          <w:iCs w:val="false"/>
          <w:color w:val="000000"/>
        </w:rPr>
        <w:t xml:space="preserve">https://doi.org/10.1016/j.grets.2025.100296</w:t>
      </w:r>
      <w:r>
        <w:rPr>
          <w:b w:val="false"/>
          <w:bCs w:val="false"/>
          <w:i w:val="false"/>
          <w:iCs w:val="false"/>
          <w:color w:val="000000"/>
        </w:rPr>
        <w:t xml:space="preserve">
</w:t>
      </w:r>
      <w:bookmarkEnd w:id="1"/>
    </w:p>
    <w:p>
      <w:pPr>
        <w:pStyle w:val="JenniRefBody"/>
        <w:ind w:start="720" w:hanging="720"/>
      </w:pPr>
      <w:bookmarkStart w:name="8935c376e8fa61919f053fb7af41aacd" w:id="1"/>
      <w:r>
        <w:rPr>
          <w:b w:val="false"/>
          <w:bCs w:val="false"/>
          <w:i w:val="false"/>
          <w:iCs w:val="false"/>
          <w:color w:val="000000"/>
        </w:rPr>
        <w:t xml:space="preserve">  </w:t>
      </w:r>
      <w:r>
        <w:rPr>
          <w:b w:val="false"/>
          <w:bCs w:val="false"/>
          <w:i w:val="false"/>
          <w:iCs w:val="false"/>
          <w:color w:val="000000"/>
        </w:rPr>
        <w:t xml:space="preserve">Li, M., Gao, Q., &amp; Yu, T. (2023, August 25). Kappa statistic considerations in evaluating inter-rater reliability between two raters: which, when and context matters. In </w:t>
      </w:r>
      <w:r>
        <w:rPr>
          <w:b w:val="false"/>
          <w:bCs w:val="false"/>
          <w:i/>
          <w:iCs/>
          <w:color w:val="000000"/>
        </w:rPr>
        <w:t xml:space="preserve">BMC Cancer</w:t>
      </w:r>
      <w:r>
        <w:rPr>
          <w:b w:val="false"/>
          <w:bCs w:val="false"/>
          <w:i w:val="false"/>
          <w:iCs w:val="false"/>
          <w:color w:val="000000"/>
        </w:rPr>
        <w:t xml:space="preserve"> (Vol. 23, Issue 1). BioMed Central. </w:t>
      </w:r>
      <w:r>
        <w:rPr>
          <w:b w:val="false"/>
          <w:bCs w:val="false"/>
          <w:i w:val="false"/>
          <w:iCs w:val="false"/>
          <w:color w:val="000000"/>
        </w:rPr>
        <w:t xml:space="preserve">https://doi.org/10.1186/s12885-023-11325-z</w:t>
      </w:r>
      <w:r>
        <w:rPr>
          <w:b w:val="false"/>
          <w:bCs w:val="false"/>
          <w:i w:val="false"/>
          <w:iCs w:val="false"/>
          <w:color w:val="000000"/>
        </w:rPr>
        <w:t xml:space="preserve">
</w:t>
      </w:r>
      <w:bookmarkEnd w:id="1"/>
    </w:p>
    <w:p>
      <w:pPr>
        <w:pStyle w:val="JenniRefBody"/>
        <w:ind w:start="720" w:hanging="720"/>
      </w:pPr>
      <w:bookmarkStart w:name="94b963e98d3eb1eb9909e7a137838110" w:id="1"/>
      <w:r>
        <w:rPr>
          <w:b w:val="false"/>
          <w:bCs w:val="false"/>
          <w:i w:val="false"/>
          <w:iCs w:val="false"/>
          <w:color w:val="000000"/>
        </w:rPr>
        <w:t xml:space="preserve">  </w:t>
      </w:r>
      <w:r>
        <w:rPr>
          <w:b w:val="false"/>
          <w:bCs w:val="false"/>
          <w:i w:val="false"/>
          <w:iCs w:val="false"/>
          <w:color w:val="000000"/>
        </w:rPr>
        <w:t xml:space="preserve">Li, M., Shi, T., Ziems, C., Kan, M., Chen, S., Liu, Z., &amp; Yang, D. (2023, January 1). CoAnnotating: Uncertainty-Guided Work Allocation between Human and Large Language Models for Data Annotation. </w:t>
      </w:r>
      <w:r>
        <w:rPr>
          <w:b w:val="false"/>
          <w:bCs w:val="false"/>
          <w:i/>
          <w:iCs/>
          <w:color w:val="000000"/>
        </w:rPr>
        <w:t xml:space="preserve">Proceedings of the 2021 Conference on Empirical Methods in Natural Language Processing</w:t>
      </w:r>
      <w:r>
        <w:rPr>
          <w:b w:val="false"/>
          <w:bCs w:val="false"/>
          <w:i w:val="false"/>
          <w:iCs w:val="false"/>
          <w:color w:val="000000"/>
        </w:rPr>
        <w:t xml:space="preserve">. </w:t>
      </w:r>
      <w:r>
        <w:rPr>
          <w:b w:val="false"/>
          <w:bCs w:val="false"/>
          <w:i w:val="false"/>
          <w:iCs w:val="false"/>
          <w:color w:val="000000"/>
        </w:rPr>
        <w:t xml:space="preserve">https://doi.org/10.18653/v1/2023.emnlp-main.92</w:t>
      </w:r>
      <w:r>
        <w:rPr>
          <w:b w:val="false"/>
          <w:bCs w:val="false"/>
          <w:i w:val="false"/>
          <w:iCs w:val="false"/>
          <w:color w:val="000000"/>
        </w:rPr>
        <w:t xml:space="preserve">
</w:t>
      </w:r>
      <w:bookmarkEnd w:id="1"/>
    </w:p>
    <w:p>
      <w:pPr>
        <w:pStyle w:val="JenniRefBody"/>
        <w:ind w:start="720" w:hanging="720"/>
      </w:pPr>
      <w:bookmarkStart w:name="1a31324d31e0c78a79ac39fd8141ae99" w:id="1"/>
      <w:r>
        <w:rPr>
          <w:b w:val="false"/>
          <w:bCs w:val="false"/>
          <w:i w:val="false"/>
          <w:iCs w:val="false"/>
          <w:color w:val="000000"/>
        </w:rPr>
        <w:t xml:space="preserve">  </w:t>
      </w:r>
      <w:r>
        <w:rPr>
          <w:b w:val="false"/>
          <w:bCs w:val="false"/>
          <w:i w:val="false"/>
          <w:iCs w:val="false"/>
          <w:color w:val="000000"/>
        </w:rPr>
        <w:t xml:space="preserve">Liskowski, P., &amp; Jankowski, K. (2026a). Large-Scale Aspect-Based Sentiment Analysis with Reasoning-Infused LLMs.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https://doi.org/10.48550/arxiv.2601.03940</w:t>
      </w:r>
      <w:r>
        <w:rPr>
          <w:b w:val="false"/>
          <w:bCs w:val="false"/>
          <w:i w:val="false"/>
          <w:iCs w:val="false"/>
          <w:color w:val="000000"/>
        </w:rPr>
        <w:t xml:space="preserve">
</w:t>
      </w:r>
      <w:bookmarkEnd w:id="1"/>
    </w:p>
    <w:p>
      <w:pPr>
        <w:pStyle w:val="JenniRefBody"/>
        <w:ind w:start="720" w:hanging="720"/>
      </w:pPr>
      <w:bookmarkStart w:name="f34f4f85df8638448d4036da5b10242f" w:id="1"/>
      <w:r>
        <w:rPr>
          <w:b w:val="false"/>
          <w:bCs w:val="false"/>
          <w:i w:val="false"/>
          <w:iCs w:val="false"/>
          <w:color w:val="000000"/>
        </w:rPr>
        <w:t xml:space="preserve">  </w:t>
      </w:r>
      <w:r>
        <w:rPr>
          <w:b w:val="false"/>
          <w:bCs w:val="false"/>
          <w:i w:val="false"/>
          <w:iCs w:val="false"/>
          <w:color w:val="000000"/>
        </w:rPr>
        <w:t xml:space="preserve">Liskowski, P., &amp; Jankowski, K. (2026b). Large-Scale Aspect-Based Sentiment Analysis with Reasoning-Infused LLMs.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http://arxiv.org/abs/2601.03940</w:t>
      </w:r>
      <w:r>
        <w:rPr>
          <w:b w:val="false"/>
          <w:bCs w:val="false"/>
          <w:i w:val="false"/>
          <w:iCs w:val="false"/>
          <w:color w:val="000000"/>
        </w:rPr>
        <w:t xml:space="preserve">
</w:t>
      </w:r>
      <w:bookmarkEnd w:id="1"/>
    </w:p>
    <w:p>
      <w:pPr>
        <w:pStyle w:val="JenniRefBody"/>
        <w:ind w:start="720" w:hanging="720"/>
      </w:pPr>
      <w:bookmarkStart w:name="46fc5d74eec87cfda36284989423192f" w:id="1"/>
      <w:r>
        <w:rPr>
          <w:b w:val="false"/>
          <w:bCs w:val="false"/>
          <w:i w:val="false"/>
          <w:iCs w:val="false"/>
          <w:color w:val="000000"/>
        </w:rPr>
        <w:t xml:space="preserve">  </w:t>
      </w:r>
      <w:r>
        <w:rPr>
          <w:b w:val="false"/>
          <w:bCs w:val="false"/>
          <w:i w:val="false"/>
          <w:iCs w:val="false"/>
          <w:color w:val="000000"/>
        </w:rPr>
        <w:t xml:space="preserve">Löwe, B. (2022). Measuring the Agreement of Mathematical Peer Reviewers. </w:t>
      </w:r>
      <w:r>
        <w:rPr>
          <w:b w:val="false"/>
          <w:bCs w:val="false"/>
          <w:i/>
          <w:iCs/>
          <w:color w:val="000000"/>
        </w:rPr>
        <w:t xml:space="preserve">Axiomathes</w:t>
      </w:r>
      <w:r>
        <w:rPr>
          <w:b w:val="false"/>
          <w:bCs w:val="false"/>
          <w:i w:val="false"/>
          <w:iCs w:val="false"/>
          <w:color w:val="000000"/>
        </w:rPr>
        <w:t xml:space="preserve">, </w:t>
      </w:r>
      <w:r>
        <w:rPr>
          <w:b w:val="false"/>
          <w:bCs w:val="false"/>
          <w:i/>
          <w:iCs/>
          <w:color w:val="000000"/>
        </w:rPr>
        <w:t xml:space="preserve">32</w:t>
      </w:r>
      <w:r>
        <w:rPr>
          <w:b w:val="false"/>
          <w:bCs w:val="false"/>
          <w:i w:val="false"/>
          <w:iCs w:val="false"/>
          <w:color w:val="000000"/>
        </w:rPr>
        <w:t xml:space="preserve">, 1205–1219. </w:t>
      </w:r>
      <w:r>
        <w:rPr>
          <w:b w:val="false"/>
          <w:bCs w:val="false"/>
          <w:i w:val="false"/>
          <w:iCs w:val="false"/>
          <w:color w:val="000000"/>
        </w:rPr>
        <w:t xml:space="preserve">https://doi.org/10.1007/s10516-022-09647-x</w:t>
      </w:r>
      <w:r>
        <w:rPr>
          <w:b w:val="false"/>
          <w:bCs w:val="false"/>
          <w:i w:val="false"/>
          <w:iCs w:val="false"/>
          <w:color w:val="000000"/>
        </w:rPr>
        <w:t xml:space="preserve">
</w:t>
      </w:r>
      <w:bookmarkEnd w:id="1"/>
    </w:p>
    <w:p>
      <w:pPr>
        <w:pStyle w:val="JenniRefBody"/>
        <w:ind w:start="720" w:hanging="720"/>
      </w:pPr>
      <w:bookmarkStart w:name="c092e5204cd8ff5bc4fecd529128cca2" w:id="1"/>
      <w:r>
        <w:rPr>
          <w:b w:val="false"/>
          <w:bCs w:val="false"/>
          <w:i w:val="false"/>
          <w:iCs w:val="false"/>
          <w:color w:val="000000"/>
        </w:rPr>
        <w:t xml:space="preserve">  </w:t>
      </w:r>
      <w:r>
        <w:rPr>
          <w:b w:val="false"/>
          <w:bCs w:val="false"/>
          <w:i w:val="false"/>
          <w:iCs w:val="false"/>
          <w:color w:val="000000"/>
        </w:rPr>
        <w:t xml:space="preserve">Luo, K., Liu, Z., Zhang, P., Qian, H., Zhao, J., &amp; Liu, K. (2025). Does RAG Really Perform Bad For Long-Context Processing?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https://doi.org/10.48550/arxiv.2502.11444</w:t>
      </w:r>
      <w:r>
        <w:rPr>
          <w:b w:val="false"/>
          <w:bCs w:val="false"/>
          <w:i w:val="false"/>
          <w:iCs w:val="false"/>
          <w:color w:val="000000"/>
        </w:rPr>
        <w:t xml:space="preserve">
</w:t>
      </w:r>
      <w:bookmarkEnd w:id="1"/>
    </w:p>
    <w:p>
      <w:pPr>
        <w:pStyle w:val="JenniRefBody"/>
        <w:ind w:start="720" w:hanging="720"/>
      </w:pPr>
      <w:bookmarkStart w:name="e9fbc6df9a557fc593b0697431214283" w:id="1"/>
      <w:r>
        <w:rPr>
          <w:b w:val="false"/>
          <w:bCs w:val="false"/>
          <w:i w:val="false"/>
          <w:iCs w:val="false"/>
          <w:color w:val="000000"/>
        </w:rPr>
        <w:t xml:space="preserve">  </w:t>
      </w:r>
      <w:r>
        <w:rPr>
          <w:b w:val="false"/>
          <w:bCs w:val="false"/>
          <w:i w:val="false"/>
          <w:iCs w:val="false"/>
          <w:color w:val="000000"/>
        </w:rPr>
        <w:t xml:space="preserve">Marreddy, M., Oota, S. R., Chinni, V. C., Gupta, M., &amp; Flek, L. (2024). USDC: A Dataset of $\underline{U}$ser $\underline{S}$tance and   $\underline{D}$ogmatism in Long $\underline{C}$onversations.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https://doi.org/10.48550/arxiv.2406.16833</w:t>
      </w:r>
      <w:r>
        <w:rPr>
          <w:b w:val="false"/>
          <w:bCs w:val="false"/>
          <w:i w:val="false"/>
          <w:iCs w:val="false"/>
          <w:color w:val="000000"/>
        </w:rPr>
        <w:t xml:space="preserve">
</w:t>
      </w:r>
      <w:bookmarkEnd w:id="1"/>
    </w:p>
    <w:p>
      <w:pPr>
        <w:pStyle w:val="JenniRefBody"/>
        <w:ind w:start="720" w:hanging="720"/>
      </w:pPr>
      <w:bookmarkStart w:name="010e13e72316f4d534ccf8571f43a58c" w:id="1"/>
      <w:r>
        <w:rPr>
          <w:b w:val="false"/>
          <w:bCs w:val="false"/>
          <w:i w:val="false"/>
          <w:iCs w:val="false"/>
          <w:color w:val="000000"/>
        </w:rPr>
        <w:t xml:space="preserve">  </w:t>
      </w:r>
      <w:r>
        <w:rPr>
          <w:b w:val="false"/>
          <w:bCs w:val="false"/>
          <w:i w:val="false"/>
          <w:iCs w:val="false"/>
          <w:color w:val="000000"/>
        </w:rPr>
        <w:t xml:space="preserve">Marsdenia, &amp; Koestoer, R. H. S. (2023). A Sustainability Reporting Issue: A Comparative Review Between Indonesia and Nordic Country [Review of </w:t>
      </w:r>
      <w:r>
        <w:rPr>
          <w:b w:val="false"/>
          <w:bCs w:val="false"/>
          <w:i/>
          <w:iCs/>
          <w:color w:val="000000"/>
        </w:rPr>
        <w:t xml:space="preserve">A Sustainability Reporting Issue: A Comparative Review Between Indonesia and Nordic Country</w:t>
      </w:r>
      <w:r>
        <w:rPr>
          <w:b w:val="false"/>
          <w:bCs w:val="false"/>
          <w:i w:val="false"/>
          <w:iCs w:val="false"/>
          <w:color w:val="000000"/>
        </w:rPr>
        <w:t xml:space="preserve">]. </w:t>
      </w:r>
      <w:r>
        <w:rPr>
          <w:b w:val="false"/>
          <w:bCs w:val="false"/>
          <w:i/>
          <w:iCs/>
          <w:color w:val="000000"/>
        </w:rPr>
        <w:t xml:space="preserve">International Journal of Professional Business Review</w:t>
      </w:r>
      <w:r>
        <w:rPr>
          <w:b w:val="false"/>
          <w:bCs w:val="false"/>
          <w:i w:val="false"/>
          <w:iCs w:val="false"/>
          <w:color w:val="000000"/>
        </w:rPr>
        <w:t xml:space="preserve">, </w:t>
      </w:r>
      <w:r>
        <w:rPr>
          <w:b w:val="false"/>
          <w:bCs w:val="false"/>
          <w:i/>
          <w:iCs/>
          <w:color w:val="000000"/>
        </w:rPr>
        <w:t xml:space="preserve">8</w:t>
      </w:r>
      <w:r>
        <w:rPr>
          <w:b w:val="false"/>
          <w:bCs w:val="false"/>
          <w:i w:val="false"/>
          <w:iCs w:val="false"/>
          <w:color w:val="000000"/>
        </w:rPr>
        <w:t xml:space="preserve">(12). Tutor Treinamento e Desenvolvimento. </w:t>
      </w:r>
      <w:r>
        <w:rPr>
          <w:b w:val="false"/>
          <w:bCs w:val="false"/>
          <w:i w:val="false"/>
          <w:iCs w:val="false"/>
          <w:color w:val="000000"/>
        </w:rPr>
        <w:t xml:space="preserve">https://doi.org/10.26668/businessreview/2023.v8i12.4014</w:t>
      </w:r>
      <w:r>
        <w:rPr>
          <w:b w:val="false"/>
          <w:bCs w:val="false"/>
          <w:i w:val="false"/>
          <w:iCs w:val="false"/>
          <w:color w:val="000000"/>
        </w:rPr>
        <w:t xml:space="preserve">
</w:t>
      </w:r>
      <w:bookmarkEnd w:id="1"/>
    </w:p>
    <w:p>
      <w:pPr>
        <w:pStyle w:val="JenniRefBody"/>
        <w:ind w:start="720" w:hanging="720"/>
      </w:pPr>
      <w:bookmarkStart w:name="3d9b2d36c4a59dae9a2e8d15e1a96165" w:id="1"/>
      <w:r>
        <w:rPr>
          <w:b w:val="false"/>
          <w:bCs w:val="false"/>
          <w:i w:val="false"/>
          <w:iCs w:val="false"/>
          <w:color w:val="000000"/>
        </w:rPr>
        <w:t xml:space="preserve">  </w:t>
      </w:r>
      <w:r>
        <w:rPr>
          <w:b w:val="false"/>
          <w:bCs w:val="false"/>
          <w:i w:val="false"/>
          <w:iCs w:val="false"/>
          <w:color w:val="000000"/>
        </w:rPr>
        <w:t xml:space="preserve">Megahed, F. M., Chen, Y., Jones-Farmer, L. A., Lee, Y., Wang, J., &amp; Zwetsloot, I. M. (2025). Reliable Decision Support with LLMs: A Framework for Evaluating   Consistency in Binary Text Classification Applications.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https://doi.org/10.48550/arxiv.2505.14918</w:t>
      </w:r>
      <w:r>
        <w:rPr>
          <w:b w:val="false"/>
          <w:bCs w:val="false"/>
          <w:i w:val="false"/>
          <w:iCs w:val="false"/>
          <w:color w:val="000000"/>
        </w:rPr>
        <w:t xml:space="preserve">
</w:t>
      </w:r>
      <w:bookmarkEnd w:id="1"/>
    </w:p>
    <w:p>
      <w:pPr>
        <w:pStyle w:val="JenniRefBody"/>
        <w:ind w:start="720" w:hanging="720"/>
      </w:pPr>
      <w:bookmarkStart w:name="9340eb7bc7d3a8aaa8263e508a6422df" w:id="1"/>
      <w:r>
        <w:rPr>
          <w:b w:val="false"/>
          <w:bCs w:val="false"/>
          <w:i w:val="false"/>
          <w:iCs w:val="false"/>
          <w:color w:val="000000"/>
        </w:rPr>
        <w:t xml:space="preserve">  </w:t>
      </w:r>
      <w:r>
        <w:rPr>
          <w:b w:val="false"/>
          <w:bCs w:val="false"/>
          <w:i w:val="false"/>
          <w:iCs w:val="false"/>
          <w:color w:val="000000"/>
        </w:rPr>
        <w:t xml:space="preserve">Min, C., Mathew, R., Pan, J., Bansal, S., Keshavarzi, A., &amp; Kannan, A. V. (2025). Efficient Knowledge Graph Construction and Retrieval from Unstructured Text for Large-Scale RAG Systems.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https://doi.org/10.48550/arxiv.2507.03226</w:t>
      </w:r>
      <w:r>
        <w:rPr>
          <w:b w:val="false"/>
          <w:bCs w:val="false"/>
          <w:i w:val="false"/>
          <w:iCs w:val="false"/>
          <w:color w:val="000000"/>
        </w:rPr>
        <w:t xml:space="preserve">
</w:t>
      </w:r>
      <w:bookmarkEnd w:id="1"/>
    </w:p>
    <w:p>
      <w:pPr>
        <w:pStyle w:val="JenniRefBody"/>
        <w:ind w:start="720" w:hanging="720"/>
      </w:pPr>
      <w:bookmarkStart w:name="e35ee3285a5b81c209913e543e256138" w:id="1"/>
      <w:r>
        <w:rPr>
          <w:b w:val="false"/>
          <w:bCs w:val="false"/>
          <w:i w:val="false"/>
          <w:iCs w:val="false"/>
          <w:color w:val="000000"/>
        </w:rPr>
        <w:t xml:space="preserve">  </w:t>
      </w:r>
      <w:r>
        <w:rPr>
          <w:b w:val="false"/>
          <w:bCs w:val="false"/>
          <w:i w:val="false"/>
          <w:iCs w:val="false"/>
          <w:color w:val="000000"/>
        </w:rPr>
        <w:t xml:space="preserve">Moodaley, W., &amp; Telukdarie, A. (2023). A Conceptual Framework for Subdomain Specific Pre-Training of Large Language Models for Green Claim Detection. </w:t>
      </w:r>
      <w:r>
        <w:rPr>
          <w:b w:val="false"/>
          <w:bCs w:val="false"/>
          <w:i/>
          <w:iCs/>
          <w:color w:val="000000"/>
        </w:rPr>
        <w:t xml:space="preserve">European Journal of Sustainable Development</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(4), 319–319. </w:t>
      </w:r>
      <w:r>
        <w:rPr>
          <w:b w:val="false"/>
          <w:bCs w:val="false"/>
          <w:i w:val="false"/>
          <w:iCs w:val="false"/>
          <w:color w:val="000000"/>
        </w:rPr>
        <w:t xml:space="preserve">https://doi.org/10.14207/ejsd.2023.v12n4p319</w:t>
      </w:r>
      <w:r>
        <w:rPr>
          <w:b w:val="false"/>
          <w:bCs w:val="false"/>
          <w:i w:val="false"/>
          <w:iCs w:val="false"/>
          <w:color w:val="000000"/>
        </w:rPr>
        <w:t xml:space="preserve">
</w:t>
      </w:r>
      <w:bookmarkEnd w:id="1"/>
    </w:p>
    <w:p>
      <w:pPr>
        <w:pStyle w:val="JenniRefBody"/>
        <w:ind w:start="720" w:hanging="720"/>
      </w:pPr>
      <w:bookmarkStart w:name="c7884c30eb7ae2bc75a8d9016ec45e11" w:id="1"/>
      <w:r>
        <w:rPr>
          <w:b w:val="false"/>
          <w:bCs w:val="false"/>
          <w:i w:val="false"/>
          <w:iCs w:val="false"/>
          <w:color w:val="000000"/>
        </w:rPr>
        <w:t xml:space="preserve">  </w:t>
      </w:r>
      <w:r>
        <w:rPr>
          <w:b w:val="false"/>
          <w:bCs w:val="false"/>
          <w:i w:val="false"/>
          <w:iCs w:val="false"/>
          <w:color w:val="000000"/>
        </w:rPr>
        <w:t xml:space="preserve">Moundas, M., Schmidt, D., Buschmann, F., Henney, K., Schmidt, D., Buschmann, F., Meunier, R., Rohnert, H., Sommerlad, P., Stal, M., Chang, C.-H., Kayed, M., Moheb, R., Girgis, K., Shaalan, Chiticariu, L., Krishnamurthy, R., Li, Y., Reiss, F., … Schmidt, D. (2025). </w:t>
      </w:r>
      <w:r>
        <w:rPr>
          <w:b w:val="false"/>
          <w:bCs w:val="false"/>
          <w:i/>
          <w:iCs/>
          <w:color w:val="000000"/>
        </w:rPr>
        <w:t xml:space="preserve">Prompt Patterns for Structured Data Extraction from Unstructured Text</w:t>
      </w:r>
      <w:r>
        <w:rPr>
          <w:b w:val="false"/>
          <w:bCs w:val="false"/>
          <w:i w:val="false"/>
          <w:iCs w:val="false"/>
          <w:color w:val="000000"/>
        </w:rPr>
        <w:t xml:space="preserve">. </w:t>
      </w:r>
      <w:r>
        <w:rPr>
          <w:b w:val="false"/>
          <w:bCs w:val="false"/>
          <w:i w:val="false"/>
          <w:iCs w:val="false"/>
          <w:color w:val="000000"/>
        </w:rPr>
        <w:t xml:space="preserve">https://doi.org/10.64346/plop2024p24</w:t>
      </w:r>
      <w:r>
        <w:rPr>
          <w:b w:val="false"/>
          <w:bCs w:val="false"/>
          <w:i w:val="false"/>
          <w:iCs w:val="false"/>
          <w:color w:val="000000"/>
        </w:rPr>
        <w:t xml:space="preserve">
</w:t>
      </w:r>
      <w:bookmarkEnd w:id="1"/>
    </w:p>
    <w:p>
      <w:pPr>
        <w:pStyle w:val="JenniRefBody"/>
        <w:ind w:start="720" w:hanging="720"/>
      </w:pPr>
      <w:bookmarkStart w:name="ae2aa776e291dc7415d06128bd5d6ec4" w:id="1"/>
      <w:r>
        <w:rPr>
          <w:b w:val="false"/>
          <w:bCs w:val="false"/>
          <w:i w:val="false"/>
          <w:iCs w:val="false"/>
          <w:color w:val="000000"/>
        </w:rPr>
        <w:t xml:space="preserve">  </w:t>
      </w:r>
      <w:r>
        <w:rPr>
          <w:b w:val="false"/>
          <w:bCs w:val="false"/>
          <w:i w:val="false"/>
          <w:iCs w:val="false"/>
          <w:color w:val="000000"/>
        </w:rPr>
        <w:t xml:space="preserve">Mughal, N., Mujtaba, G., Shaikh, S., kumar, A. H., &amp; Daudpota, S. M. (2024). Comparative Analysis of Deep Natural Networks and Large Language Models for Aspect-Based Sentiment Analysis. </w:t>
      </w:r>
      <w:r>
        <w:rPr>
          <w:b w:val="false"/>
          <w:bCs w:val="false"/>
          <w:i/>
          <w:iCs/>
          <w:color w:val="000000"/>
        </w:rPr>
        <w:t xml:space="preserve">IEEE Access</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 60943–60959. </w:t>
      </w:r>
      <w:r>
        <w:rPr>
          <w:b w:val="false"/>
          <w:bCs w:val="false"/>
          <w:i w:val="false"/>
          <w:iCs w:val="false"/>
          <w:color w:val="000000"/>
        </w:rPr>
        <w:t xml:space="preserve">https://doi.org/10.1109/access.2024.3386969</w:t>
      </w:r>
      <w:r>
        <w:rPr>
          <w:b w:val="false"/>
          <w:bCs w:val="false"/>
          <w:i w:val="false"/>
          <w:iCs w:val="false"/>
          <w:color w:val="000000"/>
        </w:rPr>
        <w:t xml:space="preserve">
</w:t>
      </w:r>
      <w:bookmarkEnd w:id="1"/>
    </w:p>
    <w:p>
      <w:pPr>
        <w:pStyle w:val="JenniRefBody"/>
        <w:ind w:start="720" w:hanging="720"/>
      </w:pPr>
      <w:bookmarkStart w:name="7d90552b806bf73a472c565ab0c01df7" w:id="1"/>
      <w:r>
        <w:rPr>
          <w:b w:val="false"/>
          <w:bCs w:val="false"/>
          <w:i w:val="false"/>
          <w:iCs w:val="false"/>
          <w:color w:val="000000"/>
        </w:rPr>
        <w:t xml:space="preserve">  </w:t>
      </w:r>
      <w:r>
        <w:rPr>
          <w:b w:val="false"/>
          <w:bCs w:val="false"/>
          <w:i w:val="false"/>
          <w:iCs w:val="false"/>
          <w:color w:val="000000"/>
        </w:rPr>
        <w:t xml:space="preserve">Mukhopadhyay, S., Baral, R., Mahajan, N., Harish, S., RRV, A., Parmar, M., Nakamura, M., &amp; Baral, C. (2025). PHANTOM RECALL: When Familiar Puzzles Fool Smart Models.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https://doi.org/10.48550/arxiv.2510.11812</w:t>
      </w:r>
      <w:r>
        <w:rPr>
          <w:b w:val="false"/>
          <w:bCs w:val="false"/>
          <w:i w:val="false"/>
          <w:iCs w:val="false"/>
          <w:color w:val="000000"/>
        </w:rPr>
        <w:t xml:space="preserve">
</w:t>
      </w:r>
      <w:bookmarkEnd w:id="1"/>
    </w:p>
    <w:p>
      <w:pPr>
        <w:pStyle w:val="JenniRefBody"/>
        <w:ind w:start="720" w:hanging="720"/>
      </w:pPr>
      <w:bookmarkStart w:name="6800f5d82235d1eb99af3b81112f19d5" w:id="1"/>
      <w:r>
        <w:rPr>
          <w:b w:val="false"/>
          <w:bCs w:val="false"/>
          <w:i w:val="false"/>
          <w:iCs w:val="false"/>
          <w:color w:val="000000"/>
        </w:rPr>
        <w:t xml:space="preserve">  </w:t>
      </w:r>
      <w:r>
        <w:rPr>
          <w:b w:val="false"/>
          <w:bCs w:val="false"/>
          <w:i w:val="false"/>
          <w:iCs w:val="false"/>
          <w:color w:val="000000"/>
        </w:rPr>
        <w:t xml:space="preserve">Mutuvi, S. (2022). Epidemic Event Extraction in Multilingual and Low-resource Settings. </w:t>
      </w:r>
      <w:r>
        <w:rPr>
          <w:b w:val="false"/>
          <w:bCs w:val="false"/>
          <w:i/>
          <w:iCs/>
          <w:color w:val="000000"/>
        </w:rPr>
        <w:t xml:space="preserve">HAL (Le Centre Pour La Communication Scientifique Directe)</w:t>
      </w:r>
      <w:r>
        <w:rPr>
          <w:b w:val="false"/>
          <w:bCs w:val="false"/>
          <w:i w:val="false"/>
          <w:iCs w:val="false"/>
          <w:color w:val="000000"/>
        </w:rPr>
        <w:t xml:space="preserve">. </w:t>
      </w:r>
      <w:r>
        <w:rPr>
          <w:b w:val="false"/>
          <w:bCs w:val="false"/>
          <w:i w:val="false"/>
          <w:iCs w:val="false"/>
          <w:color w:val="000000"/>
        </w:rPr>
        <w:t xml:space="preserve">https://theses.hal.science/tel-03978917</w:t>
      </w:r>
      <w:r>
        <w:rPr>
          <w:b w:val="false"/>
          <w:bCs w:val="false"/>
          <w:i w:val="false"/>
          <w:iCs w:val="false"/>
          <w:color w:val="000000"/>
        </w:rPr>
        <w:t xml:space="preserve">
</w:t>
      </w:r>
      <w:bookmarkEnd w:id="1"/>
    </w:p>
    <w:p>
      <w:pPr>
        <w:pStyle w:val="JenniRefBody"/>
        <w:ind w:start="720" w:hanging="720"/>
      </w:pPr>
      <w:bookmarkStart w:name="c4cf05a005ebc484dded0dfecf8dbd85" w:id="1"/>
      <w:r>
        <w:rPr>
          <w:b w:val="false"/>
          <w:bCs w:val="false"/>
          <w:i w:val="false"/>
          <w:iCs w:val="false"/>
          <w:color w:val="000000"/>
        </w:rPr>
        <w:t xml:space="preserve">  </w:t>
      </w:r>
      <w:r>
        <w:rPr>
          <w:b w:val="false"/>
          <w:bCs w:val="false"/>
          <w:i w:val="false"/>
          <w:iCs w:val="false"/>
          <w:color w:val="000000"/>
        </w:rPr>
        <w:t xml:space="preserve">Neveditsin, N., Lingras, P., &amp; Mago, V. (2025). From Annotation to Adaptation: Metrics, Synthetic Data, and Aspect   Extraction for Aspect-Based Sentiment Analysis with Large Language Models.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https://doi.org/10.48550/arxiv.2503.20715</w:t>
      </w:r>
      <w:r>
        <w:rPr>
          <w:b w:val="false"/>
          <w:bCs w:val="false"/>
          <w:i w:val="false"/>
          <w:iCs w:val="false"/>
          <w:color w:val="000000"/>
        </w:rPr>
        <w:t xml:space="preserve">
</w:t>
      </w:r>
      <w:bookmarkEnd w:id="1"/>
    </w:p>
    <w:p>
      <w:pPr>
        <w:pStyle w:val="JenniRefBody"/>
        <w:ind w:start="720" w:hanging="720"/>
      </w:pPr>
      <w:bookmarkStart w:name="e67a00ce05b2aa00542ec30bc396898e" w:id="1"/>
      <w:r>
        <w:rPr>
          <w:b w:val="false"/>
          <w:bCs w:val="false"/>
          <w:i w:val="false"/>
          <w:iCs w:val="false"/>
          <w:color w:val="000000"/>
        </w:rPr>
        <w:t xml:space="preserve">  </w:t>
      </w:r>
      <w:r>
        <w:rPr>
          <w:b w:val="false"/>
          <w:bCs w:val="false"/>
          <w:i w:val="false"/>
          <w:iCs w:val="false"/>
          <w:color w:val="000000"/>
        </w:rPr>
        <w:t xml:space="preserve">Ni, J., Bingler, J., Senni, C. C., Kraus, M., Gostlow, G., Schimanski, T., Stammbach, D., Vaghefi, S. A., Wang, Q., Webersinke, N., Wekhof, T., Yu, T., &amp; Leippold, M. (2023). Paradigm Shift in Sustainability Disclosure Analysis: Empowering Stakeholders with Chatreport, a Language Model-Based Tool. </w:t>
      </w:r>
      <w:r>
        <w:rPr>
          <w:b w:val="false"/>
          <w:bCs w:val="false"/>
          <w:i/>
          <w:iCs/>
          <w:color w:val="000000"/>
        </w:rPr>
        <w:t xml:space="preserve">SSRN Electronic Journal</w:t>
      </w:r>
      <w:r>
        <w:rPr>
          <w:b w:val="false"/>
          <w:bCs w:val="false"/>
          <w:i w:val="false"/>
          <w:iCs w:val="false"/>
          <w:color w:val="000000"/>
        </w:rPr>
        <w:t xml:space="preserve">. </w:t>
      </w:r>
      <w:r>
        <w:rPr>
          <w:b w:val="false"/>
          <w:bCs w:val="false"/>
          <w:i w:val="false"/>
          <w:iCs w:val="false"/>
          <w:color w:val="000000"/>
        </w:rPr>
        <w:t xml:space="preserve">https://doi.org/10.2139/ssrn.4476733</w:t>
      </w:r>
      <w:r>
        <w:rPr>
          <w:b w:val="false"/>
          <w:bCs w:val="false"/>
          <w:i w:val="false"/>
          <w:iCs w:val="false"/>
          <w:color w:val="000000"/>
        </w:rPr>
        <w:t xml:space="preserve">
</w:t>
      </w:r>
      <w:bookmarkEnd w:id="1"/>
    </w:p>
    <w:p>
      <w:pPr>
        <w:pStyle w:val="JenniRefBody"/>
        <w:ind w:start="720" w:hanging="720"/>
      </w:pPr>
      <w:bookmarkStart w:name="8b8c49c633818f625ddbf8b561607bf8" w:id="1"/>
      <w:r>
        <w:rPr>
          <w:b w:val="false"/>
          <w:bCs w:val="false"/>
          <w:i w:val="false"/>
          <w:iCs w:val="false"/>
          <w:color w:val="000000"/>
        </w:rPr>
        <w:t xml:space="preserve">  </w:t>
      </w:r>
      <w:r>
        <w:rPr>
          <w:b w:val="false"/>
          <w:bCs w:val="false"/>
          <w:i w:val="false"/>
          <w:iCs w:val="false"/>
          <w:color w:val="000000"/>
        </w:rPr>
        <w:t xml:space="preserve">Norouzifar, A., Kourani, H., Dees, M., &amp; Aalst, W. M. P. van der. (2025). Integrating Domain Knowledge into Process Discovery Using Large Language Models.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https://doi.org/10.48550/arxiv.2510.07161</w:t>
      </w:r>
      <w:r>
        <w:rPr>
          <w:b w:val="false"/>
          <w:bCs w:val="false"/>
          <w:i w:val="false"/>
          <w:iCs w:val="false"/>
          <w:color w:val="000000"/>
        </w:rPr>
        <w:t xml:space="preserve">
</w:t>
      </w:r>
      <w:bookmarkEnd w:id="1"/>
    </w:p>
    <w:p>
      <w:pPr>
        <w:pStyle w:val="JenniRefBody"/>
        <w:ind w:start="720" w:hanging="720"/>
      </w:pPr>
      <w:bookmarkStart w:name="e8f9425e00387b8d2db4aee148ac7af6" w:id="1"/>
      <w:r>
        <w:rPr>
          <w:b w:val="false"/>
          <w:bCs w:val="false"/>
          <w:i w:val="false"/>
          <w:iCs w:val="false"/>
          <w:color w:val="000000"/>
        </w:rPr>
        <w:t xml:space="preserve">  </w:t>
      </w:r>
      <w:r>
        <w:rPr>
          <w:b w:val="false"/>
          <w:bCs w:val="false"/>
          <w:i w:val="false"/>
          <w:iCs w:val="false"/>
          <w:color w:val="000000"/>
        </w:rPr>
        <w:t xml:space="preserve">O’Dwyer, B., &amp; Unerman, J. (2020). Shifting the focus of sustainability accounting from impacts to risks and dependencies: researching the transformative potential of TCFD reporting. </w:t>
      </w:r>
      <w:r>
        <w:rPr>
          <w:b w:val="false"/>
          <w:bCs w:val="false"/>
          <w:i/>
          <w:iCs/>
          <w:color w:val="000000"/>
        </w:rPr>
        <w:t xml:space="preserve">Accounting Auditing &amp; Accountability Journal</w:t>
      </w:r>
      <w:r>
        <w:rPr>
          <w:b w:val="false"/>
          <w:bCs w:val="false"/>
          <w:i w:val="false"/>
          <w:iCs w:val="false"/>
          <w:color w:val="000000"/>
        </w:rPr>
        <w:t xml:space="preserve">, </w:t>
      </w:r>
      <w:r>
        <w:rPr>
          <w:b w:val="false"/>
          <w:bCs w:val="false"/>
          <w:i/>
          <w:iCs/>
          <w:color w:val="000000"/>
        </w:rPr>
        <w:t xml:space="preserve">33</w:t>
      </w:r>
      <w:r>
        <w:rPr>
          <w:b w:val="false"/>
          <w:bCs w:val="false"/>
          <w:i w:val="false"/>
          <w:iCs w:val="false"/>
          <w:color w:val="000000"/>
        </w:rPr>
        <w:t xml:space="preserve">(5), 1113–1141. </w:t>
      </w:r>
      <w:r>
        <w:rPr>
          <w:b w:val="false"/>
          <w:bCs w:val="false"/>
          <w:i w:val="false"/>
          <w:iCs w:val="false"/>
          <w:color w:val="000000"/>
        </w:rPr>
        <w:t xml:space="preserve">https://doi.org/10.1108/aaaj-02-2020-4445</w:t>
      </w:r>
      <w:r>
        <w:rPr>
          <w:b w:val="false"/>
          <w:bCs w:val="false"/>
          <w:i w:val="false"/>
          <w:iCs w:val="false"/>
          <w:color w:val="000000"/>
        </w:rPr>
        <w:t xml:space="preserve">
</w:t>
      </w:r>
      <w:bookmarkEnd w:id="1"/>
    </w:p>
    <w:p>
      <w:pPr>
        <w:pStyle w:val="JenniRefBody"/>
        <w:ind w:start="720" w:hanging="720"/>
      </w:pPr>
      <w:bookmarkStart w:name="2746d04fe22cd320f04ab163c8d41fd7" w:id="1"/>
      <w:r>
        <w:rPr>
          <w:b w:val="false"/>
          <w:bCs w:val="false"/>
          <w:i w:val="false"/>
          <w:iCs w:val="false"/>
          <w:color w:val="000000"/>
        </w:rPr>
        <w:t xml:space="preserve">  </w:t>
      </w:r>
      <w:r>
        <w:rPr>
          <w:b w:val="false"/>
          <w:bCs w:val="false"/>
          <w:i w:val="false"/>
          <w:iCs w:val="false"/>
          <w:color w:val="000000"/>
        </w:rPr>
        <w:t xml:space="preserve">Ong, K., Mao, R., Satapathy, R., Filho, R. S., Cambria, E., Sulaeman, J., &amp; Mengaldo, G. (2024). Explainable natural language processing for corporate sustainability analysis. </w:t>
      </w:r>
      <w:r>
        <w:rPr>
          <w:b w:val="false"/>
          <w:bCs w:val="false"/>
          <w:i/>
          <w:iCs/>
          <w:color w:val="000000"/>
        </w:rPr>
        <w:t xml:space="preserve">Information Fusion</w:t>
      </w:r>
      <w:r>
        <w:rPr>
          <w:b w:val="false"/>
          <w:bCs w:val="false"/>
          <w:i w:val="false"/>
          <w:iCs w:val="false"/>
          <w:color w:val="000000"/>
        </w:rPr>
        <w:t xml:space="preserve">, </w:t>
      </w:r>
      <w:r>
        <w:rPr>
          <w:b w:val="false"/>
          <w:bCs w:val="false"/>
          <w:i/>
          <w:iCs/>
          <w:color w:val="000000"/>
        </w:rPr>
        <w:t xml:space="preserve">115</w:t>
      </w:r>
      <w:r>
        <w:rPr>
          <w:b w:val="false"/>
          <w:bCs w:val="false"/>
          <w:i w:val="false"/>
          <w:iCs w:val="false"/>
          <w:color w:val="000000"/>
        </w:rPr>
        <w:t xml:space="preserve">, 102726–102726. </w:t>
      </w:r>
      <w:r>
        <w:rPr>
          <w:b w:val="false"/>
          <w:bCs w:val="false"/>
          <w:i w:val="false"/>
          <w:iCs w:val="false"/>
          <w:color w:val="000000"/>
        </w:rPr>
        <w:t xml:space="preserve">https://doi.org/10.1016/j.inffus.2024.102726</w:t>
      </w:r>
      <w:r>
        <w:rPr>
          <w:b w:val="false"/>
          <w:bCs w:val="false"/>
          <w:i w:val="false"/>
          <w:iCs w:val="false"/>
          <w:color w:val="000000"/>
        </w:rPr>
        <w:t xml:space="preserve">
</w:t>
      </w:r>
      <w:bookmarkEnd w:id="1"/>
    </w:p>
    <w:p>
      <w:pPr>
        <w:pStyle w:val="JenniRefBody"/>
        <w:ind w:start="720" w:hanging="720"/>
      </w:pPr>
      <w:bookmarkStart w:name="0a5de439d9380d942fe2af426399f52f" w:id="1"/>
      <w:r>
        <w:rPr>
          <w:b w:val="false"/>
          <w:bCs w:val="false"/>
          <w:i w:val="false"/>
          <w:iCs w:val="false"/>
          <w:color w:val="000000"/>
        </w:rPr>
        <w:t xml:space="preserve">  </w:t>
      </w:r>
      <w:r>
        <w:rPr>
          <w:b w:val="false"/>
          <w:bCs w:val="false"/>
          <w:i w:val="false"/>
          <w:iCs w:val="false"/>
          <w:color w:val="000000"/>
        </w:rPr>
        <w:t xml:space="preserve">Ong, K., Mao, R., Varshney, D., Cambria, E., &amp; Mengaldo, G. (2025a). </w:t>
      </w:r>
      <w:r>
        <w:rPr>
          <w:b w:val="false"/>
          <w:bCs w:val="false"/>
          <w:i/>
          <w:iCs/>
          <w:color w:val="000000"/>
        </w:rPr>
        <w:t xml:space="preserve">Towards Robust ESG Analysis Against Greenwashing Risks: Aspect-Action Analysis with Cross-Category Generalization</w:t>
      </w:r>
      <w:r>
        <w:rPr>
          <w:b w:val="false"/>
          <w:bCs w:val="false"/>
          <w:i w:val="false"/>
          <w:iCs w:val="false"/>
          <w:color w:val="000000"/>
        </w:rPr>
        <w:t xml:space="preserve">. 14854–14879. </w:t>
      </w:r>
      <w:r>
        <w:rPr>
          <w:b w:val="false"/>
          <w:bCs w:val="false"/>
          <w:i w:val="false"/>
          <w:iCs w:val="false"/>
          <w:color w:val="000000"/>
        </w:rPr>
        <w:t xml:space="preserve">https://doi.org/10.18653/v1/2025.acl-long.723</w:t>
      </w:r>
      <w:r>
        <w:rPr>
          <w:b w:val="false"/>
          <w:bCs w:val="false"/>
          <w:i w:val="false"/>
          <w:iCs w:val="false"/>
          <w:color w:val="000000"/>
        </w:rPr>
        <w:t xml:space="preserve">
</w:t>
      </w:r>
      <w:bookmarkEnd w:id="1"/>
    </w:p>
    <w:p>
      <w:pPr>
        <w:pStyle w:val="JenniRefBody"/>
        <w:ind w:start="720" w:hanging="720"/>
      </w:pPr>
      <w:bookmarkStart w:name="369a0b6318f888c954108f10ed06563f" w:id="1"/>
      <w:r>
        <w:rPr>
          <w:b w:val="false"/>
          <w:bCs w:val="false"/>
          <w:i w:val="false"/>
          <w:iCs w:val="false"/>
          <w:color w:val="000000"/>
        </w:rPr>
        <w:t xml:space="preserve">  </w:t>
      </w:r>
      <w:r>
        <w:rPr>
          <w:b w:val="false"/>
          <w:bCs w:val="false"/>
          <w:i w:val="false"/>
          <w:iCs w:val="false"/>
          <w:color w:val="000000"/>
        </w:rPr>
        <w:t xml:space="preserve">Ong, K., Mao, R., Varshney, D., Cambria, E., &amp; Mengaldo, G. (2025b). Towards Robust ESG Analysis Against Greenwashing Risks: Aspect-Action Analysis with Cross-Category Generalization. In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https://doi.org/10.48550/arxiv.2502.15821</w:t>
      </w:r>
      <w:r>
        <w:rPr>
          <w:b w:val="false"/>
          <w:bCs w:val="false"/>
          <w:i w:val="false"/>
          <w:iCs w:val="false"/>
          <w:color w:val="000000"/>
        </w:rPr>
        <w:t xml:space="preserve">
</w:t>
      </w:r>
      <w:bookmarkEnd w:id="1"/>
    </w:p>
    <w:p>
      <w:pPr>
        <w:pStyle w:val="JenniRefBody"/>
        <w:ind w:start="720" w:hanging="720"/>
      </w:pPr>
      <w:bookmarkStart w:name="8fec47606c51e7e887bc3a227c24ae20" w:id="1"/>
      <w:r>
        <w:rPr>
          <w:b w:val="false"/>
          <w:bCs w:val="false"/>
          <w:i w:val="false"/>
          <w:iCs w:val="false"/>
          <w:color w:val="000000"/>
        </w:rPr>
        <w:t xml:space="preserve">  </w:t>
      </w:r>
      <w:r>
        <w:rPr>
          <w:b w:val="false"/>
          <w:bCs w:val="false"/>
          <w:i w:val="false"/>
          <w:iCs w:val="false"/>
          <w:color w:val="000000"/>
        </w:rPr>
        <w:t xml:space="preserve">Ong, K., Mao, R., Xing, F., Satapathy, R., Sulaeman, J., Cambria, E., &amp; Mengaldo, G. (2025). ESGSenticNet: A Neurosymbolic Knowledge Base for Corporate   Sustainability Analysis.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https://doi.org/10.48550/arxiv.2501.15720</w:t>
      </w:r>
      <w:r>
        <w:rPr>
          <w:b w:val="false"/>
          <w:bCs w:val="false"/>
          <w:i w:val="false"/>
          <w:iCs w:val="false"/>
          <w:color w:val="000000"/>
        </w:rPr>
        <w:t xml:space="preserve">
</w:t>
      </w:r>
      <w:bookmarkEnd w:id="1"/>
    </w:p>
    <w:p>
      <w:pPr>
        <w:pStyle w:val="JenniRefBody"/>
        <w:ind w:start="720" w:hanging="720"/>
      </w:pPr>
      <w:bookmarkStart w:name="954985f07ecce1814f8b02db03cc6058" w:id="1"/>
      <w:r>
        <w:rPr>
          <w:b w:val="false"/>
          <w:bCs w:val="false"/>
          <w:i w:val="false"/>
          <w:iCs w:val="false"/>
          <w:color w:val="000000"/>
        </w:rPr>
        <w:t xml:space="preserve">  </w:t>
      </w:r>
      <w:r>
        <w:rPr>
          <w:b w:val="false"/>
          <w:bCs w:val="false"/>
          <w:i w:val="false"/>
          <w:iCs w:val="false"/>
          <w:color w:val="000000"/>
        </w:rPr>
        <w:t xml:space="preserve">Pal, N. R. (2020). In Search of Trustworthy and Transparent Intelligent Systems With Human-Like Cognitive and Reasoning Capabilities. </w:t>
      </w:r>
      <w:r>
        <w:rPr>
          <w:b w:val="false"/>
          <w:bCs w:val="false"/>
          <w:i/>
          <w:iCs/>
          <w:color w:val="000000"/>
        </w:rPr>
        <w:t xml:space="preserve">Frontiers in Robotics and AI</w:t>
      </w:r>
      <w:r>
        <w:rPr>
          <w:b w:val="false"/>
          <w:bCs w:val="false"/>
          <w:i w:val="false"/>
          <w:iCs w:val="false"/>
          <w:color w:val="000000"/>
        </w:rPr>
        <w:t xml:space="preserve">, </w:t>
      </w:r>
      <w:r>
        <w:rPr>
          <w:b w:val="false"/>
          <w:bCs w:val="false"/>
          <w:i/>
          <w:iCs/>
          <w:color w:val="000000"/>
        </w:rPr>
        <w:t xml:space="preserve">7</w:t>
      </w:r>
      <w:r>
        <w:rPr>
          <w:b w:val="false"/>
          <w:bCs w:val="false"/>
          <w:i w:val="false"/>
          <w:iCs w:val="false"/>
          <w:color w:val="000000"/>
        </w:rPr>
        <w:t xml:space="preserve">. </w:t>
      </w:r>
      <w:r>
        <w:rPr>
          <w:b w:val="false"/>
          <w:bCs w:val="false"/>
          <w:i w:val="false"/>
          <w:iCs w:val="false"/>
          <w:color w:val="000000"/>
        </w:rPr>
        <w:t xml:space="preserve">https://doi.org/10.3389/frobt.2020.00076</w:t>
      </w:r>
      <w:r>
        <w:rPr>
          <w:b w:val="false"/>
          <w:bCs w:val="false"/>
          <w:i w:val="false"/>
          <w:iCs w:val="false"/>
          <w:color w:val="000000"/>
        </w:rPr>
        <w:t xml:space="preserve">
</w:t>
      </w:r>
      <w:bookmarkEnd w:id="1"/>
    </w:p>
    <w:p>
      <w:pPr>
        <w:pStyle w:val="JenniRefBody"/>
        <w:ind w:start="720" w:hanging="720"/>
      </w:pPr>
      <w:bookmarkStart w:name="7180906d75ec2496fb04242ed7ad1ca4" w:id="1"/>
      <w:r>
        <w:rPr>
          <w:b w:val="false"/>
          <w:bCs w:val="false"/>
          <w:i w:val="false"/>
          <w:iCs w:val="false"/>
          <w:color w:val="000000"/>
        </w:rPr>
        <w:t xml:space="preserve">  </w:t>
      </w:r>
      <w:r>
        <w:rPr>
          <w:b w:val="false"/>
          <w:bCs w:val="false"/>
          <w:i w:val="false"/>
          <w:iCs w:val="false"/>
          <w:color w:val="000000"/>
        </w:rPr>
        <w:t xml:space="preserve">Pandit, T., Raval, M., &amp; Upadhyay, D. (2025). Multi-Domain ABSA Conversation Dataset Generation via LLMs for   Real-World Evaluation and Model Comparison.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https://doi.org/10.48550/arxiv.2505.24701</w:t>
      </w:r>
      <w:r>
        <w:rPr>
          <w:b w:val="false"/>
          <w:bCs w:val="false"/>
          <w:i w:val="false"/>
          <w:iCs w:val="false"/>
          <w:color w:val="000000"/>
        </w:rPr>
        <w:t xml:space="preserve">
</w:t>
      </w:r>
      <w:bookmarkEnd w:id="1"/>
    </w:p>
    <w:p>
      <w:pPr>
        <w:pStyle w:val="JenniRefBody"/>
        <w:ind w:start="720" w:hanging="720"/>
      </w:pPr>
      <w:bookmarkStart w:name="495d5c5ebfb9364d936e5019a0e36054" w:id="1"/>
      <w:r>
        <w:rPr>
          <w:b w:val="false"/>
          <w:bCs w:val="false"/>
          <w:i w:val="false"/>
          <w:iCs w:val="false"/>
          <w:color w:val="000000"/>
        </w:rPr>
        <w:t xml:space="preserve">  </w:t>
      </w:r>
      <w:r>
        <w:rPr>
          <w:b w:val="false"/>
          <w:bCs w:val="false"/>
          <w:i w:val="false"/>
          <w:iCs w:val="false"/>
          <w:color w:val="000000"/>
        </w:rPr>
        <w:t xml:space="preserve">Parker, M., Anderson, C., Stone, C., &amp; Oh, Y. (2024). A Large Language Model Approach to Educational Survey Feedback Analysis. </w:t>
      </w:r>
      <w:r>
        <w:rPr>
          <w:b w:val="false"/>
          <w:bCs w:val="false"/>
          <w:i/>
          <w:iCs/>
          <w:color w:val="000000"/>
        </w:rPr>
        <w:t xml:space="preserve">International Journal of Artificial Intelligence in Education</w:t>
      </w:r>
      <w:r>
        <w:rPr>
          <w:b w:val="false"/>
          <w:bCs w:val="false"/>
          <w:i w:val="false"/>
          <w:iCs w:val="false"/>
          <w:color w:val="000000"/>
        </w:rPr>
        <w:t xml:space="preserve">. </w:t>
      </w:r>
      <w:r>
        <w:rPr>
          <w:b w:val="false"/>
          <w:bCs w:val="false"/>
          <w:i w:val="false"/>
          <w:iCs w:val="false"/>
          <w:color w:val="000000"/>
        </w:rPr>
        <w:t xml:space="preserve">https://doi.org/10.1007/s40593-024-00414-0</w:t>
      </w:r>
      <w:r>
        <w:rPr>
          <w:b w:val="false"/>
          <w:bCs w:val="false"/>
          <w:i w:val="false"/>
          <w:iCs w:val="false"/>
          <w:color w:val="000000"/>
        </w:rPr>
        <w:t xml:space="preserve">
</w:t>
      </w:r>
      <w:bookmarkEnd w:id="1"/>
    </w:p>
    <w:p>
      <w:pPr>
        <w:pStyle w:val="JenniRefBody"/>
        <w:ind w:start="720" w:hanging="720"/>
      </w:pPr>
      <w:bookmarkStart w:name="259be49905b3d7294bb052276fba4ff5" w:id="1"/>
      <w:r>
        <w:rPr>
          <w:b w:val="false"/>
          <w:bCs w:val="false"/>
          <w:i w:val="false"/>
          <w:iCs w:val="false"/>
          <w:color w:val="000000"/>
        </w:rPr>
        <w:t xml:space="preserve">  </w:t>
      </w:r>
      <w:r>
        <w:rPr>
          <w:b w:val="false"/>
          <w:bCs w:val="false"/>
          <w:i w:val="false"/>
          <w:iCs w:val="false"/>
          <w:color w:val="000000"/>
        </w:rPr>
        <w:t xml:space="preserve">Pavlova, M., Casey, B., &amp; Wang, M.-Z. (2024). ESG-FTSE: A corpus of news articles with ESG relevance labels and use   cases.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https://doi.org/10.48550/arxiv.2405.20218</w:t>
      </w:r>
      <w:r>
        <w:rPr>
          <w:b w:val="false"/>
          <w:bCs w:val="false"/>
          <w:i w:val="false"/>
          <w:iCs w:val="false"/>
          <w:color w:val="000000"/>
        </w:rPr>
        <w:t xml:space="preserve">
</w:t>
      </w:r>
      <w:bookmarkEnd w:id="1"/>
    </w:p>
    <w:p>
      <w:pPr>
        <w:pStyle w:val="JenniRefBody"/>
        <w:ind w:start="720" w:hanging="720"/>
      </w:pPr>
      <w:bookmarkStart w:name="aea3259659cf5d2e5348a7f53a1e6ebd" w:id="1"/>
      <w:r>
        <w:rPr>
          <w:b w:val="false"/>
          <w:bCs w:val="false"/>
          <w:i w:val="false"/>
          <w:iCs w:val="false"/>
          <w:color w:val="000000"/>
        </w:rPr>
        <w:t xml:space="preserve">  </w:t>
      </w:r>
      <w:r>
        <w:rPr>
          <w:b w:val="false"/>
          <w:bCs w:val="false"/>
          <w:i w:val="false"/>
          <w:iCs w:val="false"/>
          <w:color w:val="000000"/>
        </w:rPr>
        <w:t xml:space="preserve">Pontiki, M., Galanis, D., Papageorgiou, H., Androutsopoulos, I., Manandhar, S., AL-Smadi, M., Al‐Ayyoub, M., Zhao, Y., Qin, B., Clercq, O. D., Hoste, V., Apidianaki, M., Tannier, X., Loukachevitch, N., Kotelnikov, E., Bel, N., Jiménez-Zafra, S. M., &amp; Eryiğit, G. (2016). </w:t>
      </w:r>
      <w:r>
        <w:rPr>
          <w:b w:val="false"/>
          <w:bCs w:val="false"/>
          <w:i/>
          <w:iCs/>
          <w:color w:val="000000"/>
        </w:rPr>
        <w:t xml:space="preserve">SemEval-2016 Task 5: Aspect Based Sentiment Analysis</w:t>
      </w:r>
      <w:r>
        <w:rPr>
          <w:b w:val="false"/>
          <w:bCs w:val="false"/>
          <w:i w:val="false"/>
          <w:iCs w:val="false"/>
          <w:color w:val="000000"/>
        </w:rPr>
        <w:t xml:space="preserve">. </w:t>
      </w:r>
      <w:r>
        <w:rPr>
          <w:b w:val="false"/>
          <w:bCs w:val="false"/>
          <w:i w:val="false"/>
          <w:iCs w:val="false"/>
          <w:color w:val="000000"/>
        </w:rPr>
        <w:t xml:space="preserve">https://doi.org/10.18653/v1/s16-1002</w:t>
      </w:r>
      <w:r>
        <w:rPr>
          <w:b w:val="false"/>
          <w:bCs w:val="false"/>
          <w:i w:val="false"/>
          <w:iCs w:val="false"/>
          <w:color w:val="000000"/>
        </w:rPr>
        <w:t xml:space="preserve">
</w:t>
      </w:r>
      <w:bookmarkEnd w:id="1"/>
    </w:p>
    <w:p>
      <w:pPr>
        <w:pStyle w:val="JenniRefBody"/>
        <w:ind w:start="720" w:hanging="720"/>
      </w:pPr>
      <w:bookmarkStart w:name="e8704bf1f9af6af0061e214c0ea8b8e9" w:id="1"/>
      <w:r>
        <w:rPr>
          <w:b w:val="false"/>
          <w:bCs w:val="false"/>
          <w:i w:val="false"/>
          <w:iCs w:val="false"/>
          <w:color w:val="000000"/>
        </w:rPr>
        <w:t xml:space="preserve">  </w:t>
      </w:r>
      <w:r>
        <w:rPr>
          <w:b w:val="false"/>
          <w:bCs w:val="false"/>
          <w:i w:val="false"/>
          <w:iCs w:val="false"/>
          <w:color w:val="000000"/>
        </w:rPr>
        <w:t xml:space="preserve">Pontiki, M., Galanis, D., Pavlopoulos, J., Papageorgiou, H., Androutsopoulos, I., &amp; Manandhar, S. (2014). </w:t>
      </w:r>
      <w:r>
        <w:rPr>
          <w:b w:val="false"/>
          <w:bCs w:val="false"/>
          <w:i/>
          <w:iCs/>
          <w:color w:val="000000"/>
        </w:rPr>
        <w:t xml:space="preserve">SemEval-2014 Task 4: Aspect Based Sentiment Analysis</w:t>
      </w:r>
      <w:r>
        <w:rPr>
          <w:b w:val="false"/>
          <w:bCs w:val="false"/>
          <w:i w:val="false"/>
          <w:iCs w:val="false"/>
          <w:color w:val="000000"/>
        </w:rPr>
        <w:t xml:space="preserve">. 27–35. </w:t>
      </w:r>
      <w:r>
        <w:rPr>
          <w:b w:val="false"/>
          <w:bCs w:val="false"/>
          <w:i w:val="false"/>
          <w:iCs w:val="false"/>
          <w:color w:val="000000"/>
        </w:rPr>
        <w:t xml:space="preserve">https://doi.org/10.3115/v1/s14-2004</w:t>
      </w:r>
      <w:r>
        <w:rPr>
          <w:b w:val="false"/>
          <w:bCs w:val="false"/>
          <w:i w:val="false"/>
          <w:iCs w:val="false"/>
          <w:color w:val="000000"/>
        </w:rPr>
        <w:t xml:space="preserve">
</w:t>
      </w:r>
      <w:bookmarkEnd w:id="1"/>
    </w:p>
    <w:p>
      <w:pPr>
        <w:pStyle w:val="JenniRefBody"/>
        <w:ind w:start="720" w:hanging="720"/>
      </w:pPr>
      <w:bookmarkStart w:name="7e9231abd9cdd7d8809dd4a1ab56576f" w:id="1"/>
      <w:r>
        <w:rPr>
          <w:b w:val="false"/>
          <w:bCs w:val="false"/>
          <w:i w:val="false"/>
          <w:iCs w:val="false"/>
          <w:color w:val="000000"/>
        </w:rPr>
        <w:t xml:space="preserve">  </w:t>
      </w:r>
      <w:r>
        <w:rPr>
          <w:b w:val="false"/>
          <w:bCs w:val="false"/>
          <w:i w:val="false"/>
          <w:iCs w:val="false"/>
          <w:color w:val="000000"/>
        </w:rPr>
        <w:t xml:space="preserve">Quilodrán-Casas, C., Waite, C., Alhadeff, N., Dsouza, D., Hughes, C., Kunstel-Tabet, L., &amp; Gilbert, A. (2024). Towards unearthing neglected climate innovations from scientific   literature using Large Language Models.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https://doi.org/10.48550/arxiv.2411.10055</w:t>
      </w:r>
      <w:r>
        <w:rPr>
          <w:b w:val="false"/>
          <w:bCs w:val="false"/>
          <w:i w:val="false"/>
          <w:iCs w:val="false"/>
          <w:color w:val="000000"/>
        </w:rPr>
        <w:t xml:space="preserve">
</w:t>
      </w:r>
      <w:bookmarkEnd w:id="1"/>
    </w:p>
    <w:p>
      <w:pPr>
        <w:pStyle w:val="JenniRefBody"/>
        <w:ind w:start="720" w:hanging="720"/>
      </w:pPr>
      <w:bookmarkStart w:name="3a75aeb700a7767f71704660c5171118" w:id="1"/>
      <w:r>
        <w:rPr>
          <w:b w:val="false"/>
          <w:bCs w:val="false"/>
          <w:i w:val="false"/>
          <w:iCs w:val="false"/>
          <w:color w:val="000000"/>
        </w:rPr>
        <w:t xml:space="preserve">  </w:t>
      </w:r>
      <w:r>
        <w:rPr>
          <w:b w:val="false"/>
          <w:bCs w:val="false"/>
          <w:i w:val="false"/>
          <w:iCs w:val="false"/>
          <w:color w:val="000000"/>
        </w:rPr>
        <w:t xml:space="preserve">Qureshi, O. U. R. (2026). AI-ENABLED ESG INTELLIGENCE: A SYSTEMATIC REVIEW OF NLP AND PREDICTIVE ANALYTICS FRAMEWORKS FOR AUTOMATED SUSTAINABILITY REPORTING (2020–2025). </w:t>
      </w:r>
      <w:r>
        <w:rPr>
          <w:b w:val="false"/>
          <w:bCs w:val="false"/>
          <w:i/>
          <w:iCs/>
          <w:color w:val="000000"/>
        </w:rPr>
        <w:t xml:space="preserve">Veredas Do Direito Direito Ambiental e Desenvolvimento Sustentável</w:t>
      </w:r>
      <w:r>
        <w:rPr>
          <w:b w:val="false"/>
          <w:bCs w:val="false"/>
          <w:i w:val="false"/>
          <w:iCs w:val="false"/>
          <w:color w:val="000000"/>
        </w:rPr>
        <w:t xml:space="preserve">, </w:t>
      </w:r>
      <w:r>
        <w:rPr>
          <w:b w:val="false"/>
          <w:bCs w:val="false"/>
          <w:i/>
          <w:iCs/>
          <w:color w:val="000000"/>
        </w:rPr>
        <w:t xml:space="preserve">23</w:t>
      </w:r>
      <w:r>
        <w:rPr>
          <w:b w:val="false"/>
          <w:bCs w:val="false"/>
          <w:i w:val="false"/>
          <w:iCs w:val="false"/>
          <w:color w:val="000000"/>
        </w:rPr>
        <w:t xml:space="preserve">(5). </w:t>
      </w:r>
      <w:r>
        <w:rPr>
          <w:b w:val="false"/>
          <w:bCs w:val="false"/>
          <w:i w:val="false"/>
          <w:iCs w:val="false"/>
          <w:color w:val="000000"/>
        </w:rPr>
        <w:t xml:space="preserve">https://doi.org/10.18623/rvd.v23.5225</w:t>
      </w:r>
      <w:r>
        <w:rPr>
          <w:b w:val="false"/>
          <w:bCs w:val="false"/>
          <w:i w:val="false"/>
          <w:iCs w:val="false"/>
          <w:color w:val="000000"/>
        </w:rPr>
        <w:t xml:space="preserve">
</w:t>
      </w:r>
      <w:bookmarkEnd w:id="1"/>
    </w:p>
    <w:p>
      <w:pPr>
        <w:pStyle w:val="JenniRefBody"/>
        <w:ind w:start="720" w:hanging="720"/>
      </w:pPr>
      <w:bookmarkStart w:name="f5e5ac991ffec5f2c1f5ffc1159164db" w:id="1"/>
      <w:r>
        <w:rPr>
          <w:b w:val="false"/>
          <w:bCs w:val="false"/>
          <w:i w:val="false"/>
          <w:iCs w:val="false"/>
          <w:color w:val="000000"/>
        </w:rPr>
        <w:t xml:space="preserve">  </w:t>
      </w:r>
      <w:r>
        <w:rPr>
          <w:b w:val="false"/>
          <w:bCs w:val="false"/>
          <w:i w:val="false"/>
          <w:iCs w:val="false"/>
          <w:color w:val="000000"/>
        </w:rPr>
        <w:t xml:space="preserve">Razook, C., &amp; Savas, L. E. (2016). </w:t>
      </w:r>
      <w:r>
        <w:rPr>
          <w:b w:val="false"/>
          <w:bCs w:val="false"/>
          <w:i/>
          <w:iCs/>
          <w:color w:val="000000"/>
        </w:rPr>
        <w:t xml:space="preserve">Comply or explain, disclosure statement : how to implement the OJK-corporate governance guideline for public companies</w:t>
      </w:r>
      <w:r>
        <w:rPr>
          <w:b w:val="false"/>
          <w:bCs w:val="false"/>
          <w:i w:val="false"/>
          <w:iCs w:val="false"/>
          <w:color w:val="000000"/>
        </w:rPr>
        <w:t xml:space="preserve">. 1–4. </w:t>
      </w:r>
      <w:r>
        <w:rPr>
          <w:b w:val="false"/>
          <w:bCs w:val="false"/>
          <w:i w:val="false"/>
          <w:iCs w:val="false"/>
          <w:color w:val="000000"/>
        </w:rPr>
        <w:t xml:space="preserve">https://documents.worldbank.org/curated/pt/497241477563267444/Comply-or-explain-disclosure-statement-how-to-implement-the-OJK-corporate-governance-guideline-for-public-companies</w:t>
      </w:r>
      <w:r>
        <w:rPr>
          <w:b w:val="false"/>
          <w:bCs w:val="false"/>
          <w:i w:val="false"/>
          <w:iCs w:val="false"/>
          <w:color w:val="000000"/>
        </w:rPr>
        <w:t xml:space="preserve">
</w:t>
      </w:r>
      <w:bookmarkEnd w:id="1"/>
    </w:p>
    <w:p>
      <w:pPr>
        <w:pStyle w:val="JenniRefBody"/>
        <w:ind w:start="720" w:hanging="720"/>
      </w:pPr>
      <w:bookmarkStart w:name="65918337c0963b1a2dc8cdafdc2caac2" w:id="1"/>
      <w:r>
        <w:rPr>
          <w:b w:val="false"/>
          <w:bCs w:val="false"/>
          <w:i w:val="false"/>
          <w:iCs w:val="false"/>
          <w:color w:val="000000"/>
        </w:rPr>
        <w:t xml:space="preserve">  </w:t>
      </w:r>
      <w:r>
        <w:rPr>
          <w:b w:val="false"/>
          <w:bCs w:val="false"/>
          <w:i w:val="false"/>
          <w:iCs w:val="false"/>
          <w:color w:val="000000"/>
        </w:rPr>
        <w:t xml:space="preserve">Sari, T. K., Cahaya, F. R., &amp; Joseph, C. (2020). Coercive Pressures and Anti-corruption Reporting: The Case of ASEAN Countries. </w:t>
      </w:r>
      <w:r>
        <w:rPr>
          <w:b w:val="false"/>
          <w:bCs w:val="false"/>
          <w:i/>
          <w:iCs/>
          <w:color w:val="000000"/>
        </w:rPr>
        <w:t xml:space="preserve">Journal of Business Ethics</w:t>
      </w:r>
      <w:r>
        <w:rPr>
          <w:b w:val="false"/>
          <w:bCs w:val="false"/>
          <w:i w:val="false"/>
          <w:iCs w:val="false"/>
          <w:color w:val="000000"/>
        </w:rPr>
        <w:t xml:space="preserve">, </w:t>
      </w:r>
      <w:r>
        <w:rPr>
          <w:b w:val="false"/>
          <w:bCs w:val="false"/>
          <w:i/>
          <w:iCs/>
          <w:color w:val="000000"/>
        </w:rPr>
        <w:t xml:space="preserve">171</w:t>
      </w:r>
      <w:r>
        <w:rPr>
          <w:b w:val="false"/>
          <w:bCs w:val="false"/>
          <w:i w:val="false"/>
          <w:iCs w:val="false"/>
          <w:color w:val="000000"/>
        </w:rPr>
        <w:t xml:space="preserve">(3), 495–511. </w:t>
      </w:r>
      <w:r>
        <w:rPr>
          <w:b w:val="false"/>
          <w:bCs w:val="false"/>
          <w:i w:val="false"/>
          <w:iCs w:val="false"/>
          <w:color w:val="000000"/>
        </w:rPr>
        <w:t xml:space="preserve">https://doi.org/10.1007/s10551-020-04452-1</w:t>
      </w:r>
      <w:r>
        <w:rPr>
          <w:b w:val="false"/>
          <w:bCs w:val="false"/>
          <w:i w:val="false"/>
          <w:iCs w:val="false"/>
          <w:color w:val="000000"/>
        </w:rPr>
        <w:t xml:space="preserve">
</w:t>
      </w:r>
      <w:bookmarkEnd w:id="1"/>
    </w:p>
    <w:p>
      <w:pPr>
        <w:pStyle w:val="JenniRefBody"/>
        <w:ind w:start="720" w:hanging="720"/>
      </w:pPr>
      <w:bookmarkStart w:name="9ea524fd9f272a98bd38fbfbe182a2ca" w:id="1"/>
      <w:r>
        <w:rPr>
          <w:b w:val="false"/>
          <w:bCs w:val="false"/>
          <w:i w:val="false"/>
          <w:iCs w:val="false"/>
          <w:color w:val="000000"/>
        </w:rPr>
        <w:t xml:space="preserve">  </w:t>
      </w:r>
      <w:r>
        <w:rPr>
          <w:b w:val="false"/>
          <w:bCs w:val="false"/>
          <w:i w:val="false"/>
          <w:iCs w:val="false"/>
          <w:color w:val="000000"/>
        </w:rPr>
        <w:t xml:space="preserve">Schimanski, T., Ni, J., Martin, R., Ranger, N., &amp; Leippold, M. (2024). </w:t>
      </w:r>
      <w:r>
        <w:rPr>
          <w:b w:val="false"/>
          <w:bCs w:val="false"/>
          <w:i/>
          <w:iCs/>
          <w:color w:val="000000"/>
        </w:rPr>
        <w:t xml:space="preserve">ClimRetrieve: A Benchmarking Dataset for Information Retrieval from Corporate Climate Disclosures</w:t>
      </w:r>
      <w:r>
        <w:rPr>
          <w:b w:val="false"/>
          <w:bCs w:val="false"/>
          <w:i w:val="false"/>
          <w:iCs w:val="false"/>
          <w:color w:val="000000"/>
        </w:rPr>
        <w:t xml:space="preserve">. 17509–17524. </w:t>
      </w:r>
      <w:r>
        <w:rPr>
          <w:b w:val="false"/>
          <w:bCs w:val="false"/>
          <w:i w:val="false"/>
          <w:iCs w:val="false"/>
          <w:color w:val="000000"/>
        </w:rPr>
        <w:t xml:space="preserve">https://doi.org/10.18653/v1/2024.emnlp-main.969</w:t>
      </w:r>
      <w:r>
        <w:rPr>
          <w:b w:val="false"/>
          <w:bCs w:val="false"/>
          <w:i w:val="false"/>
          <w:iCs w:val="false"/>
          <w:color w:val="000000"/>
        </w:rPr>
        <w:t xml:space="preserve">
</w:t>
      </w:r>
      <w:bookmarkEnd w:id="1"/>
    </w:p>
    <w:p>
      <w:pPr>
        <w:pStyle w:val="JenniRefBody"/>
        <w:ind w:start="720" w:hanging="720"/>
      </w:pPr>
      <w:bookmarkStart w:name="4e192ec5a9a1852c3c0a861ea08ec314" w:id="1"/>
      <w:r>
        <w:rPr>
          <w:b w:val="false"/>
          <w:bCs w:val="false"/>
          <w:i w:val="false"/>
          <w:iCs w:val="false"/>
          <w:color w:val="000000"/>
        </w:rPr>
        <w:t xml:space="preserve">  </w:t>
      </w:r>
      <w:r>
        <w:rPr>
          <w:b w:val="false"/>
          <w:bCs w:val="false"/>
          <w:i w:val="false"/>
          <w:iCs w:val="false"/>
          <w:color w:val="000000"/>
        </w:rPr>
        <w:t xml:space="preserve">Schimanski, T., Reding, A., Reding, N., Bingler, J., Kraus, M., &amp; Leippold, M. (2024). Bridging the gap in ESG measurement: Using NLP to quantify environmental, social, and governance communication. </w:t>
      </w:r>
      <w:r>
        <w:rPr>
          <w:b w:val="false"/>
          <w:bCs w:val="false"/>
          <w:i/>
          <w:iCs/>
          <w:color w:val="000000"/>
        </w:rPr>
        <w:t xml:space="preserve">Finance Research Letters</w:t>
      </w:r>
      <w:r>
        <w:rPr>
          <w:b w:val="false"/>
          <w:bCs w:val="false"/>
          <w:i w:val="false"/>
          <w:iCs w:val="false"/>
          <w:color w:val="000000"/>
        </w:rPr>
        <w:t xml:space="preserve">, </w:t>
      </w:r>
      <w:r>
        <w:rPr>
          <w:b w:val="false"/>
          <w:bCs w:val="false"/>
          <w:i/>
          <w:iCs/>
          <w:color w:val="000000"/>
        </w:rPr>
        <w:t xml:space="preserve">61</w:t>
      </w:r>
      <w:r>
        <w:rPr>
          <w:b w:val="false"/>
          <w:bCs w:val="false"/>
          <w:i w:val="false"/>
          <w:iCs w:val="false"/>
          <w:color w:val="000000"/>
        </w:rPr>
        <w:t xml:space="preserve">, 104979–104979. </w:t>
      </w:r>
      <w:r>
        <w:rPr>
          <w:b w:val="false"/>
          <w:bCs w:val="false"/>
          <w:i w:val="false"/>
          <w:iCs w:val="false"/>
          <w:color w:val="000000"/>
        </w:rPr>
        <w:t xml:space="preserve">https://doi.org/10.1016/j.frl.2024.104979</w:t>
      </w:r>
      <w:r>
        <w:rPr>
          <w:b w:val="false"/>
          <w:bCs w:val="false"/>
          <w:i w:val="false"/>
          <w:iCs w:val="false"/>
          <w:color w:val="000000"/>
        </w:rPr>
        <w:t xml:space="preserve">
</w:t>
      </w:r>
      <w:bookmarkEnd w:id="1"/>
    </w:p>
    <w:p>
      <w:pPr>
        <w:pStyle w:val="JenniRefBody"/>
        <w:ind w:start="720" w:hanging="720"/>
      </w:pPr>
      <w:bookmarkStart w:name="3549ff9ff4dcaf67dddd65b7eb5946ad" w:id="1"/>
      <w:r>
        <w:rPr>
          <w:b w:val="false"/>
          <w:bCs w:val="false"/>
          <w:i w:val="false"/>
          <w:iCs w:val="false"/>
          <w:color w:val="000000"/>
        </w:rPr>
        <w:t xml:space="preserve">  </w:t>
      </w:r>
      <w:r>
        <w:rPr>
          <w:b w:val="false"/>
          <w:bCs w:val="false"/>
          <w:i w:val="false"/>
          <w:iCs w:val="false"/>
          <w:color w:val="000000"/>
        </w:rPr>
        <w:t xml:space="preserve">Schimanski, T., Senni, C. C., Gostlow, G., Ni, J., Yu, T., &amp; Leippold, M. (2024). Exploring Nature: Datasets and Models for Analyzing Nature-Related Disclosures. </w:t>
      </w:r>
      <w:r>
        <w:rPr>
          <w:b w:val="false"/>
          <w:bCs w:val="false"/>
          <w:i/>
          <w:iCs/>
          <w:color w:val="000000"/>
        </w:rPr>
        <w:t xml:space="preserve">SSRN Electronic Journal</w:t>
      </w:r>
      <w:r>
        <w:rPr>
          <w:b w:val="false"/>
          <w:bCs w:val="false"/>
          <w:i w:val="false"/>
          <w:iCs w:val="false"/>
          <w:color w:val="000000"/>
        </w:rPr>
        <w:t xml:space="preserve">. </w:t>
      </w:r>
      <w:r>
        <w:rPr>
          <w:b w:val="false"/>
          <w:bCs w:val="false"/>
          <w:i w:val="false"/>
          <w:iCs w:val="false"/>
          <w:color w:val="000000"/>
        </w:rPr>
        <w:t xml:space="preserve">https://doi.org/10.2139/ssrn.4665715</w:t>
      </w:r>
      <w:r>
        <w:rPr>
          <w:b w:val="false"/>
          <w:bCs w:val="false"/>
          <w:i w:val="false"/>
          <w:iCs w:val="false"/>
          <w:color w:val="000000"/>
        </w:rPr>
        <w:t xml:space="preserve">
</w:t>
      </w:r>
      <w:bookmarkEnd w:id="1"/>
    </w:p>
    <w:p>
      <w:pPr>
        <w:pStyle w:val="JenniRefBody"/>
        <w:ind w:start="720" w:hanging="720"/>
      </w:pPr>
      <w:bookmarkStart w:name="bb934ed1908796e894d6bf5470ca1b20" w:id="1"/>
      <w:r>
        <w:rPr>
          <w:b w:val="false"/>
          <w:bCs w:val="false"/>
          <w:i w:val="false"/>
          <w:iCs w:val="false"/>
          <w:color w:val="000000"/>
        </w:rPr>
        <w:t xml:space="preserve">  </w:t>
      </w:r>
      <w:r>
        <w:rPr>
          <w:b w:val="false"/>
          <w:bCs w:val="false"/>
          <w:i w:val="false"/>
          <w:iCs w:val="false"/>
          <w:color w:val="000000"/>
        </w:rPr>
        <w:t xml:space="preserve">Schmoll, J. (2025). Automated Analysis of Sustainability Reports: Using Large Language Models for the Extraction and Prediction of EU Taxonomy-Compliant KPIs [Innsbruck Medical University]. In </w:t>
      </w:r>
      <w:r>
        <w:rPr>
          <w:b w:val="false"/>
          <w:bCs w:val="false"/>
          <w:i/>
          <w:iCs/>
          <w:color w:val="000000"/>
        </w:rPr>
        <w:t xml:space="preserve">Digital Library of the University of Innsbruck (University of Innsbruck)</w:t>
      </w:r>
      <w:r>
        <w:rPr>
          <w:b w:val="false"/>
          <w:bCs w:val="false"/>
          <w:i w:val="false"/>
          <w:iCs w:val="false"/>
          <w:color w:val="000000"/>
        </w:rPr>
        <w:t xml:space="preserve">. </w:t>
      </w:r>
      <w:r>
        <w:rPr>
          <w:b w:val="false"/>
          <w:bCs w:val="false"/>
          <w:i w:val="false"/>
          <w:iCs w:val="false"/>
          <w:color w:val="000000"/>
        </w:rPr>
        <w:t xml:space="preserve">https://resolver.obvsg.at/urn:nbn:at:at-ubi:1-190437</w:t>
      </w:r>
      <w:r>
        <w:rPr>
          <w:b w:val="false"/>
          <w:bCs w:val="false"/>
          <w:i w:val="false"/>
          <w:iCs w:val="false"/>
          <w:color w:val="000000"/>
        </w:rPr>
        <w:t xml:space="preserve">
</w:t>
      </w:r>
      <w:bookmarkEnd w:id="1"/>
    </w:p>
    <w:p>
      <w:pPr>
        <w:pStyle w:val="JenniRefBody"/>
        <w:ind w:start="720" w:hanging="720"/>
      </w:pPr>
      <w:bookmarkStart w:name="46a89bbe0a6469342959817910e7e7a4" w:id="1"/>
      <w:r>
        <w:rPr>
          <w:b w:val="false"/>
          <w:bCs w:val="false"/>
          <w:i w:val="false"/>
          <w:iCs w:val="false"/>
          <w:color w:val="000000"/>
        </w:rPr>
        <w:t xml:space="preserve">  </w:t>
      </w:r>
      <w:r>
        <w:rPr>
          <w:b w:val="false"/>
          <w:bCs w:val="false"/>
          <w:i w:val="false"/>
          <w:iCs w:val="false"/>
          <w:color w:val="000000"/>
        </w:rPr>
        <w:t xml:space="preserve">Setiawan, A., Haryanto, H., Soedibyo, A. N., Wirawan, S., Djajadikerta, H., Faninda, S., &amp; Mardiana, M. (2025). Institutional Translation and Sectoral Readiness: Localizing IFRS S1 and S2 in Indonesia. </w:t>
      </w:r>
      <w:r>
        <w:rPr>
          <w:b w:val="false"/>
          <w:bCs w:val="false"/>
          <w:i/>
          <w:iCs/>
          <w:color w:val="000000"/>
        </w:rPr>
        <w:t xml:space="preserve">International Research Journal of Multidisciplinary Scope</w:t>
      </w:r>
      <w:r>
        <w:rPr>
          <w:b w:val="false"/>
          <w:bCs w:val="false"/>
          <w:i w:val="false"/>
          <w:iCs w:val="false"/>
          <w:color w:val="000000"/>
        </w:rPr>
        <w:t xml:space="preserve">, </w:t>
      </w:r>
      <w:r>
        <w:rPr>
          <w:b w:val="false"/>
          <w:bCs w:val="false"/>
          <w:i/>
          <w:iCs/>
          <w:color w:val="000000"/>
        </w:rPr>
        <w:t xml:space="preserve">6</w:t>
      </w:r>
      <w:r>
        <w:rPr>
          <w:b w:val="false"/>
          <w:bCs w:val="false"/>
          <w:i w:val="false"/>
          <w:iCs w:val="false"/>
          <w:color w:val="000000"/>
        </w:rPr>
        <w:t xml:space="preserve">(4), 410–421. </w:t>
      </w:r>
      <w:r>
        <w:rPr>
          <w:b w:val="false"/>
          <w:bCs w:val="false"/>
          <w:i w:val="false"/>
          <w:iCs w:val="false"/>
          <w:color w:val="000000"/>
        </w:rPr>
        <w:t xml:space="preserve">https://doi.org/10.47857/irjms.2025.v06i04.06292</w:t>
      </w:r>
      <w:r>
        <w:rPr>
          <w:b w:val="false"/>
          <w:bCs w:val="false"/>
          <w:i w:val="false"/>
          <w:iCs w:val="false"/>
          <w:color w:val="000000"/>
        </w:rPr>
        <w:t xml:space="preserve">
</w:t>
      </w:r>
      <w:bookmarkEnd w:id="1"/>
    </w:p>
    <w:p>
      <w:pPr>
        <w:pStyle w:val="JenniRefBody"/>
        <w:ind w:start="720" w:hanging="720"/>
      </w:pPr>
      <w:bookmarkStart w:name="ee64b0ad0d0313161226713f833cdd4d" w:id="1"/>
      <w:r>
        <w:rPr>
          <w:b w:val="false"/>
          <w:bCs w:val="false"/>
          <w:i w:val="false"/>
          <w:iCs w:val="false"/>
          <w:color w:val="000000"/>
        </w:rPr>
        <w:t xml:space="preserve">  </w:t>
      </w:r>
      <w:r>
        <w:rPr>
          <w:b w:val="false"/>
          <w:bCs w:val="false"/>
          <w:i w:val="false"/>
          <w:iCs w:val="false"/>
          <w:color w:val="000000"/>
        </w:rPr>
        <w:t xml:space="preserve">Setyowati, A. (2020). Governing sustainable finance: insights from Indonesia. </w:t>
      </w:r>
      <w:r>
        <w:rPr>
          <w:b w:val="false"/>
          <w:bCs w:val="false"/>
          <w:i/>
          <w:iCs/>
          <w:color w:val="000000"/>
        </w:rPr>
        <w:t xml:space="preserve">Climate Policy</w:t>
      </w:r>
      <w:r>
        <w:rPr>
          <w:b w:val="false"/>
          <w:bCs w:val="false"/>
          <w:i w:val="false"/>
          <w:iCs w:val="false"/>
          <w:color w:val="000000"/>
        </w:rPr>
        <w:t xml:space="preserve">, </w:t>
      </w:r>
      <w:r>
        <w:rPr>
          <w:b w:val="false"/>
          <w:bCs w:val="false"/>
          <w:i/>
          <w:iCs/>
          <w:color w:val="000000"/>
        </w:rPr>
        <w:t xml:space="preserve">23</w:t>
      </w:r>
      <w:r>
        <w:rPr>
          <w:b w:val="false"/>
          <w:bCs w:val="false"/>
          <w:i w:val="false"/>
          <w:iCs w:val="false"/>
          <w:color w:val="000000"/>
        </w:rPr>
        <w:t xml:space="preserve">(1), 108–121. </w:t>
      </w:r>
      <w:r>
        <w:rPr>
          <w:b w:val="false"/>
          <w:bCs w:val="false"/>
          <w:i w:val="false"/>
          <w:iCs w:val="false"/>
          <w:color w:val="000000"/>
        </w:rPr>
        <w:t xml:space="preserve">https://doi.org/10.1080/14693062.2020.1858741</w:t>
      </w:r>
      <w:r>
        <w:rPr>
          <w:b w:val="false"/>
          <w:bCs w:val="false"/>
          <w:i w:val="false"/>
          <w:iCs w:val="false"/>
          <w:color w:val="000000"/>
        </w:rPr>
        <w:t xml:space="preserve">
</w:t>
      </w:r>
      <w:bookmarkEnd w:id="1"/>
    </w:p>
    <w:p>
      <w:pPr>
        <w:pStyle w:val="JenniRefBody"/>
        <w:ind w:start="720" w:hanging="720"/>
      </w:pPr>
      <w:bookmarkStart w:name="df7ff266aa59cb51c0ecda5fac6aac77" w:id="1"/>
      <w:r>
        <w:rPr>
          <w:b w:val="false"/>
          <w:bCs w:val="false"/>
          <w:i w:val="false"/>
          <w:iCs w:val="false"/>
          <w:color w:val="000000"/>
        </w:rPr>
        <w:t xml:space="preserve">  </w:t>
      </w:r>
      <w:r>
        <w:rPr>
          <w:b w:val="false"/>
          <w:bCs w:val="false"/>
          <w:i w:val="false"/>
          <w:iCs w:val="false"/>
          <w:color w:val="000000"/>
        </w:rPr>
        <w:t xml:space="preserve">Shergadwala, M. (2026). The Stability Trap: Evaluating the Reliability of LLM-Based Instruction Adherence Auditing.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https://doi.org/10.48550/arxiv.2601.11783</w:t>
      </w:r>
      <w:r>
        <w:rPr>
          <w:b w:val="false"/>
          <w:bCs w:val="false"/>
          <w:i w:val="false"/>
          <w:iCs w:val="false"/>
          <w:color w:val="000000"/>
        </w:rPr>
        <w:t xml:space="preserve">
</w:t>
      </w:r>
      <w:bookmarkEnd w:id="1"/>
    </w:p>
    <w:p>
      <w:pPr>
        <w:pStyle w:val="JenniRefBody"/>
        <w:ind w:start="720" w:hanging="720"/>
      </w:pPr>
      <w:bookmarkStart w:name="84f254001916c4f1ed616d4454263fe5" w:id="1"/>
      <w:r>
        <w:rPr>
          <w:b w:val="false"/>
          <w:bCs w:val="false"/>
          <w:i w:val="false"/>
          <w:iCs w:val="false"/>
          <w:color w:val="000000"/>
        </w:rPr>
        <w:t xml:space="preserve">  </w:t>
      </w:r>
      <w:r>
        <w:rPr>
          <w:b w:val="false"/>
          <w:bCs w:val="false"/>
          <w:i w:val="false"/>
          <w:iCs w:val="false"/>
          <w:color w:val="000000"/>
        </w:rPr>
        <w:t xml:space="preserve">Shlezinger, N., Whang, J., Eldar, Y. C., &amp; Dimakis, A. G. (2023). Model-Based Deep Learning. </w:t>
      </w:r>
      <w:r>
        <w:rPr>
          <w:b w:val="false"/>
          <w:bCs w:val="false"/>
          <w:i/>
          <w:iCs/>
          <w:color w:val="000000"/>
        </w:rPr>
        <w:t xml:space="preserve">Proceedings of the IEEE</w:t>
      </w:r>
      <w:r>
        <w:rPr>
          <w:b w:val="false"/>
          <w:bCs w:val="false"/>
          <w:i w:val="false"/>
          <w:iCs w:val="false"/>
          <w:color w:val="000000"/>
        </w:rPr>
        <w:t xml:space="preserve">, </w:t>
      </w:r>
      <w:r>
        <w:rPr>
          <w:b w:val="false"/>
          <w:bCs w:val="false"/>
          <w:i/>
          <w:iCs/>
          <w:color w:val="000000"/>
        </w:rPr>
        <w:t xml:space="preserve">111</w:t>
      </w:r>
      <w:r>
        <w:rPr>
          <w:b w:val="false"/>
          <w:bCs w:val="false"/>
          <w:i w:val="false"/>
          <w:iCs w:val="false"/>
          <w:color w:val="000000"/>
        </w:rPr>
        <w:t xml:space="preserve">(5), 465–499. </w:t>
      </w:r>
      <w:r>
        <w:rPr>
          <w:b w:val="false"/>
          <w:bCs w:val="false"/>
          <w:i w:val="false"/>
          <w:iCs w:val="false"/>
          <w:color w:val="000000"/>
        </w:rPr>
        <w:t xml:space="preserve">https://doi.org/10.1109/jproc.2023.3247480</w:t>
      </w:r>
      <w:r>
        <w:rPr>
          <w:b w:val="false"/>
          <w:bCs w:val="false"/>
          <w:i w:val="false"/>
          <w:iCs w:val="false"/>
          <w:color w:val="000000"/>
        </w:rPr>
        <w:t xml:space="preserve">
</w:t>
      </w:r>
      <w:bookmarkEnd w:id="1"/>
    </w:p>
    <w:p>
      <w:pPr>
        <w:pStyle w:val="JenniRefBody"/>
        <w:ind w:start="720" w:hanging="720"/>
      </w:pPr>
      <w:bookmarkStart w:name="790d4a9619d3268f6b3c458365d46db7" w:id="1"/>
      <w:r>
        <w:rPr>
          <w:b w:val="false"/>
          <w:bCs w:val="false"/>
          <w:i w:val="false"/>
          <w:iCs w:val="false"/>
          <w:color w:val="000000"/>
        </w:rPr>
        <w:t xml:space="preserve">  </w:t>
      </w:r>
      <w:r>
        <w:rPr>
          <w:b w:val="false"/>
          <w:bCs w:val="false"/>
          <w:i w:val="false"/>
          <w:iCs w:val="false"/>
          <w:color w:val="000000"/>
        </w:rPr>
        <w:t xml:space="preserve">Shrimal, A., Jain, A., Chowdhury, S. A. H., &amp; Yenigalla, P. (2025). PARSE: LLM Driven Schema Optimization for Reliable Entity Extraction.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https://doi.org/10.48550/arxiv.2510.08623</w:t>
      </w:r>
      <w:r>
        <w:rPr>
          <w:b w:val="false"/>
          <w:bCs w:val="false"/>
          <w:i w:val="false"/>
          <w:iCs w:val="false"/>
          <w:color w:val="000000"/>
        </w:rPr>
        <w:t xml:space="preserve">
</w:t>
      </w:r>
      <w:bookmarkEnd w:id="1"/>
    </w:p>
    <w:p>
      <w:pPr>
        <w:pStyle w:val="JenniRefBody"/>
        <w:ind w:start="720" w:hanging="720"/>
      </w:pPr>
      <w:bookmarkStart w:name="f6a51152467e308f316ece4ae989eab4" w:id="1"/>
      <w:r>
        <w:rPr>
          <w:b w:val="false"/>
          <w:bCs w:val="false"/>
          <w:i w:val="false"/>
          <w:iCs w:val="false"/>
          <w:color w:val="000000"/>
        </w:rPr>
        <w:t xml:space="preserve">  </w:t>
      </w:r>
      <w:r>
        <w:rPr>
          <w:b w:val="false"/>
          <w:bCs w:val="false"/>
          <w:i w:val="false"/>
          <w:iCs w:val="false"/>
          <w:color w:val="000000"/>
        </w:rPr>
        <w:t xml:space="preserve">Sun, S., Wu, B., Jin, M., Bai, P., Zhang, H., &amp; Song, X. (2026). ESG-Bench: Benchmarking Long-Context ESG Reports for Hallucination Mitigation. </w:t>
      </w:r>
      <w:r>
        <w:rPr>
          <w:b w:val="false"/>
          <w:bCs w:val="false"/>
          <w:i/>
          <w:iCs/>
          <w:color w:val="000000"/>
        </w:rPr>
        <w:t xml:space="preserve">Proceedings of the AAAI Conference on Artificial Intelligence</w:t>
      </w:r>
      <w:r>
        <w:rPr>
          <w:b w:val="false"/>
          <w:bCs w:val="false"/>
          <w:i w:val="false"/>
          <w:iCs w:val="false"/>
          <w:color w:val="000000"/>
        </w:rPr>
        <w:t xml:space="preserve">, </w:t>
      </w:r>
      <w:r>
        <w:rPr>
          <w:b w:val="false"/>
          <w:bCs w:val="false"/>
          <w:i/>
          <w:iCs/>
          <w:color w:val="000000"/>
        </w:rPr>
        <w:t xml:space="preserve">40</w:t>
      </w:r>
      <w:r>
        <w:rPr>
          <w:b w:val="false"/>
          <w:bCs w:val="false"/>
          <w:i w:val="false"/>
          <w:iCs w:val="false"/>
          <w:color w:val="000000"/>
        </w:rPr>
        <w:t xml:space="preserve">(46), 39322–39330. </w:t>
      </w:r>
      <w:r>
        <w:rPr>
          <w:b w:val="false"/>
          <w:bCs w:val="false"/>
          <w:i w:val="false"/>
          <w:iCs w:val="false"/>
          <w:color w:val="000000"/>
        </w:rPr>
        <w:t xml:space="preserve">https://doi.org/10.1609/aaai.v40i46.41281</w:t>
      </w:r>
      <w:r>
        <w:rPr>
          <w:b w:val="false"/>
          <w:bCs w:val="false"/>
          <w:i w:val="false"/>
          <w:iCs w:val="false"/>
          <w:color w:val="000000"/>
        </w:rPr>
        <w:t xml:space="preserve">
</w:t>
      </w:r>
      <w:bookmarkEnd w:id="1"/>
    </w:p>
    <w:p>
      <w:pPr>
        <w:pStyle w:val="JenniRefBody"/>
        <w:ind w:start="720" w:hanging="720"/>
      </w:pPr>
      <w:bookmarkStart w:name="f339d6a7c9d1d0698bd4d505e0f1aaa5" w:id="1"/>
      <w:r>
        <w:rPr>
          <w:b w:val="false"/>
          <w:bCs w:val="false"/>
          <w:i w:val="false"/>
          <w:iCs w:val="false"/>
          <w:color w:val="000000"/>
        </w:rPr>
        <w:t xml:space="preserve">  </w:t>
      </w:r>
      <w:r>
        <w:rPr>
          <w:b w:val="false"/>
          <w:bCs w:val="false"/>
          <w:i w:val="false"/>
          <w:iCs w:val="false"/>
          <w:color w:val="000000"/>
        </w:rPr>
        <w:t xml:space="preserve">Tan, Z., Beigi, A., Wang, S., Guo, R., Bhattacharjee, A., Jiang, B., Karami, M., Li, J., Lu, C., &amp; Liu, H. (2024). Large Language Models for Data Annotation: A Survey.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https://doi.org/10.48550/arxiv.2402.13446</w:t>
      </w:r>
      <w:r>
        <w:rPr>
          <w:b w:val="false"/>
          <w:bCs w:val="false"/>
          <w:i w:val="false"/>
          <w:iCs w:val="false"/>
          <w:color w:val="000000"/>
        </w:rPr>
        <w:t xml:space="preserve">
</w:t>
      </w:r>
      <w:bookmarkEnd w:id="1"/>
    </w:p>
    <w:p>
      <w:pPr>
        <w:pStyle w:val="JenniRefBody"/>
        <w:ind w:start="720" w:hanging="720"/>
      </w:pPr>
      <w:bookmarkStart w:name="bc8e3daa50bbf20ff40d9519ec1b4851" w:id="1"/>
      <w:r>
        <w:rPr>
          <w:b w:val="false"/>
          <w:bCs w:val="false"/>
          <w:i w:val="false"/>
          <w:iCs w:val="false"/>
          <w:color w:val="000000"/>
        </w:rPr>
        <w:t xml:space="preserve">  </w:t>
      </w:r>
      <w:r>
        <w:rPr>
          <w:b w:val="false"/>
          <w:bCs w:val="false"/>
          <w:i w:val="false"/>
          <w:iCs w:val="false"/>
          <w:color w:val="000000"/>
        </w:rPr>
        <w:t xml:space="preserve">Tkachenko, N. (2024). Opportunities for synthetic data in nature and climate finance. </w:t>
      </w:r>
      <w:r>
        <w:rPr>
          <w:b w:val="false"/>
          <w:bCs w:val="false"/>
          <w:i/>
          <w:iCs/>
          <w:color w:val="000000"/>
        </w:rPr>
        <w:t xml:space="preserve">Frontiers in Artificial Intelligence</w:t>
      </w:r>
      <w:r>
        <w:rPr>
          <w:b w:val="false"/>
          <w:bCs w:val="false"/>
          <w:i w:val="false"/>
          <w:iCs w:val="false"/>
          <w:color w:val="000000"/>
        </w:rPr>
        <w:t xml:space="preserve">, </w:t>
      </w:r>
      <w:r>
        <w:rPr>
          <w:b w:val="false"/>
          <w:bCs w:val="false"/>
          <w:i/>
          <w:iCs/>
          <w:color w:val="000000"/>
        </w:rPr>
        <w:t xml:space="preserve">6</w:t>
      </w:r>
      <w:r>
        <w:rPr>
          <w:b w:val="false"/>
          <w:bCs w:val="false"/>
          <w:i w:val="false"/>
          <w:iCs w:val="false"/>
          <w:color w:val="000000"/>
        </w:rPr>
        <w:t xml:space="preserve">. </w:t>
      </w:r>
      <w:r>
        <w:rPr>
          <w:b w:val="false"/>
          <w:bCs w:val="false"/>
          <w:i w:val="false"/>
          <w:iCs w:val="false"/>
          <w:color w:val="000000"/>
        </w:rPr>
        <w:t xml:space="preserve">https://doi.org/10.3389/frai.2023.1168749</w:t>
      </w:r>
      <w:r>
        <w:rPr>
          <w:b w:val="false"/>
          <w:bCs w:val="false"/>
          <w:i w:val="false"/>
          <w:iCs w:val="false"/>
          <w:color w:val="000000"/>
        </w:rPr>
        <w:t xml:space="preserve">
</w:t>
      </w:r>
      <w:bookmarkEnd w:id="1"/>
    </w:p>
    <w:p>
      <w:pPr>
        <w:pStyle w:val="JenniRefBody"/>
        <w:ind w:start="720" w:hanging="720"/>
      </w:pPr>
      <w:bookmarkStart w:name="2ebe9148322a6ae5a86e3c9a221b3545" w:id="1"/>
      <w:r>
        <w:rPr>
          <w:b w:val="false"/>
          <w:bCs w:val="false"/>
          <w:i w:val="false"/>
          <w:iCs w:val="false"/>
          <w:color w:val="000000"/>
        </w:rPr>
        <w:t xml:space="preserve">  </w:t>
      </w:r>
      <w:r>
        <w:rPr>
          <w:b w:val="false"/>
          <w:bCs w:val="false"/>
          <w:i w:val="false"/>
          <w:iCs w:val="false"/>
          <w:color w:val="000000"/>
        </w:rPr>
        <w:t xml:space="preserve">Troiano, E., Oberländer, L., &amp; Klinger, R. (2022). Dimensional Modeling of Emotions in Text with Appraisal Theories: Corpus Creation, Annotation Reliability, and Prediction. </w:t>
      </w:r>
      <w:r>
        <w:rPr>
          <w:b w:val="false"/>
          <w:bCs w:val="false"/>
          <w:i/>
          <w:iCs/>
          <w:color w:val="000000"/>
        </w:rPr>
        <w:t xml:space="preserve">Computational Linguistics</w:t>
      </w:r>
      <w:r>
        <w:rPr>
          <w:b w:val="false"/>
          <w:bCs w:val="false"/>
          <w:i w:val="false"/>
          <w:iCs w:val="false"/>
          <w:color w:val="000000"/>
        </w:rPr>
        <w:t xml:space="preserve">, </w:t>
      </w:r>
      <w:r>
        <w:rPr>
          <w:b w:val="false"/>
          <w:bCs w:val="false"/>
          <w:i/>
          <w:iCs/>
          <w:color w:val="000000"/>
        </w:rPr>
        <w:t xml:space="preserve">49</w:t>
      </w:r>
      <w:r>
        <w:rPr>
          <w:b w:val="false"/>
          <w:bCs w:val="false"/>
          <w:i w:val="false"/>
          <w:iCs w:val="false"/>
          <w:color w:val="000000"/>
        </w:rPr>
        <w:t xml:space="preserve">(1), 1–72. </w:t>
      </w:r>
      <w:r>
        <w:rPr>
          <w:b w:val="false"/>
          <w:bCs w:val="false"/>
          <w:i w:val="false"/>
          <w:iCs w:val="false"/>
          <w:color w:val="000000"/>
        </w:rPr>
        <w:t xml:space="preserve">https://doi.org/10.1162/coli_a_00461</w:t>
      </w:r>
      <w:r>
        <w:rPr>
          <w:b w:val="false"/>
          <w:bCs w:val="false"/>
          <w:i w:val="false"/>
          <w:iCs w:val="false"/>
          <w:color w:val="000000"/>
        </w:rPr>
        <w:t xml:space="preserve">
</w:t>
      </w:r>
      <w:bookmarkEnd w:id="1"/>
    </w:p>
    <w:p>
      <w:pPr>
        <w:pStyle w:val="JenniRefBody"/>
        <w:ind w:start="720" w:hanging="720"/>
      </w:pPr>
      <w:bookmarkStart w:name="73be0721c32b2d219ec46a5979cee500" w:id="1"/>
      <w:r>
        <w:rPr>
          <w:b w:val="false"/>
          <w:bCs w:val="false"/>
          <w:i w:val="false"/>
          <w:iCs w:val="false"/>
          <w:color w:val="000000"/>
        </w:rPr>
        <w:t xml:space="preserve">  </w:t>
      </w:r>
      <w:r>
        <w:rPr>
          <w:b w:val="false"/>
          <w:bCs w:val="false"/>
          <w:i w:val="false"/>
          <w:iCs w:val="false"/>
          <w:color w:val="000000"/>
        </w:rPr>
        <w:t xml:space="preserve">Villiers, C. de, Low, M., &amp; Samkin, G. (2014). The institutionalisation of mining company sustainability disclosures. </w:t>
      </w:r>
      <w:r>
        <w:rPr>
          <w:b w:val="false"/>
          <w:bCs w:val="false"/>
          <w:i/>
          <w:iCs/>
          <w:color w:val="000000"/>
        </w:rPr>
        <w:t xml:space="preserve">Journal of Cleaner Production</w:t>
      </w:r>
      <w:r>
        <w:rPr>
          <w:b w:val="false"/>
          <w:bCs w:val="false"/>
          <w:i w:val="false"/>
          <w:iCs w:val="false"/>
          <w:color w:val="000000"/>
        </w:rPr>
        <w:t xml:space="preserve">, </w:t>
      </w:r>
      <w:r>
        <w:rPr>
          <w:b w:val="false"/>
          <w:bCs w:val="false"/>
          <w:i/>
          <w:iCs/>
          <w:color w:val="000000"/>
        </w:rPr>
        <w:t xml:space="preserve">84</w:t>
      </w:r>
      <w:r>
        <w:rPr>
          <w:b w:val="false"/>
          <w:bCs w:val="false"/>
          <w:i w:val="false"/>
          <w:iCs w:val="false"/>
          <w:color w:val="000000"/>
        </w:rPr>
        <w:t xml:space="preserve">, 51–58. </w:t>
      </w:r>
      <w:r>
        <w:rPr>
          <w:b w:val="false"/>
          <w:bCs w:val="false"/>
          <w:i w:val="false"/>
          <w:iCs w:val="false"/>
          <w:color w:val="000000"/>
        </w:rPr>
        <w:t xml:space="preserve">https://doi.org/10.1016/j.jclepro.2014.01.089</w:t>
      </w:r>
      <w:r>
        <w:rPr>
          <w:b w:val="false"/>
          <w:bCs w:val="false"/>
          <w:i w:val="false"/>
          <w:iCs w:val="false"/>
          <w:color w:val="000000"/>
        </w:rPr>
        <w:t xml:space="preserve">
</w:t>
      </w:r>
      <w:bookmarkEnd w:id="1"/>
    </w:p>
    <w:p>
      <w:pPr>
        <w:pStyle w:val="JenniRefBody"/>
        <w:ind w:start="720" w:hanging="720"/>
      </w:pPr>
      <w:bookmarkStart w:name="2bac2d88961a7ff6061c1f74cd7a27e7" w:id="1"/>
      <w:r>
        <w:rPr>
          <w:b w:val="false"/>
          <w:bCs w:val="false"/>
          <w:i w:val="false"/>
          <w:iCs w:val="false"/>
          <w:color w:val="000000"/>
        </w:rPr>
        <w:t xml:space="preserve">  </w:t>
      </w:r>
      <w:r>
        <w:rPr>
          <w:b w:val="false"/>
          <w:bCs w:val="false"/>
          <w:i w:val="false"/>
          <w:iCs w:val="false"/>
          <w:color w:val="000000"/>
        </w:rPr>
        <w:t xml:space="preserve">Vinella, A., Capetz, M., Pattichis, R., Chance, C., Ghosh, R., &amp; Kai-Wei, C. (2023). Leveraging Language Models to Detect Greenwashing.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https://doi.org/10.48550/arxiv.2311.01469</w:t>
      </w:r>
      <w:r>
        <w:rPr>
          <w:b w:val="false"/>
          <w:bCs w:val="false"/>
          <w:i w:val="false"/>
          <w:iCs w:val="false"/>
          <w:color w:val="000000"/>
        </w:rPr>
        <w:t xml:space="preserve">
</w:t>
      </w:r>
      <w:bookmarkEnd w:id="1"/>
    </w:p>
    <w:p>
      <w:pPr>
        <w:pStyle w:val="JenniRefBody"/>
        <w:ind w:start="720" w:hanging="720"/>
      </w:pPr>
      <w:bookmarkStart w:name="80f9a9ac1f8f33163e6c78abce8de397" w:id="1"/>
      <w:r>
        <w:rPr>
          <w:b w:val="false"/>
          <w:bCs w:val="false"/>
          <w:i w:val="false"/>
          <w:iCs w:val="false"/>
          <w:color w:val="000000"/>
        </w:rPr>
        <w:t xml:space="preserve">  </w:t>
      </w:r>
      <w:r>
        <w:rPr>
          <w:b w:val="false"/>
          <w:bCs w:val="false"/>
          <w:i w:val="false"/>
          <w:iCs w:val="false"/>
          <w:color w:val="000000"/>
        </w:rPr>
        <w:t xml:space="preserve">Vivek, T. V. S., Veeranna, T., Prasad, V., Rani, N., Rao, A. S., &amp; Selvan, R. S. (2024). NLP Techniques to Achieve the Detection of Climate Change in Text Corpora. In </w:t>
      </w:r>
      <w:r>
        <w:rPr>
          <w:b w:val="false"/>
          <w:bCs w:val="false"/>
          <w:i/>
          <w:iCs/>
          <w:color w:val="000000"/>
        </w:rPr>
        <w:t xml:space="preserve">Practice, progress, and proficiency in sustainability</w:t>
      </w:r>
      <w:r>
        <w:rPr>
          <w:b w:val="false"/>
          <w:bCs w:val="false"/>
          <w:i w:val="false"/>
          <w:iCs w:val="false"/>
          <w:color w:val="000000"/>
        </w:rPr>
        <w:t xml:space="preserve"> (pp. 221–236). IGI Global. </w:t>
      </w:r>
      <w:r>
        <w:rPr>
          <w:b w:val="false"/>
          <w:bCs w:val="false"/>
          <w:i w:val="false"/>
          <w:iCs w:val="false"/>
          <w:color w:val="000000"/>
        </w:rPr>
        <w:t xml:space="preserve">https://doi.org/10.4018/979-8-3693-7230-2.ch012</w:t>
      </w:r>
      <w:r>
        <w:rPr>
          <w:b w:val="false"/>
          <w:bCs w:val="false"/>
          <w:i w:val="false"/>
          <w:iCs w:val="false"/>
          <w:color w:val="000000"/>
        </w:rPr>
        <w:t xml:space="preserve">
</w:t>
      </w:r>
      <w:bookmarkEnd w:id="1"/>
    </w:p>
    <w:p>
      <w:pPr>
        <w:pStyle w:val="JenniRefBody"/>
        <w:ind w:start="720" w:hanging="720"/>
      </w:pPr>
      <w:bookmarkStart w:name="bd21d4f8afdd7af3f075595bf76f3be2" w:id="1"/>
      <w:r>
        <w:rPr>
          <w:b w:val="false"/>
          <w:bCs w:val="false"/>
          <w:i w:val="false"/>
          <w:iCs w:val="false"/>
          <w:color w:val="000000"/>
        </w:rPr>
        <w:t xml:space="preserve">  </w:t>
      </w:r>
      <w:r>
        <w:rPr>
          <w:b w:val="false"/>
          <w:bCs w:val="false"/>
          <w:i w:val="false"/>
          <w:iCs w:val="false"/>
          <w:color w:val="000000"/>
        </w:rPr>
        <w:t xml:space="preserve">Vorakitphan, V., Basic, M., &amp; Meline, G. L. (2024). Deep Content Understanding Toward Entity and Aspect Target Sentiment   Analysis on Foundation Models.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https://doi.org/10.48550/arxiv.2407.04050</w:t>
      </w:r>
      <w:r>
        <w:rPr>
          <w:b w:val="false"/>
          <w:bCs w:val="false"/>
          <w:i w:val="false"/>
          <w:iCs w:val="false"/>
          <w:color w:val="000000"/>
        </w:rPr>
        <w:t xml:space="preserve">
</w:t>
      </w:r>
      <w:bookmarkEnd w:id="1"/>
    </w:p>
    <w:p>
      <w:pPr>
        <w:pStyle w:val="JenniRefBody"/>
        <w:ind w:start="720" w:hanging="720"/>
      </w:pPr>
      <w:bookmarkStart w:name="eff888cdcfb66418d10480cde508e818" w:id="1"/>
      <w:r>
        <w:rPr>
          <w:b w:val="false"/>
          <w:bCs w:val="false"/>
          <w:i w:val="false"/>
          <w:iCs w:val="false"/>
          <w:color w:val="000000"/>
        </w:rPr>
        <w:t xml:space="preserve">  </w:t>
      </w:r>
      <w:r>
        <w:rPr>
          <w:b w:val="false"/>
          <w:bCs w:val="false"/>
          <w:i w:val="false"/>
          <w:iCs w:val="false"/>
          <w:color w:val="000000"/>
        </w:rPr>
        <w:t xml:space="preserve">Wang, Z., Zhang, W., Liu, N., &amp; Wang, J. (2020). Transparent Classification with Multilayer Logical Perceptrons and Random Binarization. </w:t>
      </w:r>
      <w:r>
        <w:rPr>
          <w:b w:val="false"/>
          <w:bCs w:val="false"/>
          <w:i/>
          <w:iCs/>
          <w:color w:val="000000"/>
        </w:rPr>
        <w:t xml:space="preserve">Proceedings of the AAAI Conference on Artificial Intelligence</w:t>
      </w:r>
      <w:r>
        <w:rPr>
          <w:b w:val="false"/>
          <w:bCs w:val="false"/>
          <w:i w:val="false"/>
          <w:iCs w:val="false"/>
          <w:color w:val="000000"/>
        </w:rPr>
        <w:t xml:space="preserve">, </w:t>
      </w:r>
      <w:r>
        <w:rPr>
          <w:b w:val="false"/>
          <w:bCs w:val="false"/>
          <w:i/>
          <w:iCs/>
          <w:color w:val="000000"/>
        </w:rPr>
        <w:t xml:space="preserve">34</w:t>
      </w:r>
      <w:r>
        <w:rPr>
          <w:b w:val="false"/>
          <w:bCs w:val="false"/>
          <w:i w:val="false"/>
          <w:iCs w:val="false"/>
          <w:color w:val="000000"/>
        </w:rPr>
        <w:t xml:space="preserve">(4), 6331–6339. </w:t>
      </w:r>
      <w:r>
        <w:rPr>
          <w:b w:val="false"/>
          <w:bCs w:val="false"/>
          <w:i w:val="false"/>
          <w:iCs w:val="false"/>
          <w:color w:val="000000"/>
        </w:rPr>
        <w:t xml:space="preserve">https://doi.org/10.1609/aaai.v34i04.6102</w:t>
      </w:r>
      <w:r>
        <w:rPr>
          <w:b w:val="false"/>
          <w:bCs w:val="false"/>
          <w:i w:val="false"/>
          <w:iCs w:val="false"/>
          <w:color w:val="000000"/>
        </w:rPr>
        <w:t xml:space="preserve">
</w:t>
      </w:r>
      <w:bookmarkEnd w:id="1"/>
    </w:p>
    <w:p>
      <w:pPr>
        <w:pStyle w:val="JenniRefBody"/>
        <w:ind w:start="720" w:hanging="720"/>
      </w:pPr>
      <w:bookmarkStart w:name="30c2ab00bc8ba506b4a00162d9369f68" w:id="1"/>
      <w:r>
        <w:rPr>
          <w:b w:val="false"/>
          <w:bCs w:val="false"/>
          <w:i w:val="false"/>
          <w:iCs w:val="false"/>
          <w:color w:val="000000"/>
        </w:rPr>
        <w:t xml:space="preserve">  </w:t>
      </w:r>
      <w:r>
        <w:rPr>
          <w:b w:val="false"/>
          <w:bCs w:val="false"/>
          <w:i w:val="false"/>
          <w:iCs w:val="false"/>
          <w:color w:val="000000"/>
        </w:rPr>
        <w:t xml:space="preserve">Wanta, D., &amp; Gunawan, J. (2021). SUSTAINABILITY BLUE DISCLOSURES: INDEX DEVELOPMENT AND PRELIMINARY IMPLEMENTATION. </w:t>
      </w:r>
      <w:r>
        <w:rPr>
          <w:b w:val="false"/>
          <w:bCs w:val="false"/>
          <w:i/>
          <w:iCs/>
          <w:color w:val="000000"/>
        </w:rPr>
        <w:t xml:space="preserve">JRAK</w:t>
      </w:r>
      <w:r>
        <w:rPr>
          <w:b w:val="false"/>
          <w:bCs w:val="false"/>
          <w:i w:val="false"/>
          <w:iCs w:val="false"/>
          <w:color w:val="000000"/>
        </w:rPr>
        <w:t xml:space="preserve">, </w:t>
      </w:r>
      <w:r>
        <w:rPr>
          <w:b w:val="false"/>
          <w:bCs w:val="false"/>
          <w:i/>
          <w:iCs/>
          <w:color w:val="000000"/>
        </w:rPr>
        <w:t xml:space="preserve">13</w:t>
      </w:r>
      <w:r>
        <w:rPr>
          <w:b w:val="false"/>
          <w:bCs w:val="false"/>
          <w:i w:val="false"/>
          <w:iCs w:val="false"/>
          <w:color w:val="000000"/>
        </w:rPr>
        <w:t xml:space="preserve">(2), 97–105. </w:t>
      </w:r>
      <w:r>
        <w:rPr>
          <w:b w:val="false"/>
          <w:bCs w:val="false"/>
          <w:i w:val="false"/>
          <w:iCs w:val="false"/>
          <w:color w:val="000000"/>
        </w:rPr>
        <w:t xml:space="preserve">https://doi.org/10.23969/jrak.v13i2.4473</w:t>
      </w:r>
      <w:r>
        <w:rPr>
          <w:b w:val="false"/>
          <w:bCs w:val="false"/>
          <w:i w:val="false"/>
          <w:iCs w:val="false"/>
          <w:color w:val="000000"/>
        </w:rPr>
        <w:t xml:space="preserve">
</w:t>
      </w:r>
      <w:bookmarkEnd w:id="1"/>
    </w:p>
    <w:p>
      <w:pPr>
        <w:pStyle w:val="JenniRefBody"/>
        <w:ind w:start="720" w:hanging="720"/>
      </w:pPr>
      <w:bookmarkStart w:name="e59f174c8008ab33824a196ff25f3707" w:id="1"/>
      <w:r>
        <w:rPr>
          <w:b w:val="false"/>
          <w:bCs w:val="false"/>
          <w:i w:val="false"/>
          <w:iCs w:val="false"/>
          <w:color w:val="000000"/>
        </w:rPr>
        <w:t xml:space="preserve">  </w:t>
      </w:r>
      <w:r>
        <w:rPr>
          <w:b w:val="false"/>
          <w:bCs w:val="false"/>
          <w:i w:val="false"/>
          <w:iCs w:val="false"/>
          <w:color w:val="000000"/>
        </w:rPr>
        <w:t xml:space="preserve">Weber, L., Münchmeyer, J., Rocktäschel, T., Habibi, M., &amp; Leser, U. (2019). HUNER: improving biomedical NER with pretraining. </w:t>
      </w:r>
      <w:r>
        <w:rPr>
          <w:b w:val="false"/>
          <w:bCs w:val="false"/>
          <w:i/>
          <w:iCs/>
          <w:color w:val="000000"/>
        </w:rPr>
        <w:t xml:space="preserve">Bioinformatics</w:t>
      </w:r>
      <w:r>
        <w:rPr>
          <w:b w:val="false"/>
          <w:bCs w:val="false"/>
          <w:i w:val="false"/>
          <w:iCs w:val="false"/>
          <w:color w:val="000000"/>
        </w:rPr>
        <w:t xml:space="preserve">, </w:t>
      </w:r>
      <w:r>
        <w:rPr>
          <w:b w:val="false"/>
          <w:bCs w:val="false"/>
          <w:i/>
          <w:iCs/>
          <w:color w:val="000000"/>
        </w:rPr>
        <w:t xml:space="preserve">36</w:t>
      </w:r>
      <w:r>
        <w:rPr>
          <w:b w:val="false"/>
          <w:bCs w:val="false"/>
          <w:i w:val="false"/>
          <w:iCs w:val="false"/>
          <w:color w:val="000000"/>
        </w:rPr>
        <w:t xml:space="preserve">(1), 295–302. </w:t>
      </w:r>
      <w:r>
        <w:rPr>
          <w:b w:val="false"/>
          <w:bCs w:val="false"/>
          <w:i w:val="false"/>
          <w:iCs w:val="false"/>
          <w:color w:val="000000"/>
        </w:rPr>
        <w:t xml:space="preserve">https://doi.org/10.1093/bioinformatics/btz528</w:t>
      </w:r>
      <w:r>
        <w:rPr>
          <w:b w:val="false"/>
          <w:bCs w:val="false"/>
          <w:i w:val="false"/>
          <w:iCs w:val="false"/>
          <w:color w:val="000000"/>
        </w:rPr>
        <w:t xml:space="preserve">
</w:t>
      </w:r>
      <w:bookmarkEnd w:id="1"/>
    </w:p>
    <w:p>
      <w:pPr>
        <w:pStyle w:val="JenniRefBody"/>
        <w:ind w:start="720" w:hanging="720"/>
      </w:pPr>
      <w:bookmarkStart w:name="35e4080050c50333afd025e194a7f042" w:id="1"/>
      <w:r>
        <w:rPr>
          <w:b w:val="false"/>
          <w:bCs w:val="false"/>
          <w:i w:val="false"/>
          <w:iCs w:val="false"/>
          <w:color w:val="000000"/>
        </w:rPr>
        <w:t xml:space="preserve">  </w:t>
      </w:r>
      <w:r>
        <w:rPr>
          <w:b w:val="false"/>
          <w:bCs w:val="false"/>
          <w:i w:val="false"/>
          <w:iCs w:val="false"/>
          <w:color w:val="000000"/>
        </w:rPr>
        <w:t xml:space="preserve">Webersinke, N., Kraus, M., Bingler, J., &amp; Leippold, M. (2021). ClimateBert: A Pretrained Language Model for Climate-Related Text.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https://doi.org/10.48550/arxiv.2110.12010</w:t>
      </w:r>
      <w:r>
        <w:rPr>
          <w:b w:val="false"/>
          <w:bCs w:val="false"/>
          <w:i w:val="false"/>
          <w:iCs w:val="false"/>
          <w:color w:val="000000"/>
        </w:rPr>
        <w:t xml:space="preserve">
</w:t>
      </w:r>
      <w:bookmarkEnd w:id="1"/>
    </w:p>
    <w:p>
      <w:pPr>
        <w:pStyle w:val="JenniRefBody"/>
        <w:ind w:start="720" w:hanging="720"/>
      </w:pPr>
      <w:bookmarkStart w:name="dd2e4deb1df9b61b3455680d28f3464a" w:id="1"/>
      <w:r>
        <w:rPr>
          <w:b w:val="false"/>
          <w:bCs w:val="false"/>
          <w:i w:val="false"/>
          <w:iCs w:val="false"/>
          <w:color w:val="000000"/>
        </w:rPr>
        <w:t xml:space="preserve">  </w:t>
      </w:r>
      <w:r>
        <w:rPr>
          <w:b w:val="false"/>
          <w:bCs w:val="false"/>
          <w:i w:val="false"/>
          <w:iCs w:val="false"/>
          <w:color w:val="000000"/>
        </w:rPr>
        <w:t xml:space="preserve">Wicaksono, A. P., Kusuma, H., Cahaya, F. R., Rosjidi, A. A., Rahman, A., &amp; Rahayu, I. (2023). Impact of institutional ownership on environmental disclosure in Indonesian companies. </w:t>
      </w:r>
      <w:r>
        <w:rPr>
          <w:b w:val="false"/>
          <w:bCs w:val="false"/>
          <w:i/>
          <w:iCs/>
          <w:color w:val="000000"/>
        </w:rPr>
        <w:t xml:space="preserve">Corporate Governance</w:t>
      </w:r>
      <w:r>
        <w:rPr>
          <w:b w:val="false"/>
          <w:bCs w:val="false"/>
          <w:i w:val="false"/>
          <w:iCs w:val="false"/>
          <w:color w:val="000000"/>
        </w:rPr>
        <w:t xml:space="preserve">, </w:t>
      </w:r>
      <w:r>
        <w:rPr>
          <w:b w:val="false"/>
          <w:bCs w:val="false"/>
          <w:i/>
          <w:iCs/>
          <w:color w:val="000000"/>
        </w:rPr>
        <w:t xml:space="preserve">24</w:t>
      </w:r>
      <w:r>
        <w:rPr>
          <w:b w:val="false"/>
          <w:bCs w:val="false"/>
          <w:i w:val="false"/>
          <w:iCs w:val="false"/>
          <w:color w:val="000000"/>
        </w:rPr>
        <w:t xml:space="preserve">(1), 139–154. </w:t>
      </w:r>
      <w:r>
        <w:rPr>
          <w:b w:val="false"/>
          <w:bCs w:val="false"/>
          <w:i w:val="false"/>
          <w:iCs w:val="false"/>
          <w:color w:val="000000"/>
        </w:rPr>
        <w:t xml:space="preserve">https://doi.org/10.1108/cg-08-2022-0356</w:t>
      </w:r>
      <w:r>
        <w:rPr>
          <w:b w:val="false"/>
          <w:bCs w:val="false"/>
          <w:i w:val="false"/>
          <w:iCs w:val="false"/>
          <w:color w:val="000000"/>
        </w:rPr>
        <w:t xml:space="preserve">
</w:t>
      </w:r>
      <w:bookmarkEnd w:id="1"/>
    </w:p>
    <w:p>
      <w:pPr>
        <w:pStyle w:val="JenniRefBody"/>
        <w:ind w:start="720" w:hanging="720"/>
      </w:pPr>
      <w:bookmarkStart w:name="75be3d0fd19c57712b9c77ba830da2cc" w:id="1"/>
      <w:r>
        <w:rPr>
          <w:b w:val="false"/>
          <w:bCs w:val="false"/>
          <w:i w:val="false"/>
          <w:iCs w:val="false"/>
          <w:color w:val="000000"/>
        </w:rPr>
        <w:t xml:space="preserve">  </w:t>
      </w:r>
      <w:r>
        <w:rPr>
          <w:b w:val="false"/>
          <w:bCs w:val="false"/>
          <w:i w:val="false"/>
          <w:iCs w:val="false"/>
          <w:color w:val="000000"/>
        </w:rPr>
        <w:t xml:space="preserve">Wilson, B., Shallangwa, G. M., &amp; Mela, S. L. (2026). Artificial Intelligence Models for Detecting Greenwashing in UK ESG and Green Finance Projects. </w:t>
      </w:r>
      <w:r>
        <w:rPr>
          <w:b w:val="false"/>
          <w:bCs w:val="false"/>
          <w:i/>
          <w:iCs/>
          <w:color w:val="000000"/>
        </w:rPr>
        <w:t xml:space="preserve">World Journal of Advanced Research and Reviews</w:t>
      </w:r>
      <w:r>
        <w:rPr>
          <w:b w:val="false"/>
          <w:bCs w:val="false"/>
          <w:i w:val="false"/>
          <w:iCs w:val="false"/>
          <w:color w:val="000000"/>
        </w:rPr>
        <w:t xml:space="preserve">, </w:t>
      </w:r>
      <w:r>
        <w:rPr>
          <w:b w:val="false"/>
          <w:bCs w:val="false"/>
          <w:i/>
          <w:iCs/>
          <w:color w:val="000000"/>
        </w:rPr>
        <w:t xml:space="preserve">29</w:t>
      </w:r>
      <w:r>
        <w:rPr>
          <w:b w:val="false"/>
          <w:bCs w:val="false"/>
          <w:i w:val="false"/>
          <w:iCs w:val="false"/>
          <w:color w:val="000000"/>
        </w:rPr>
        <w:t xml:space="preserve">(1), 1261–1270. </w:t>
      </w:r>
      <w:r>
        <w:rPr>
          <w:b w:val="false"/>
          <w:bCs w:val="false"/>
          <w:i w:val="false"/>
          <w:iCs w:val="false"/>
          <w:color w:val="000000"/>
        </w:rPr>
        <w:t xml:space="preserve">https://doi.org/10.30574/wjarr.2026.29.1.0177</w:t>
      </w:r>
      <w:r>
        <w:rPr>
          <w:b w:val="false"/>
          <w:bCs w:val="false"/>
          <w:i w:val="false"/>
          <w:iCs w:val="false"/>
          <w:color w:val="000000"/>
        </w:rPr>
        <w:t xml:space="preserve">
</w:t>
      </w:r>
      <w:bookmarkEnd w:id="1"/>
    </w:p>
    <w:p>
      <w:pPr>
        <w:pStyle w:val="JenniRefBody"/>
        <w:ind w:start="720" w:hanging="720"/>
      </w:pPr>
      <w:bookmarkStart w:name="65452ac22b3df86383cca608fd51d550" w:id="1"/>
      <w:r>
        <w:rPr>
          <w:b w:val="false"/>
          <w:bCs w:val="false"/>
          <w:i w:val="false"/>
          <w:iCs w:val="false"/>
          <w:color w:val="000000"/>
        </w:rPr>
        <w:t xml:space="preserve">  </w:t>
      </w:r>
      <w:r>
        <w:rPr>
          <w:b w:val="false"/>
          <w:bCs w:val="false"/>
          <w:i w:val="false"/>
          <w:iCs w:val="false"/>
          <w:color w:val="000000"/>
        </w:rPr>
        <w:t xml:space="preserve">Wu, C., Ma, B., Zhang, Z., Deng, N., He, Y., &amp; Xue, Y. (2024). Evaluating Zero-Shot Multilingual Aspect-Based Sentiment Analysis with   Large Language Models.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https://doi.org/10.48550/arxiv.2412.12564</w:t>
      </w:r>
      <w:r>
        <w:rPr>
          <w:b w:val="false"/>
          <w:bCs w:val="false"/>
          <w:i w:val="false"/>
          <w:iCs w:val="false"/>
          <w:color w:val="000000"/>
        </w:rPr>
        <w:t xml:space="preserve">
</w:t>
      </w:r>
      <w:bookmarkEnd w:id="1"/>
    </w:p>
    <w:p>
      <w:pPr>
        <w:pStyle w:val="JenniRefBody"/>
        <w:ind w:start="720" w:hanging="720"/>
      </w:pPr>
      <w:bookmarkStart w:name="0cfd673a5910936670325c3e2dc3098c" w:id="1"/>
      <w:r>
        <w:rPr>
          <w:b w:val="false"/>
          <w:bCs w:val="false"/>
          <w:i w:val="false"/>
          <w:iCs w:val="false"/>
          <w:color w:val="000000"/>
        </w:rPr>
        <w:t xml:space="preserve">  </w:t>
      </w:r>
      <w:r>
        <w:rPr>
          <w:b w:val="false"/>
          <w:bCs w:val="false"/>
          <w:i w:val="false"/>
          <w:iCs w:val="false"/>
          <w:color w:val="000000"/>
        </w:rPr>
        <w:t xml:space="preserve">Wu, Y., Bo, J., Zhang, Y., Liang, S., &amp; Liu, Y. (2025). Query-Centric Graph Retrieval Augmented Generation.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https://doi.org/10.48550/arxiv.2509.21237</w:t>
      </w:r>
      <w:r>
        <w:rPr>
          <w:b w:val="false"/>
          <w:bCs w:val="false"/>
          <w:i w:val="false"/>
          <w:iCs w:val="false"/>
          <w:color w:val="000000"/>
        </w:rPr>
        <w:t xml:space="preserve">
</w:t>
      </w:r>
      <w:bookmarkEnd w:id="1"/>
    </w:p>
    <w:p>
      <w:pPr>
        <w:pStyle w:val="JenniRefBody"/>
        <w:ind w:start="720" w:hanging="720"/>
      </w:pPr>
      <w:bookmarkStart w:name="3c1c5787d6094f7dab8c41c47b7eaaa0" w:id="1"/>
      <w:r>
        <w:rPr>
          <w:b w:val="false"/>
          <w:bCs w:val="false"/>
          <w:i w:val="false"/>
          <w:iCs w:val="false"/>
          <w:color w:val="000000"/>
        </w:rPr>
        <w:t xml:space="preserve">  </w:t>
      </w:r>
      <w:r>
        <w:rPr>
          <w:b w:val="false"/>
          <w:bCs w:val="false"/>
          <w:i w:val="false"/>
          <w:iCs w:val="false"/>
          <w:color w:val="000000"/>
        </w:rPr>
        <w:t xml:space="preserve">Yang, S., &amp; Cho, W. I. (2024). Evaluating Span Extraction in Generative Paradigm: A Reflection on   Aspect-Based Sentiment Analysis.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https://doi.org/10.48550/arxiv.2404.11539</w:t>
      </w:r>
      <w:r>
        <w:rPr>
          <w:b w:val="false"/>
          <w:bCs w:val="false"/>
          <w:i w:val="false"/>
          <w:iCs w:val="false"/>
          <w:color w:val="000000"/>
        </w:rPr>
        <w:t xml:space="preserve">
</w:t>
      </w:r>
      <w:bookmarkEnd w:id="1"/>
    </w:p>
    <w:p>
      <w:pPr>
        <w:pStyle w:val="JenniRefBody"/>
        <w:ind w:start="720" w:hanging="720"/>
      </w:pPr>
      <w:bookmarkStart w:name="4c5dac48cc287a0fdae2f1cb2c6dfc6c" w:id="1"/>
      <w:r>
        <w:rPr>
          <w:b w:val="false"/>
          <w:bCs w:val="false"/>
          <w:i w:val="false"/>
          <w:iCs w:val="false"/>
          <w:color w:val="000000"/>
        </w:rPr>
        <w:t xml:space="preserve">  </w:t>
      </w:r>
      <w:r>
        <w:rPr>
          <w:b w:val="false"/>
          <w:bCs w:val="false"/>
          <w:i w:val="false"/>
          <w:iCs w:val="false"/>
          <w:color w:val="000000"/>
        </w:rPr>
        <w:t xml:space="preserve">Yang, Z., Hương, N. T. T., Nam, N. H., Nguyen, T. T. N., &amp; Cao, T. T. (2020). GREENWASHING BEHAVIOURS: CAUSES, TAXONOMY AND CONSEQUENCES BASED ON A SYSTEMATIC LITERATURE REVIEW. </w:t>
      </w:r>
      <w:r>
        <w:rPr>
          <w:b w:val="false"/>
          <w:bCs w:val="false"/>
          <w:i/>
          <w:iCs/>
          <w:color w:val="000000"/>
        </w:rPr>
        <w:t xml:space="preserve">Journal of Business Economics and Management</w:t>
      </w:r>
      <w:r>
        <w:rPr>
          <w:b w:val="false"/>
          <w:bCs w:val="false"/>
          <w:i w:val="false"/>
          <w:iCs w:val="false"/>
          <w:color w:val="000000"/>
        </w:rPr>
        <w:t xml:space="preserve">, </w:t>
      </w:r>
      <w:r>
        <w:rPr>
          <w:b w:val="false"/>
          <w:bCs w:val="false"/>
          <w:i/>
          <w:iCs/>
          <w:color w:val="000000"/>
        </w:rPr>
        <w:t xml:space="preserve">21</w:t>
      </w:r>
      <w:r>
        <w:rPr>
          <w:b w:val="false"/>
          <w:bCs w:val="false"/>
          <w:i w:val="false"/>
          <w:iCs w:val="false"/>
          <w:color w:val="000000"/>
        </w:rPr>
        <w:t xml:space="preserve">(5), 1486–1507. </w:t>
      </w:r>
      <w:r>
        <w:rPr>
          <w:b w:val="false"/>
          <w:bCs w:val="false"/>
          <w:i w:val="false"/>
          <w:iCs w:val="false"/>
          <w:color w:val="000000"/>
        </w:rPr>
        <w:t xml:space="preserve">https://doi.org/10.3846/jbem.2020.13225</w:t>
      </w:r>
      <w:r>
        <w:rPr>
          <w:b w:val="false"/>
          <w:bCs w:val="false"/>
          <w:i w:val="false"/>
          <w:iCs w:val="false"/>
          <w:color w:val="000000"/>
        </w:rPr>
        <w:t xml:space="preserve">
</w:t>
      </w:r>
      <w:bookmarkEnd w:id="1"/>
    </w:p>
    <w:p>
      <w:pPr>
        <w:pStyle w:val="JenniRefBody"/>
        <w:ind w:start="720" w:hanging="720"/>
      </w:pPr>
      <w:bookmarkStart w:name="8c961436a9561b630987cc79bcc61070" w:id="1"/>
      <w:r>
        <w:rPr>
          <w:b w:val="false"/>
          <w:bCs w:val="false"/>
          <w:i w:val="false"/>
          <w:iCs w:val="false"/>
          <w:color w:val="000000"/>
        </w:rPr>
        <w:t xml:space="preserve">  </w:t>
      </w:r>
      <w:r>
        <w:rPr>
          <w:b w:val="false"/>
          <w:bCs w:val="false"/>
          <w:i w:val="false"/>
          <w:iCs w:val="false"/>
          <w:color w:val="000000"/>
        </w:rPr>
        <w:t xml:space="preserve">Yu, E. P., &amp; Luu, B. V. (2021). International variations in ESG disclosure – Do cross-listed companies care more? </w:t>
      </w:r>
      <w:r>
        <w:rPr>
          <w:b w:val="false"/>
          <w:bCs w:val="false"/>
          <w:i/>
          <w:iCs/>
          <w:color w:val="000000"/>
        </w:rPr>
        <w:t xml:space="preserve">International Review of Financial Analysis</w:t>
      </w:r>
      <w:r>
        <w:rPr>
          <w:b w:val="false"/>
          <w:bCs w:val="false"/>
          <w:i w:val="false"/>
          <w:iCs w:val="false"/>
          <w:color w:val="000000"/>
        </w:rPr>
        <w:t xml:space="preserve">, </w:t>
      </w:r>
      <w:r>
        <w:rPr>
          <w:b w:val="false"/>
          <w:bCs w:val="false"/>
          <w:i/>
          <w:iCs/>
          <w:color w:val="000000"/>
        </w:rPr>
        <w:t xml:space="preserve">75</w:t>
      </w:r>
      <w:r>
        <w:rPr>
          <w:b w:val="false"/>
          <w:bCs w:val="false"/>
          <w:i w:val="false"/>
          <w:iCs w:val="false"/>
          <w:color w:val="000000"/>
        </w:rPr>
        <w:t xml:space="preserve">, 101731–101731. </w:t>
      </w:r>
      <w:r>
        <w:rPr>
          <w:b w:val="false"/>
          <w:bCs w:val="false"/>
          <w:i w:val="false"/>
          <w:iCs w:val="false"/>
          <w:color w:val="000000"/>
        </w:rPr>
        <w:t xml:space="preserve">https://doi.org/10.1016/j.irfa.2021.101731</w:t>
      </w:r>
      <w:r>
        <w:rPr>
          <w:b w:val="false"/>
          <w:bCs w:val="false"/>
          <w:i w:val="false"/>
          <w:iCs w:val="false"/>
          <w:color w:val="000000"/>
        </w:rPr>
        <w:t xml:space="preserve">
</w:t>
      </w:r>
      <w:bookmarkEnd w:id="1"/>
    </w:p>
    <w:p>
      <w:pPr>
        <w:pStyle w:val="JenniRefBody"/>
        <w:ind w:start="720" w:hanging="720"/>
      </w:pPr>
      <w:bookmarkStart w:name="82bd227f918f035f7fa5ae3caacf94e8" w:id="1"/>
      <w:r>
        <w:rPr>
          <w:b w:val="false"/>
          <w:bCs w:val="false"/>
          <w:i w:val="false"/>
          <w:iCs w:val="false"/>
          <w:color w:val="000000"/>
        </w:rPr>
        <w:t xml:space="preserve">  </w:t>
      </w:r>
      <w:r>
        <w:rPr>
          <w:b w:val="false"/>
          <w:bCs w:val="false"/>
          <w:i w:val="false"/>
          <w:iCs w:val="false"/>
          <w:color w:val="000000"/>
        </w:rPr>
        <w:t xml:space="preserve">Yu, M., Rabhi, F., Xia, B., Yang, Z., Tan, F. B., &amp; Lu, Q. (2025). OntoMetric: An Ontology-Driven LLM-Assisted Framework for Automated ESG Metric Knowledge Graph Generation.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https://doi.org/10.48550/arxiv.2512.01289</w:t>
      </w:r>
      <w:r>
        <w:rPr>
          <w:b w:val="false"/>
          <w:bCs w:val="false"/>
          <w:i w:val="false"/>
          <w:iCs w:val="false"/>
          <w:color w:val="000000"/>
        </w:rPr>
        <w:t xml:space="preserve">
</w:t>
      </w:r>
      <w:bookmarkEnd w:id="1"/>
    </w:p>
    <w:p>
      <w:pPr>
        <w:pStyle w:val="JenniRefBody"/>
        <w:ind w:start="720" w:hanging="720"/>
      </w:pPr>
      <w:bookmarkStart w:name="d317f428ddb9e083043c169c85f30ff8" w:id="1"/>
      <w:r>
        <w:rPr>
          <w:b w:val="false"/>
          <w:bCs w:val="false"/>
          <w:i w:val="false"/>
          <w:iCs w:val="false"/>
          <w:color w:val="000000"/>
        </w:rPr>
        <w:t xml:space="preserve">  </w:t>
      </w:r>
      <w:r>
        <w:rPr>
          <w:b w:val="false"/>
          <w:bCs w:val="false"/>
          <w:i w:val="false"/>
          <w:iCs w:val="false"/>
          <w:color w:val="000000"/>
        </w:rPr>
        <w:t xml:space="preserve">Yun, H. J., Kim, C., Hahm, M., Kim, K., &amp; Son, G. (2024). ESG Classification by Implicit Rule Learning via GPT-4.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https://doi.org/10.48550/arxiv.2403.15040</w:t>
      </w:r>
      <w:r>
        <w:rPr>
          <w:b w:val="false"/>
          <w:bCs w:val="false"/>
          <w:i w:val="false"/>
          <w:iCs w:val="false"/>
          <w:color w:val="000000"/>
        </w:rPr>
        <w:t xml:space="preserve">
</w:t>
      </w:r>
      <w:bookmarkEnd w:id="1"/>
    </w:p>
    <w:p>
      <w:pPr>
        <w:pStyle w:val="JenniRefBody"/>
        <w:ind w:start="720" w:hanging="720"/>
      </w:pPr>
      <w:bookmarkStart w:name="e0dcc2e8e25670cd47fca1403a1ad6ca" w:id="1"/>
      <w:r>
        <w:rPr>
          <w:b w:val="false"/>
          <w:bCs w:val="false"/>
          <w:i w:val="false"/>
          <w:iCs w:val="false"/>
          <w:color w:val="000000"/>
        </w:rPr>
        <w:t xml:space="preserve">  </w:t>
      </w:r>
      <w:r>
        <w:rPr>
          <w:b w:val="false"/>
          <w:bCs w:val="false"/>
          <w:i w:val="false"/>
          <w:iCs w:val="false"/>
          <w:color w:val="000000"/>
        </w:rPr>
        <w:t xml:space="preserve">Zhang, H., Cheah, Y., Alyasiri, O. M., &amp; An, J. (2024). Exploring aspect-based sentiment quadruple extraction with implicit aspects, opinions, and ChatGPT: a comprehensive survey. </w:t>
      </w:r>
      <w:r>
        <w:rPr>
          <w:b w:val="false"/>
          <w:bCs w:val="false"/>
          <w:i/>
          <w:iCs/>
          <w:color w:val="000000"/>
        </w:rPr>
        <w:t xml:space="preserve">Artificial Intelligence Review</w:t>
      </w:r>
      <w:r>
        <w:rPr>
          <w:b w:val="false"/>
          <w:bCs w:val="false"/>
          <w:i w:val="false"/>
          <w:iCs w:val="false"/>
          <w:color w:val="000000"/>
        </w:rPr>
        <w:t xml:space="preserve">, </w:t>
      </w:r>
      <w:r>
        <w:rPr>
          <w:b w:val="false"/>
          <w:bCs w:val="false"/>
          <w:i/>
          <w:iCs/>
          <w:color w:val="000000"/>
        </w:rPr>
        <w:t xml:space="preserve">57</w:t>
      </w:r>
      <w:r>
        <w:rPr>
          <w:b w:val="false"/>
          <w:bCs w:val="false"/>
          <w:i w:val="false"/>
          <w:iCs w:val="false"/>
          <w:color w:val="000000"/>
        </w:rPr>
        <w:t xml:space="preserve">(2). </w:t>
      </w:r>
      <w:r>
        <w:rPr>
          <w:b w:val="false"/>
          <w:bCs w:val="false"/>
          <w:i w:val="false"/>
          <w:iCs w:val="false"/>
          <w:color w:val="000000"/>
        </w:rPr>
        <w:t xml:space="preserve">https://doi.org/10.1007/s10462-023-10633-x</w:t>
      </w:r>
      <w:r>
        <w:rPr>
          <w:b w:val="false"/>
          <w:bCs w:val="false"/>
          <w:i w:val="false"/>
          <w:iCs w:val="false"/>
          <w:color w:val="000000"/>
        </w:rPr>
        <w:t xml:space="preserve">
</w:t>
      </w:r>
      <w:bookmarkEnd w:id="1"/>
    </w:p>
    <w:p>
      <w:pPr>
        <w:pStyle w:val="JenniRefBody"/>
        <w:ind w:start="720" w:hanging="720"/>
      </w:pPr>
      <w:bookmarkStart w:name="1fb1a57b8e283792bd70454b5df4db95" w:id="1"/>
      <w:r>
        <w:rPr>
          <w:b w:val="false"/>
          <w:bCs w:val="false"/>
          <w:i w:val="false"/>
          <w:iCs w:val="false"/>
          <w:color w:val="000000"/>
        </w:rPr>
        <w:t xml:space="preserve">  </w:t>
      </w:r>
      <w:r>
        <w:rPr>
          <w:b w:val="false"/>
          <w:bCs w:val="false"/>
          <w:i w:val="false"/>
          <w:iCs w:val="false"/>
          <w:color w:val="000000"/>
        </w:rPr>
        <w:t xml:space="preserve">Zhang, M. (2025). Unmasking Greenwashing: An NLP-Based Framework for ESG Report Verification. </w:t>
      </w:r>
      <w:r>
        <w:rPr>
          <w:b w:val="false"/>
          <w:bCs w:val="false"/>
          <w:i/>
          <w:iCs/>
          <w:color w:val="000000"/>
        </w:rPr>
        <w:t xml:space="preserve">Advances in Economics Management and Political Sciences</w:t>
      </w:r>
      <w:r>
        <w:rPr>
          <w:b w:val="false"/>
          <w:bCs w:val="false"/>
          <w:i w:val="false"/>
          <w:iCs w:val="false"/>
          <w:color w:val="000000"/>
        </w:rPr>
        <w:t xml:space="preserve">, </w:t>
      </w:r>
      <w:r>
        <w:rPr>
          <w:b w:val="false"/>
          <w:bCs w:val="false"/>
          <w:i/>
          <w:iCs/>
          <w:color w:val="000000"/>
        </w:rPr>
        <w:t xml:space="preserve">236</w:t>
      </w:r>
      <w:r>
        <w:rPr>
          <w:b w:val="false"/>
          <w:bCs w:val="false"/>
          <w:i w:val="false"/>
          <w:iCs w:val="false"/>
          <w:color w:val="000000"/>
        </w:rPr>
        <w:t xml:space="preserve">(1), 272–286. </w:t>
      </w:r>
      <w:r>
        <w:rPr>
          <w:b w:val="false"/>
          <w:bCs w:val="false"/>
          <w:i w:val="false"/>
          <w:iCs w:val="false"/>
          <w:color w:val="000000"/>
        </w:rPr>
        <w:t xml:space="preserve">https://doi.org/10.54254/2754-1169/2025.gl29576</w:t>
      </w:r>
      <w:r>
        <w:rPr>
          <w:b w:val="false"/>
          <w:bCs w:val="false"/>
          <w:i w:val="false"/>
          <w:iCs w:val="false"/>
          <w:color w:val="000000"/>
        </w:rPr>
        <w:t xml:space="preserve">
</w:t>
      </w:r>
      <w:bookmarkEnd w:id="1"/>
    </w:p>
    <w:p>
      <w:pPr>
        <w:pStyle w:val="JenniRefBody"/>
        <w:ind w:start="720" w:hanging="720"/>
      </w:pPr>
      <w:bookmarkStart w:name="957420de9fc2a9e3f4d6453e404dcd11" w:id="1"/>
      <w:r>
        <w:rPr>
          <w:b w:val="false"/>
          <w:bCs w:val="false"/>
          <w:i w:val="false"/>
          <w:iCs w:val="false"/>
          <w:color w:val="000000"/>
        </w:rPr>
        <w:t xml:space="preserve">  </w:t>
      </w:r>
      <w:r>
        <w:rPr>
          <w:b w:val="false"/>
          <w:bCs w:val="false"/>
          <w:i w:val="false"/>
          <w:iCs w:val="false"/>
          <w:color w:val="000000"/>
        </w:rPr>
        <w:t xml:space="preserve">Zhang, W., Deng, Y., Li, X., Yuan, Y., Bing, L., &amp; Lam, W. (2021, January 1). Aspect Sentiment Quad Prediction as Paraphrase Generation. </w:t>
      </w:r>
      <w:r>
        <w:rPr>
          <w:b w:val="false"/>
          <w:bCs w:val="false"/>
          <w:i/>
          <w:iCs/>
          <w:color w:val="000000"/>
        </w:rPr>
        <w:t xml:space="preserve">Proceedings of the 2021 Conference on Empirical Methods in Natural Language Processing</w:t>
      </w:r>
      <w:r>
        <w:rPr>
          <w:b w:val="false"/>
          <w:bCs w:val="false"/>
          <w:i w:val="false"/>
          <w:iCs w:val="false"/>
          <w:color w:val="000000"/>
        </w:rPr>
        <w:t xml:space="preserve">. </w:t>
      </w:r>
      <w:r>
        <w:rPr>
          <w:b w:val="false"/>
          <w:bCs w:val="false"/>
          <w:i w:val="false"/>
          <w:iCs w:val="false"/>
          <w:color w:val="000000"/>
        </w:rPr>
        <w:t xml:space="preserve">https://doi.org/10.18653/v1/2021.emnlp-main.726</w:t>
      </w:r>
      <w:r>
        <w:rPr>
          <w:b w:val="false"/>
          <w:bCs w:val="false"/>
          <w:i w:val="false"/>
          <w:iCs w:val="false"/>
          <w:color w:val="000000"/>
        </w:rPr>
        <w:t xml:space="preserve">
</w:t>
      </w:r>
      <w:bookmarkEnd w:id="1"/>
    </w:p>
    <w:p>
      <w:pPr>
        <w:pStyle w:val="JenniRefBody"/>
        <w:ind w:start="720" w:hanging="720"/>
      </w:pPr>
      <w:bookmarkStart w:name="ac7900a4bbcb0ebc39d19d4d87fcc97d" w:id="1"/>
      <w:r>
        <w:rPr>
          <w:b w:val="false"/>
          <w:bCs w:val="false"/>
          <w:i w:val="false"/>
          <w:iCs w:val="false"/>
          <w:color w:val="000000"/>
        </w:rPr>
        <w:t xml:space="preserve">  </w:t>
      </w:r>
      <w:r>
        <w:rPr>
          <w:b w:val="false"/>
          <w:bCs w:val="false"/>
          <w:i w:val="false"/>
          <w:iCs w:val="false"/>
          <w:color w:val="000000"/>
        </w:rPr>
        <w:t xml:space="preserve">Zhang, W., Deng, Y., Liu, B., Pan, S. J., &amp; Bing, L. (2024, January 1). Sentiment Analysis in the Era of Large Language Models: A Reality Check. </w:t>
      </w:r>
      <w:r>
        <w:rPr>
          <w:b w:val="false"/>
          <w:bCs w:val="false"/>
          <w:i/>
          <w:iCs/>
          <w:color w:val="000000"/>
        </w:rPr>
        <w:t xml:space="preserve">Findings of the Association for Computational Linguistics: NAACL 2022</w:t>
      </w:r>
      <w:r>
        <w:rPr>
          <w:b w:val="false"/>
          <w:bCs w:val="false"/>
          <w:i w:val="false"/>
          <w:iCs w:val="false"/>
          <w:color w:val="000000"/>
        </w:rPr>
        <w:t xml:space="preserve">. </w:t>
      </w:r>
      <w:r>
        <w:rPr>
          <w:b w:val="false"/>
          <w:bCs w:val="false"/>
          <w:i w:val="false"/>
          <w:iCs w:val="false"/>
          <w:color w:val="000000"/>
        </w:rPr>
        <w:t xml:space="preserve">https://doi.org/10.18653/v1/2024.findings-naacl.246</w:t>
      </w:r>
      <w:r>
        <w:rPr>
          <w:b w:val="false"/>
          <w:bCs w:val="false"/>
          <w:i w:val="false"/>
          <w:iCs w:val="false"/>
          <w:color w:val="000000"/>
        </w:rPr>
        <w:t xml:space="preserve">
</w:t>
      </w:r>
      <w:bookmarkEnd w:id="1"/>
    </w:p>
    <w:p>
      <w:pPr>
        <w:pStyle w:val="JenniRefBody"/>
        <w:ind w:start="720" w:hanging="720"/>
      </w:pPr>
      <w:bookmarkStart w:name="5437e3f33b1f8b1537cdb57779bf8f17" w:id="1"/>
      <w:r>
        <w:rPr>
          <w:b w:val="false"/>
          <w:bCs w:val="false"/>
          <w:i w:val="false"/>
          <w:iCs w:val="false"/>
          <w:color w:val="000000"/>
        </w:rPr>
        <w:t xml:space="preserve">  </w:t>
      </w:r>
      <w:r>
        <w:rPr>
          <w:b w:val="false"/>
          <w:bCs w:val="false"/>
          <w:i w:val="false"/>
          <w:iCs w:val="false"/>
          <w:color w:val="000000"/>
        </w:rPr>
        <w:t xml:space="preserve">Zhang, W., Li, X., Deng, Y., Bing, L., &amp; Lam, W. (2022). A Survey on Aspect-Based Sentiment Analysis: Tasks, Methods, and Challenges. </w:t>
      </w:r>
      <w:r>
        <w:rPr>
          <w:b w:val="false"/>
          <w:bCs w:val="false"/>
          <w:i/>
          <w:iCs/>
          <w:color w:val="000000"/>
        </w:rPr>
        <w:t xml:space="preserve">IEEE Transactions on Knowledge and Data Engineering</w:t>
      </w:r>
      <w:r>
        <w:rPr>
          <w:b w:val="false"/>
          <w:bCs w:val="false"/>
          <w:i w:val="false"/>
          <w:iCs w:val="false"/>
          <w:color w:val="000000"/>
        </w:rPr>
        <w:t xml:space="preserve">, </w:t>
      </w:r>
      <w:r>
        <w:rPr>
          <w:b w:val="false"/>
          <w:bCs w:val="false"/>
          <w:i/>
          <w:iCs/>
          <w:color w:val="000000"/>
        </w:rPr>
        <w:t xml:space="preserve">35</w:t>
      </w:r>
      <w:r>
        <w:rPr>
          <w:b w:val="false"/>
          <w:bCs w:val="false"/>
          <w:i w:val="false"/>
          <w:iCs w:val="false"/>
          <w:color w:val="000000"/>
        </w:rPr>
        <w:t xml:space="preserve">(11), 11019–11038. </w:t>
      </w:r>
      <w:r>
        <w:rPr>
          <w:b w:val="false"/>
          <w:bCs w:val="false"/>
          <w:i w:val="false"/>
          <w:iCs w:val="false"/>
          <w:color w:val="000000"/>
        </w:rPr>
        <w:t xml:space="preserve">https://doi.org/10.1109/tkde.2022.3230975</w:t>
      </w:r>
      <w:r>
        <w:rPr>
          <w:b w:val="false"/>
          <w:bCs w:val="false"/>
          <w:i w:val="false"/>
          <w:iCs w:val="false"/>
          <w:color w:val="000000"/>
        </w:rPr>
        <w:t xml:space="preserve">
</w:t>
      </w:r>
      <w:bookmarkEnd w:id="1"/>
    </w:p>
    <w:p>
      <w:pPr>
        <w:pStyle w:val="JenniRefBody"/>
        <w:ind w:start="720" w:hanging="720"/>
      </w:pPr>
      <w:bookmarkStart w:name="b7bbd9c89eb06cc049d17acafebbb27f" w:id="1"/>
      <w:r>
        <w:rPr>
          <w:b w:val="false"/>
          <w:bCs w:val="false"/>
          <w:i w:val="false"/>
          <w:iCs w:val="false"/>
          <w:color w:val="000000"/>
        </w:rPr>
        <w:t xml:space="preserve">  </w:t>
      </w:r>
      <w:r>
        <w:rPr>
          <w:b w:val="false"/>
          <w:bCs w:val="false"/>
          <w:i w:val="false"/>
          <w:iCs w:val="false"/>
          <w:color w:val="000000"/>
        </w:rPr>
        <w:t xml:space="preserve">Zhao, Y., Zhang, W., Xiao, L., Zheng, Y., Liu, M., &amp; Bryan, L., Wei Yang. (2026a). Advancing ESG Intelligence: An Expert-level Agent and Comprehensive Benchmark for Sustainable Finance.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https://doi.org/10.48550/arxiv.2601.08676</w:t>
      </w:r>
      <w:r>
        <w:rPr>
          <w:b w:val="false"/>
          <w:bCs w:val="false"/>
          <w:i w:val="false"/>
          <w:iCs w:val="false"/>
          <w:color w:val="000000"/>
        </w:rPr>
        <w:t xml:space="preserve">
</w:t>
      </w:r>
      <w:bookmarkEnd w:id="1"/>
    </w:p>
    <w:p>
      <w:pPr>
        <w:pStyle w:val="JenniRefBody"/>
        <w:ind w:start="720" w:hanging="720"/>
      </w:pPr>
      <w:bookmarkStart w:name="cbb1b53f16e5436c79c514019383907d" w:id="1"/>
      <w:r>
        <w:rPr>
          <w:b w:val="false"/>
          <w:bCs w:val="false"/>
          <w:i w:val="false"/>
          <w:iCs w:val="false"/>
          <w:color w:val="000000"/>
        </w:rPr>
        <w:t xml:space="preserve">  </w:t>
      </w:r>
      <w:r>
        <w:rPr>
          <w:b w:val="false"/>
          <w:bCs w:val="false"/>
          <w:i w:val="false"/>
          <w:iCs w:val="false"/>
          <w:color w:val="000000"/>
        </w:rPr>
        <w:t xml:space="preserve">Zhao, Y., Zhang, W., Xiao, L., Zheng, Y., Liu, M., &amp; Bryan, L., Wei Yang. (2026b). Advancing ESG Intelligence: An Expert-level Agent and Comprehensive Benchmark for Sustainable Finance. </w:t>
      </w:r>
      <w:r>
        <w:rPr>
          <w:b w:val="false"/>
          <w:bCs w:val="false"/>
          <w:i/>
          <w:iCs/>
          <w:color w:val="000000"/>
        </w:rPr>
        <w:t xml:space="preserve">ArXiv.Org</w:t>
      </w:r>
      <w:r>
        <w:rPr>
          <w:b w:val="false"/>
          <w:bCs w:val="false"/>
          <w:i w:val="false"/>
          <w:iCs w:val="false"/>
          <w:color w:val="000000"/>
        </w:rPr>
        <w:t xml:space="preserve">. </w:t>
      </w:r>
      <w:r>
        <w:rPr>
          <w:b w:val="false"/>
          <w:bCs w:val="false"/>
          <w:i w:val="false"/>
          <w:iCs w:val="false"/>
          <w:color w:val="000000"/>
        </w:rPr>
        <w:t xml:space="preserve">http://arxiv.org/abs/2601.08676</w:t>
      </w:r>
      <w:r>
        <w:rPr>
          <w:b w:val="false"/>
          <w:bCs w:val="false"/>
          <w:i w:val="false"/>
          <w:iCs w:val="false"/>
          <w:color w:val="000000"/>
        </w:rPr>
        <w:t xml:space="preserve">
</w:t>
      </w:r>
      <w:bookmarkEnd w:id="1"/>
    </w:p>
    <w:p>
      <w:pPr>
        <w:pStyle w:val="JenniRefBody"/>
        <w:ind w:start="720" w:hanging="720"/>
      </w:pPr>
      <w:bookmarkStart w:name="c5614eb638aaaf938b75d22adf4a17a2" w:id="1"/>
      <w:r>
        <w:rPr>
          <w:b w:val="false"/>
          <w:bCs w:val="false"/>
          <w:i w:val="false"/>
          <w:iCs w:val="false"/>
          <w:color w:val="000000"/>
        </w:rPr>
        <w:t xml:space="preserve">  </w:t>
      </w:r>
      <w:r>
        <w:rPr>
          <w:b w:val="false"/>
          <w:bCs w:val="false"/>
          <w:i w:val="false"/>
          <w:iCs w:val="false"/>
          <w:color w:val="000000"/>
        </w:rPr>
        <w:t xml:space="preserve">Zhou, C., Song, D., Tian, Y., Wu, Z., Wang, H., Zhang, X., Yang, J., Yang, Z., &amp; Zhang, S. (2024). A Comprehensive Evaluation of Large Language Models on Aspect-Based   Sentiment Analysis. </w:t>
      </w:r>
      <w:r>
        <w:rPr>
          <w:b w:val="false"/>
          <w:bCs w:val="false"/>
          <w:i/>
          <w:iCs/>
          <w:color w:val="000000"/>
        </w:rPr>
        <w:t xml:space="preserve">arXiv (Cornell University)</w:t>
      </w:r>
      <w:r>
        <w:rPr>
          <w:b w:val="false"/>
          <w:bCs w:val="false"/>
          <w:i w:val="false"/>
          <w:iCs w:val="false"/>
          <w:color w:val="000000"/>
        </w:rPr>
        <w:t xml:space="preserve">. </w:t>
      </w:r>
      <w:r>
        <w:rPr>
          <w:b w:val="false"/>
          <w:bCs w:val="false"/>
          <w:i w:val="false"/>
          <w:iCs w:val="false"/>
          <w:color w:val="000000"/>
        </w:rPr>
        <w:t xml:space="preserve">https://doi.org/10.48550/arxiv.2412.02279</w:t>
      </w:r>
      <w:r>
        <w:rPr>
          <w:b w:val="false"/>
          <w:bCs w:val="false"/>
          <w:i w:val="false"/>
          <w:iCs w:val="false"/>
          <w:color w:val="000000"/>
        </w:rPr>
        <w:t xml:space="preserve">
</w:t>
      </w:r>
      <w:bookmarkEnd w:id="1"/>
    </w:p>
    <w:p>
      <w:pPr>
        <w:pStyle w:val="JenniRefBody"/>
        <w:ind w:start="720" w:hanging="720"/>
      </w:pPr>
      <w:bookmarkStart w:name="f97014ef9c0f4f9aba4a5e074a6cc774" w:id="1"/>
      <w:r>
        <w:rPr>
          <w:b w:val="false"/>
          <w:bCs w:val="false"/>
          <w:i w:val="false"/>
          <w:iCs w:val="false"/>
          <w:color w:val="000000"/>
        </w:rPr>
        <w:t xml:space="preserve">  </w:t>
      </w:r>
      <w:r>
        <w:rPr>
          <w:b w:val="false"/>
          <w:bCs w:val="false"/>
          <w:i w:val="false"/>
          <w:iCs w:val="false"/>
          <w:color w:val="000000"/>
        </w:rPr>
        <w:t xml:space="preserve">Ziems, C., Held, W. A., Shaikh, O. A., Chen, J., Zhang, Z., &amp; Yang, D. (2023). Can Large Language Models Transform Computational Social Science? </w:t>
      </w:r>
      <w:r>
        <w:rPr>
          <w:b w:val="false"/>
          <w:bCs w:val="false"/>
          <w:i/>
          <w:iCs/>
          <w:color w:val="000000"/>
        </w:rPr>
        <w:t xml:space="preserve">Computational Linguistics</w:t>
      </w:r>
      <w:r>
        <w:rPr>
          <w:b w:val="false"/>
          <w:bCs w:val="false"/>
          <w:i w:val="false"/>
          <w:iCs w:val="false"/>
          <w:color w:val="000000"/>
        </w:rPr>
        <w:t xml:space="preserve">, </w:t>
      </w:r>
      <w:r>
        <w:rPr>
          <w:b w:val="false"/>
          <w:bCs w:val="false"/>
          <w:i/>
          <w:iCs/>
          <w:color w:val="000000"/>
        </w:rPr>
        <w:t xml:space="preserve">50</w:t>
      </w:r>
      <w:r>
        <w:rPr>
          <w:b w:val="false"/>
          <w:bCs w:val="false"/>
          <w:i w:val="false"/>
          <w:iCs w:val="false"/>
          <w:color w:val="000000"/>
        </w:rPr>
        <w:t xml:space="preserve">(1), 237–291. </w:t>
      </w:r>
      <w:r>
        <w:rPr>
          <w:b w:val="false"/>
          <w:bCs w:val="false"/>
          <w:i w:val="false"/>
          <w:iCs w:val="false"/>
          <w:color w:val="000000"/>
        </w:rPr>
        <w:t xml:space="preserve">https://doi.org/10.1162/coli_a_00502</w:t>
      </w:r>
      <w:r>
        <w:rPr>
          <w:b w:val="false"/>
          <w:bCs w:val="false"/>
          <w:i w:val="false"/>
          <w:iCs w:val="false"/>
          <w:color w:val="000000"/>
        </w:rPr>
        <w:t xml:space="preserve">
</w:t>
      </w:r>
      <w:bookmarkEnd w:id="1"/>
    </w:p>
    <w:p>
      <w:pPr>
        <w:pStyle w:val="JenniRefBody"/>
        <w:ind w:start="720" w:hanging="720"/>
      </w:pPr>
      <w:bookmarkStart w:name="37c055f7001798a920e0e3a6da813025" w:id="1"/>
      <w:r>
        <w:rPr>
          <w:b w:val="false"/>
          <w:bCs w:val="false"/>
          <w:i w:val="false"/>
          <w:iCs w:val="false"/>
          <w:color w:val="000000"/>
        </w:rPr>
        <w:t xml:space="preserve">  </w:t>
      </w:r>
      <w:r>
        <w:rPr>
          <w:b w:val="false"/>
          <w:bCs w:val="false"/>
          <w:i w:val="false"/>
          <w:iCs w:val="false"/>
          <w:color w:val="000000"/>
        </w:rPr>
        <w:t xml:space="preserve">Zou, Y., Shi, M., Chen, Z., Deng, Z., Lei, Z., Zeng, Z., Yang, S., Tong, H., Xiao, L., &amp; Zhou, W. (2023). ESGReveal: An LLM-based approach for extracting structured data from ESG reports. In </w:t>
      </w:r>
      <w:r>
        <w:rPr>
          <w:b w:val="false"/>
          <w:bCs w:val="false"/>
          <w:i/>
          <w:iCs/>
          <w:color w:val="000000"/>
        </w:rPr>
        <w:t xml:space="preserve">arXiv (Cornell University)</w:t>
      </w:r>
      <w:r>
        <w:rPr>
          <w:b w:val="false"/>
          <w:bCs w:val="false"/>
          <w:i w:val="false"/>
          <w:iCs w:val="false"/>
          <w:color w:val="000000"/>
        </w:rPr>
        <w:t xml:space="preserve">. Cornell University. </w:t>
      </w:r>
      <w:r>
        <w:rPr>
          <w:b w:val="false"/>
          <w:bCs w:val="false"/>
          <w:i w:val="false"/>
          <w:iCs w:val="false"/>
          <w:color w:val="000000"/>
        </w:rPr>
        <w:t xml:space="preserve">https://doi.org/10.48550/arxiv.2312.17264</w:t>
      </w:r>
      <w:r>
        <w:rPr>
          <w:b w:val="false"/>
          <w:bCs w:val="false"/>
          <w:i w:val="false"/>
          <w:iCs w:val="false"/>
          <w:color w:val="000000"/>
        </w:rPr>
        <w:t xml:space="preserve">
</w:t>
      </w:r>
      <w:bookmarkEnd w:id="1"/>
    </w:p>
    <w:p>
      <w:pPr>
        <w:pStyle w:val="JenniRefBody"/>
        <w:ind w:start="720" w:hanging="720"/>
      </w:pPr>
      <w:bookmarkStart w:name="91ab63679977812c0917c94eb3fd873f" w:id="1"/>
      <w:r>
        <w:rPr>
          <w:b w:val="false"/>
          <w:bCs w:val="false"/>
          <w:i w:val="false"/>
          <w:iCs w:val="false"/>
          <w:color w:val="000000"/>
        </w:rPr>
        <w:t xml:space="preserve">  </w:t>
      </w:r>
      <w:r>
        <w:rPr>
          <w:b w:val="false"/>
          <w:bCs w:val="false"/>
          <w:i w:val="false"/>
          <w:iCs w:val="false"/>
          <w:color w:val="000000"/>
        </w:rPr>
        <w:t xml:space="preserve">Zrnic, T., &amp; Candès, E. J. (2024). Cross-prediction-powered inference. </w:t>
      </w:r>
      <w:r>
        <w:rPr>
          <w:b w:val="false"/>
          <w:bCs w:val="false"/>
          <w:i/>
          <w:iCs/>
          <w:color w:val="000000"/>
        </w:rPr>
        <w:t xml:space="preserve">Proceedings of the National Academy of Sciences</w:t>
      </w:r>
      <w:r>
        <w:rPr>
          <w:b w:val="false"/>
          <w:bCs w:val="false"/>
          <w:i w:val="false"/>
          <w:iCs w:val="false"/>
          <w:color w:val="000000"/>
        </w:rPr>
        <w:t xml:space="preserve">, </w:t>
      </w:r>
      <w:r>
        <w:rPr>
          <w:b w:val="false"/>
          <w:bCs w:val="false"/>
          <w:i/>
          <w:iCs/>
          <w:color w:val="000000"/>
        </w:rPr>
        <w:t xml:space="preserve">121</w:t>
      </w:r>
      <w:r>
        <w:rPr>
          <w:b w:val="false"/>
          <w:bCs w:val="false"/>
          <w:i w:val="false"/>
          <w:iCs w:val="false"/>
          <w:color w:val="000000"/>
        </w:rPr>
        <w:t xml:space="preserve">(15). </w:t>
      </w:r>
      <w:r>
        <w:rPr>
          <w:b w:val="false"/>
          <w:bCs w:val="false"/>
          <w:i w:val="false"/>
          <w:iCs w:val="false"/>
          <w:color w:val="000000"/>
        </w:rPr>
        <w:t xml:space="preserve">https://doi.org/10.1073/pnas.2322083121</w:t>
      </w:r>
      <w:r>
        <w:rPr>
          <w:b w:val="false"/>
          <w:bCs w:val="false"/>
          <w:i w:val="false"/>
          <w:iCs w:val="false"/>
          <w:color w:val="000000"/>
        </w:rPr>
        <w:t xml:space="preserve">
</w:t>
      </w:r>
      <w:bookmarkEnd w:id="1"/>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JA" w:author="Jenni AI" w:date="2026-05-30T16:06:30.473Z">
    <w:p>
      <w:r>
        <w:t xml:space="preserve">The sentence indicates that the subsequent text will outline six linked challenges, but the list is missing. Please complete this section.</w:t>
      </w:r>
    </w:p>
  </w:comment>
  <w:comment w:id="1" w:initials="JA" w:author="Jenni AI" w:date="2026-05-30T16:06:30.568Z">
    <w:p>
      <w:r>
        <w:t xml:space="preserve">The introduction clearly articulates the challenge of bilingual disclosure patterns in Indonesian reports. To strengthen the motivation, consider briefly mentioning how the proposed methodology plans to address the nuances of bilingual alignment, perhaps referencing current best practices like "domain-adaptive span representation" from recent literature like FinATG (2025).</w:t>
      </w:r>
    </w:p>
  </w:comment>
  <w:comment w:id="2" w:initials="JA" w:author="Jenni AI" w:date="2026-05-30T16:06:30.595Z">
    <w:p>
      <w:r>
        <w:t xml:space="preserve">The problem statement correctly highlights the need for reproducibility and mentions "ontology mappings" as a key output. However, the literature audit flags "concept alignment" as a critical challenge for LLMs in financial reporting, especially when mapping to hierarchical taxonomies (FinTagging, 2025). Consider briefly acknowledging this specific challenge in the problem statement, as it directly impacts the "structured, validated" nature of the evidence records.</w:t>
      </w:r>
    </w:p>
  </w:comment>
  <w:comment w:id="3" w:initials="JA" w:author="Jenni AI" w:date="2026-05-30T16:06:30.658Z">
    <w:p>
      <w:r>
        <w:t xml:space="preserve">While "human annotations" are listed as an aligned signal, given the complexity of ESG and the "uncertainty-guided allocation" standards for human-in-the-loop (HITL) processes in financial NLP (CoAnnotating, 2023), it would be beneficial to briefly introduce how human involvement might be strategically integrated to address areas of high model uncertainty in the pipeline.</w:t>
      </w:r>
    </w:p>
  </w:comment>
  <w:comment w:id="4" w:initials="JA" w:author="Jenni AI" w:date="2026-05-30T16:06:31.595Z">
    <w:p>
      <w:r>
        <w:t xml:space="preserve">This research question uses ClimateBERT as a benchmark for comparison. However, the audit findings indicate that ClimateBERT (2021) is an encoder-only model and may no longer be the most competitive baseline for complex extraction tasks. More recent and specialized LLMs, such as SusGen-GPT / TCFD-Bench (2024/2025) or ESGenius (2025), have emerged as state-of-the-art for ESG report generation and extraction. The authors should consider benchmarking against or discussing these more recent models to ensure the relevance and impact of their comparisons.</w:t>
      </w:r>
    </w:p>
  </w:comment>
  <w:comment w:id="5" w:initials="JA" w:author="Jenni AI" w:date="2026-05-30T16:06:31.631Z">
    <w:p>
      <w:r>
        <w:t xml:space="preserve">The research question touches upon 'unmapped aspects' which implies aligning extracted data with ontologies. The audit findings highlight 'Record-to-Taxonomy Alignment' as a critical challenge, with work like FinTagging (2025) introducing the 'FinCL' (Concept Linking) task. This task specifically benchmarks an LLM's ability to map extracted facts to hierarchical concepts. It would strengthen this research question to explicitly consider the challenges of semantic alignment to hierarchical financial taxonomies and potentially incorporate methods or benchmarks from this recent work.</w:t>
      </w:r>
    </w:p>
  </w:comment>
  <w:comment w:id="6" w:initials="JA" w:author="Jenni AI" w:date="2026-05-30T16:06:31.652Z">
    <w:p>
      <w:r>
        <w:t xml:space="preserve">This research question addresses reproducibility and artifact lineage, which is crucial for LLM-based systems. The audit findings mention established 'commit-then-justify' protocols (e.g., FinReflectKG - EvalBench, 2025; GenAudit, 2024) for knowledge graph extraction and fact-checking. Adopting or comparing against these standardized protocols could further strengthen the methodology for ensuring auditability and reliable provenance in the pipeline.</w:t>
      </w:r>
    </w:p>
  </w:comment>
  <w:comment w:id="7" w:initials="JA" w:author="Jenni AI" w:date="2026-05-30T16:06:32.974Z">
    <w:p>
      <w:r>
        <w:t xml:space="preserve">The abstract states that a Cohen's kappa of 0.645 indicates "moderate alignment". However, standard interpretations of Cohen's kappa typically classify values between 0.61 and 0.80 as "substantial agreement." While this is a minor difference, consistency in terminology would be beneficial.</w:t>
      </w:r>
    </w:p>
  </w:comment>
  <w:comment w:id="8" w:initials="JA" w:author="Jenni AI" w:date="2026-05-30T16:06:33.016Z">
    <w:p>
      <w:r>
        <w:t xml:space="preserve">The abstract mentions "ontology mapping" and "an ontology-oriented path for extending Indonesian ESG vocabulary into RDF, OWL, and Neo4j graph formats." While this is a valuable contribution, recent literature such as FinTagging (2025) highlights "concept alignment" as a critical and challenging issue when mapping extracted facts to hierarchical financial taxonomies. The abstract would be strengthened by acknowledging this inherent complexity, especially given the ambition of aligning Indonesian-specific terms with international standards.</w:t>
      </w:r>
    </w:p>
  </w:comment>
  <w:comment w:id="9" w:initials="JA" w:author="Jenni AI" w:date="2026-05-30T16:06:33.051Z">
    <w:p>
      <w:r>
        <w:t xml:space="preserve">The abstract states that the framework "preserves source provenance, prompt/model metadata" and delivers a "reproducible artifact lineage." The audit findings note that while provenance is crucial, established standards for strengthening its implementation, such as "commit-then-justify" protocols (e.g., FinReflectKG - EvalBench, 2025) and systems for fact-checking LLM responses (e.g., GenAudit, 2024), exist. Explicitly mentioning how these established auditability protocols are adopted or adapted would enhance the credibility of the reproducibility claim.</w:t>
      </w:r>
    </w:p>
  </w:comment>
  <w:comment w:id="10" w:initials="JA" w:author="Jenni AI" w:date="2026-05-30T16:06:45.087Z">
    <w:p>
      <w:r>
        <w:t xml:space="preserve">While the paragraph effectively links ABSA to the complexity of sustainability disclosures, adding a general citation here that explicitly discusses the inherent complexity and potential for conflicting information within these reports would further strengthen this foundational statement, beyond just the greenwashing aspect.</w:t>
      </w:r>
    </w:p>
  </w:comment>
  <w:comment w:id="11" w:initials="JA" w:author="Jenni AI" w:date="2026-05-30T16:06:47.337Z">
    <w:p>
      <w:r>
        <w:t xml:space="preserve">While SemEval is a foundational benchmark in general ABSA, the discussion here could be strengthened by acknowledging more recent, domain-specific benchmarks relevant to ESG and sustainability reporting. For example, the audit findings mention ESGenius (2025) which provides a comprehensive benchmark for LLM domain knowledge in sustainability frameworks. This would provide a more complete picture of the current state of ABSA benchmarks in this specific field, even if the thesis is constructing its own.</w:t>
      </w:r>
    </w:p>
  </w:comment>
  <w:comment w:id="12" w:initials="JA" w:author="Jenni AI" w:date="2026-05-30T16:06:47.376Z">
    <w:p>
      <w:r>
        <w:t xml:space="preserve">The section effectively argues for the need for domain-adapted ABSA. However, it would be beneficial to explicitly state *how* this domain-specific benchmark will be constructed, what methodology will be used for annotation, and what unique challenges are anticipated in its creation, beyond simply identifying the differences from generic product reviews. This is crucial for understanding the rigor and reproducibility of the proposed domain adaptation.</w:t>
      </w:r>
    </w:p>
  </w:comment>
  <w:comment w:id="13" w:initials="JA" w:author="Jenni AI" w:date="2026-05-30T16:07:24.260Z">
    <w:p>
      <w:r>
        <w:t xml:space="preserve">While this section discusses methods for greenwashing detection, the paper's own findings section highlights a 'commitment-outcome asymmetry' as a potential indicator of greenwashing. To strengthen the claim that the proposed pipeline effectively identifies greenwashing, it would be beneficial to compare or benchmark the approach against existing quantitative greenwashing severity indices, such as the 'ESG-washing Severity Index (ESGSI)' (2024) or 'DeepGreen' (2025).</w:t>
      </w:r>
    </w:p>
  </w:comment>
  <w:comment w:id="14" w:initials="JA" w:author="Jenni AI" w:date="2026-05-30T16:07:25.032Z">
    <w:p>
      <w:r>
        <w:t xml:space="preserve">The heading for this section is 'ABSA in Non-Consumer Domains', but the table immediately above it uses the 'Rest14 = SemEval-2014 restaurant domain' benchmark. This domain is consumer-oriented, which contradicts the stated focus of the section. Please ensure consistency between the section title and the examples provided.</w:t>
      </w:r>
    </w:p>
  </w:comment>
  <w:comment w:id="15" w:initials="JA" w:author="Jenni AI" w:date="2026-05-30T16:07:25.060Z">
    <w:p>
      <w:r>
        <w:t xml:space="preserve">While this table presents a good overview of general ABSA models, the chosen benchmark (Rest14, a restaurant domain) is not directly relevant to the paper's focus on ESG in non-consumer domains. The audit findings highlight newer, specialized models and benchmarks for ESG report extraction, such as SusGen-GPT / TCFD-Bench (2024/2025) and ESGenius (2025). To strengthen the relevance to the paper's domain, consider including or referencing state-of-the-art models and benchmarks specifically designed for ESG or financial text.</w:t>
      </w:r>
    </w:p>
  </w:comment>
  <w:comment w:id="16" w:initials="JA" w:author="Jenni AI" w:date="2026-05-30T16:07:25.121Z">
    <w:p>
      <w:r>
        <w:t xml:space="preserve">The F1 score for Vamvas et al. (2025) is listed as 'SOTA +10pp vs GPT-4o'. While this indicates a strong relative performance, it is not an absolute F1 score, which makes direct quantitative comparison with other entries in the table difficult. Please provide the actual F1 score on the Rest14 benchmark (if available) or clarify why a relative metric is used here.</w:t>
      </w:r>
    </w:p>
  </w:comment>
  <w:comment w:id="17" w:initials="JA" w:author="Jenni AI" w:date="2026-05-30T16:07:28.545Z">
    <w:p>
      <w:r>
        <w:t xml:space="preserve">The claim that international frameworks lack formal machine-actionable representations is critical to the paper's motivation for developing a new approach. The cited reference "OntoMetric, 2024" is mentioned in the text but not provided in the bibliography or WORKS section. Please provide the full reference.</w:t>
      </w:r>
    </w:p>
  </w:comment>
  <w:comment w:id="18" w:initials="JA" w:author="Jenni AI" w:date="2026-05-30T16:07:30.402Z">
    <w:p>
      <w:r>
        <w:t xml:space="preserve">The commitment to treating every LLM output as an auditable run artifact is a strong point. To further strengthen this, consider adopting established "commit-then-justify" protocols, as described in FinReflectKG - EvalBench (2025), which explicitly links audited triples to source chunks with bias controls. This would provide a more robust and standardized approach to provenance.</w:t>
      </w:r>
    </w:p>
  </w:comment>
  <w:comment w:id="19" w:initials="JA" w:author="Jenni AI" w:date="2026-05-30T16:07:36.740Z">
    <w:p>
      <w:r>
        <w:t xml:space="preserve">The claim that OJK's localized ESG vocabulary 'does not map directly' onto GRI or SASB terminology is central to justifying the development of a new, dual-framework taxonomy. However, the provided quote from Setyowati (2020) (CITE_31) discusses 'variation and inconsistency in interpreting what constitutes a 'green' project' and 'limited substantive regulatory oversight,' rather than explicitly stating a lack of direct vocabulary mapping. Please provide a more direct citation or rephrase the claim to accurately reflect the source's findings. Additionally, the launch of the 'Indonesia Green Taxonomy 1.0' by OJK in January 2022 (as found in 'Green Bond Market Survey for Indonesia,' 2022) is highly relevant here and should be referenced to strengthen the discussion of a localized ESG vocabulary.</w:t>
      </w:r>
    </w:p>
  </w:comment>
  <w:comment w:id="20" w:initials="JA" w:author="Jenni AI" w:date="2026-05-30T16:07:38.296Z">
    <w:p>
      <w:r>
        <w:t xml:space="preserve">This section outlines a four-tier annotation hierarchy that relies on LLM-generated pseudo-ground truth. Given the emphasis in current financial and regulatory NLP on Human-in-the-Loop (HITL) processes, particularly 'uncertainty-guided allocation' (as discussed in 'CoAnnotating' by Li et al., 2023, which is cited here), it would strengthen the methodology to explicitly detail how human intervention is triggered. Since the paper acknowledges missing human IAA, proposing a clear mechanism for human oversight, especially when LLM confidence is low or uncertainty is high, would be beneficial.</w:t>
      </w:r>
    </w:p>
  </w:comment>
  <w:comment w:id="21" w:initials="JA" w:author="Jenni AI" w:date="2026-05-30T16:07:45.218Z">
    <w:p>
      <w:r>
        <w:t xml:space="preserve">The claim of human-LLM agreement (Cohen's kappa κ = 0.788) being 'comparable to strong human-human agreement benchmarks reported in the ABSA literature' cites a 2014 paper (Pontiki et al.). While foundational, more recent literature on ABSA, especially concerning complex or ambiguous domains, often reports lower human-human kappa values (e.g., Rink et al., 2024, found κ = 0.537; Krause et al., 2024, discuss challenges in achieving high human agreement). It would strengthen this claim to reference more contemporary benchmarks for human-human agreement in ABSA, or to acknowledge the potential variability and challenges in achieving high agreement in complex domains like ESG.</w:t>
      </w:r>
    </w:p>
  </w:comment>
  <w:comment w:id="22" w:initials="JA" w:author="Jenni AI" w:date="2026-05-30T16:07:51.338Z">
    <w:p>
      <w:r>
        <w:t xml:space="preserve">This section introduces ESG ontologies and their role in mapping disclosure data, which is highly relevant to the paper's 'Semantic Mapping' component. However, the audit identifies a critical gap concerning the technical challenges of 'Record-to-Taxonomy Alignment,' specifically when mapping extracted records to hierarchical financial taxonomies. Work like 'FinTagging' (2025) highlights that models struggle with 'disambiguating closely related taxonomy entries' (the FinCL task). Given that the paper aims to align local Indonesian OJK regulations with global standards, this challenge is central. The authors should elaborate on how their pipeline addresses the complexities of accurately mapping their extracted JSON records to the specific hierarchical concepts within their chosen ESG ontology, particularly in the bilingual and regulatory context.</w:t>
      </w:r>
    </w:p>
  </w:comment>
  <w:comment w:id="23" w:initials="JA" w:author="Jenni AI" w:date="2026-05-30T16:07:58.090Z">
    <w:p>
      <w:r>
        <w:t xml:space="preserve">This paragraph details the mapping of ESG aspects to GRI and OJK frameworks. However, the audit identified "concept alignment" as a critical challenge in financial reporting taxonomies (e.g., FinTagging, 2025). The current description implies a straightforward mapping, but research indicates that disambiguating closely related taxonomy entries is a primary failure point for LLMs. The authors should elaborate on the methodology used to ensure robust semantic alignment between the extracted records and the hierarchical taxonomies, especially given the bilingual nature (Indonesian OJK to English GRI).</w:t>
      </w:r>
    </w:p>
  </w:comment>
  <w:comment w:id="24" w:initials="JA" w:author="Jenni AI" w:date="2026-05-30T16:07:58.154Z">
    <w:p>
      <w:r>
        <w:t xml:space="preserve">While discussing the mapping of ESG aspects to both global (GRI) and local Indonesian (OJK) frameworks, it would be beneficial to address how bilingual alignment challenges are handled. Standards in bilingual financial NLP, like those highlighted in FinATG (2025), emphasize "domain-adaptive span representation" to ensure that local regulatory terms retain their semantic weight when mapped to international standards. Discussing this aspect would strengthen the methodological rigor of the ontology design.</w:t>
      </w:r>
    </w:p>
  </w:comment>
  <w:comment w:id="25" w:initials="JA" w:author="Jenni AI" w:date="2026-05-30T16:08:05.740Z">
    <w:p>
      <w:r>
        <w:t xml:space="preserve">The section states that "fine-tuned transformer models consistently achieve near-perfect performance on human-annotated in-domain classification datasets for topic detection", but a key challenge remains adversarial reformulation. This discussion could be strengthened by referencing more recent advanced methods for identifying greenwashing, beyond classification, such as the "ESG-washing Severity Index (ESGSI)" (2024) or "DeepGreen" (2025), which offer quantitative measures of greenwashing and address the detection of more subtle greenwashing tactics.</w:t>
      </w:r>
    </w:p>
  </w:comment>
  <w:comment w:id="26" w:initials="JA" w:author="Jenni AI" w:date="2026-05-30T16:08:05.809Z">
    <w:p>
      <w:r>
        <w:t xml:space="preserve">The thesis proposes using ClimateBERT for comparison of LLM-extracted tone. While ClimateBERT is a relevant benchmark, the "Missing Benchmarks &amp; SOTA Models" audit finding highlights that the field has progressed significantly since ClimateBERT (2021). Newer, more competitive specialized models like "SusGen-GPT / TCFD-Bench" (2024/2025) and "ESGenius" (2025) are available and should be considered as a more current baseline for comparison to fully contextualize the methodological contribution.</w:t>
      </w:r>
    </w:p>
  </w:comment>
  <w:comment w:id="27" w:initials="JA" w:author="Jenni AI" w:date="2026-05-30T16:08:05.870Z">
    <w:p>
      <w:r>
        <w:t xml:space="preserve">The identified research gaps are a good starting point. However, the audit notes a "Critical" gap regarding "Record-to-Taxonomy Alignment", specifically the challenge of mapping extracted records to hierarchical financial taxonomies. This is a significant technical hurdle for LLM-based financial reporting, as highlighted by works like "FinTagging" (2025) and its "FinCL" task. Acknowledging this challenge explicitly as a gap the thesis addresses, or at least discusses, would strengthen the positioning.</w:t>
      </w:r>
    </w:p>
  </w:comment>
  <w:comment w:id="28" w:initials="JA" w:author="Jenni AI" w:date="2026-05-30T16:08:05.928Z">
    <w:p>
      <w:r>
        <w:t xml:space="preserve">The audit findings also point out a "Minor" gap in "Auditability &amp; Provenance Protocols", specifically recommending the adoption of established "commit-then-justify" protocols (e.g., "FinReflectKG - EvalBench", 2025, or "GenAudit", 2024). While the synopsis mentions "Pipeline Reproducibility", incorporating this specific gap related to the evaluation and standardization of provenance would enhance the robustness of the methodology outlined for reproducibility.</w:t>
      </w:r>
    </w:p>
  </w:comment>
  <w:comment w:id="29" w:initials="JA" w:author="Jenni AI" w:date="2026-05-30T16:08:08.255Z">
    <w:p>
      <w:r>
        <w:t xml:space="preserve">The claim of addressing "greenwashing-oriented diagnostics" should be contextualized against recent quantitative indices like the ESG-washing Severity Index (2024) or DeepGreen (2025). Without this, the novelty of the diagnostic approach is not fully established.</w:t>
      </w:r>
    </w:p>
  </w:comment>
  <w:comment w:id="30" w:initials="JA" w:author="Jenni AI" w:date="2026-05-30T16:08:08.339Z">
    <w:p>
      <w:r>
        <w:t xml:space="preserve">While the thesis uses ClimateBERT for comparison, the field has progressed significantly. The research gap should acknowledge the most recent state-of-the-art models for ESG report generation and extraction, such as SusGen-GPT / TCFD-Bench (2024/2025) and ESGenius (2025), to fully justify the novelty and competitive positioning of the proposed system.</w:t>
      </w:r>
    </w:p>
  </w:comment>
  <w:comment w:id="31" w:initials="JA" w:author="Jenni AI" w:date="2026-05-30T16:08:08.400Z">
    <w:p>
      <w:r>
        <w:t xml:space="preserve">This point is too broad. Current field standards for Human-in-the-Loop workflows, especially in financial NLP, emphasize "uncertainty-guided allocation" (e.g., the CoAnnotating paper from 2023). The gap should specify how the thesis's approach to human and silver annotation aligns with or advances these more sophisticated standards.</w:t>
      </w:r>
    </w:p>
  </w:comment>
  <w:comment w:id="32" w:initials="JA" w:author="Jenni AI" w:date="2026-05-30T16:08:08.461Z">
    <w:p>
      <w:r>
        <w:t xml:space="preserve">The challenge of "Ontology mapping" in financial reporting is more complex than simply combining elements. Recent work like FinTagging (2025) highlights "concept alignment" and "disambiguating closely related taxonomy entries" as critical technical hurdles for LLMs. The research gap formulation should acknowledge these specific technical challenges that the thesis aims to address in its mapping process.</w:t>
      </w:r>
    </w:p>
  </w:comment>
  <w:comment w:id="33" w:initials="JA" w:author="Jenni AI" w:date="2026-05-30T16:08:17.654Z">
    <w:p>
      <w:r>
        <w:t xml:space="preserve">The reliance on ClimateBERT (2021) for validation and as part of the T1 layer might be outdated. Newer, more specialized LLMs like SusGen-GPT/TCFD-Bench (2024/2025) or benchmarks like ESGenius (2025) have emerged, potentially offering more competitive baselines and a more rigorous comparison for the complex extraction tasks.</w:t>
      </w:r>
    </w:p>
  </w:comment>
  <w:comment w:id="34" w:initials="JA" w:author="Jenni AI" w:date="2026-05-30T16:08:17.735Z">
    <w:p>
      <w:r>
        <w:t xml:space="preserve">The reliance on ClimateBERT (2021) as part of the T1 layer might be outdated. Newer, more specialized LLMs like SusGen-GPT/TCFD-Bench (2024/2025) or benchmarks like ESGenius (2025) have emerged, potentially offering more competitive baselines and a more rigorous comparison for the complex extraction tasks.</w:t>
      </w:r>
    </w:p>
  </w:comment>
  <w:comment w:id="35" w:initials="JA" w:author="Jenni AI" w:date="2026-05-30T16:08:17.840Z">
    <w:p>
      <w:r>
        <w:t xml:space="preserve">While the research motivation highlights the bilingual nature of Indonesian ESG reports, the methodology does not explicitly detail how this is specifically addressed at each stage, especially in OCR, extraction, and mapping. Current standards for bilingual financial NLP, such as those proposed in FinATG (2025), recommend domain-adaptive span representation to preserve semantic weight for culture-specific terms.</w:t>
      </w:r>
    </w:p>
  </w:comment>
  <w:comment w:id="36" w:initials="JA" w:author="Jenni AI" w:date="2026-05-30T16:08:17.929Z">
    <w:p>
      <w:r>
        <w:t xml:space="preserve">The section mentions "Ground-truth annotation and metrics" but lacks detail on the proposed Human-in-the-Loop (HITL) process. Given the admitted lack of human inter-annotator agreement (IAA) in the synopsis, it would strengthen the methodology to specify how human intervention will be guided by uncertainty, aligning with current financial NLP standards like uncertainty-guided allocation as seen in CoAnnotating (2023).</w:t>
      </w:r>
    </w:p>
  </w:comment>
  <w:comment w:id="37" w:initials="JA" w:author="Jenni AI" w:date="2026-05-30T16:08:18.118Z">
    <w:p>
      <w:r>
        <w:t xml:space="preserve">The methodology mentions "LLM-based ESG statement extraction" but does not specify the model used, its version, hyperparameters, or how prompt versioning will be managed. For reproducibility and transparency, it is essential to adhere to reporting conventions for LLM use as recommended by papers such as Liskowski &amp; Jankowski (2026), which suggest detailing model configuration, prompt lineage, and cost-performance trade-offs.</w:t>
      </w:r>
    </w:p>
  </w:comment>
  <w:comment w:id="38" w:initials="JA" w:author="Jenni AI" w:date="2026-05-30T16:08:18.373Z">
    <w:p>
      <w:r>
        <w:t xml:space="preserve">The section states "Ontology mapping and graph export" as a methodological step. Given the audit findings highlight "concept alignment" as a primary failure point for LLMs in financial reporting (e.g., FinTagging, 2025), it would strengthen the methodology to include how the semantic alignment to hierarchical financial taxonomies (like OJK or US-GAAP) will be managed and evaluated to avoid inconsistencies.</w:t>
      </w:r>
    </w:p>
  </w:comment>
  <w:comment w:id="39" w:initials="JA" w:author="Jenni AI" w:date="2026-05-30T16:08:23.234Z">
    <w:p>
      <w:r>
        <w:t xml:space="preserve">The claim that document-level ESG scoring cannot distinguish commitments, actions, or outcomes, and therefore struggles with greenwashing, is a strong foundational point for this paper. To further strengthen this assertion and demonstrate the value of the proposed pipeline, consider benchmarking its ability to identify potential greenwashing against recent quantitative indices like the "ESG-washing Severity Index (ESGSI)" (2024) or "DeepGreen" (2025). This would provide a clearer context for how the pipeline's granularity translates into improved greenwashing detection compared to existing methods.</w:t>
      </w:r>
    </w:p>
  </w:comment>
  <w:comment w:id="40" w:initials="JA" w:author="Jenni AI" w:date="2026-05-30T16:08:23.335Z">
    <w:p>
      <w:r>
        <w:t xml:space="preserve">The section mentions "model and prompt stability tables" for tracking parse success, missing-tone, and drift. To further enhance the auditability and reproducibility of the LLM-based extraction (T2), consider adopting established "commit-then-justify" provenance protocols. Works like "FinReflectKG - EvalBench" (2025) or "GenAudit" (2024) offer frameworks for linking audited triples directly to source chunks with explicit bias controls, which could significantly strengthen the claims around pipeline reproducibility.</w:t>
      </w:r>
    </w:p>
  </w:comment>
  <w:comment w:id="41" w:initials="JA" w:author="Jenni AI" w:date="2026-05-30T16:08:25.658Z">
    <w:p>
      <w:r>
        <w:t xml:space="preserve">The diagram presents a high-level overview, but for the "ONTO" (ontology) step, it would be beneficial to elaborate on the specific methodologies or strategies employed to address the known challenges of mapping LLM-extracted records to hierarchical financial taxonomies. Recent research, such as FinTagging (2025), highlights concept alignment as a primary failure point for LLMs in financial reporting, struggling with disambiguating closely related taxonomy entries. Discussing how your approach tackles this critical issue would strengthen the paper.</w:t>
      </w:r>
    </w:p>
  </w:comment>
  <w:comment w:id="42" w:initials="JA" w:author="Jenni AI" w:date="2026-05-30T16:08:25.749Z">
    <w:p>
      <w:r>
        <w:t xml:space="preserve">While acknowledging ClimateBERT's role in climate-specific validation, the audit notes that more recent and specialized LLMs, such as SusGen-GPT (2024/2025) and ESGenius (2025), offer superior performance and more rigorous benchmarks for ESG extraction. Consider discussing how your ClimateBERT component aligns with or could be updated by these state-of-the-art models, especially given their performance on complex tasks.</w:t>
      </w:r>
    </w:p>
  </w:comment>
  <w:comment w:id="43" w:initials="JA" w:author="Jenni AI" w:date="2026-05-30T16:08:25.846Z">
    <w:p>
      <w:r>
        <w:t xml:space="preserve">The paper rightly emphasizes reproducibility and the need for prompt stability checks for the LLM layer. To strengthen the claim of a "provenance-aware" pipeline, especially for LLM outputs, consider detailing how your system incorporates established auditability protocols like "commit-then-justify." Works such as FinReflectKG - EvalBench (2025) and GenAudit (2024) propose methods for linking audited triples to source chunks with explicit bias controls, which could enhance the scientific validity of LLM-based extractions beyond basic stability checks.</w:t>
      </w:r>
    </w:p>
  </w:comment>
  <w:comment w:id="44" w:initials="JA" w:author="Jenni AI" w:date="2026-05-30T16:08:27.928Z">
    <w:p>
      <w:r>
        <w:t xml:space="preserve">This list appears to summarize the overall outputs and artifacts of the entire pipeline. Its placement here, before the specific methodology section on OCR, makes the document flow confusing. Consider moving this to a dedicated 'Results Overview' or 'Artifacts' section to improve clarity.</w:t>
      </w:r>
    </w:p>
  </w:comment>
  <w:comment w:id="45" w:initials="JA" w:author="Jenni AI" w:date="2026-05-30T16:08:28.011Z">
    <w:p>
      <w:r>
        <w:t xml:space="preserve">While correctly identifying OCR quality as a methodological risk, the section does not provide any quantitative metrics like Character Error Rate (CER) or word error rate (WER). The document synopsis notes this is a missing element. Providing these metrics is standard practice for evaluating OCR performance, especially when it's acknowledged as a critical upstream component influencing all downstream labels. Without such metrics, it's challenging for readers to assess the actual reliability of the initial data.</w:t>
      </w:r>
    </w:p>
  </w:comment>
  <w:comment w:id="46" w:initials="JA" w:author="Jenni AI" w:date="2026-05-30T16:08:39.355Z">
    <w:p>
      <w:r>
        <w:t xml:space="preserve">This is a good start for tracking provenance. However, the audit highlights recent advances in auditability protocols, such as the 'commit-then-justify' approach introduced by FinReflectKG - EvalBench (2025). Could you elaborate on how these tracked elements are used to ensure the reproducibility and auditability of the LLM extractions, especially concerning potential biases or non-determinism, as suggested by these more rigorous standards?</w:t>
      </w:r>
    </w:p>
  </w:comment>
  <w:comment w:id="47" w:initials="JA" w:author="Jenni AI" w:date="2026-05-30T16:08:39.438Z">
    <w:p>
      <w:r>
        <w:t xml:space="preserve">The design of `aspect` and `esg` fields is foundational for mapping to hierarchical taxonomies (OJK, GRI, SASB). The audit findings point to 'Record-to-Taxonomy Alignment' as a critical challenge, noting that models struggle with disambiguating closely related taxonomy entries (FinTagging, 2025). Could you clarify how this schema design specifically mitigates or addresses these known challenges in semantic alignment to ensure consistency across different frameworks?</w:t>
      </w:r>
    </w:p>
  </w:comment>
  <w:comment w:id="48" w:initials="JA" w:author="Jenni AI" w:date="2026-05-30T16:08:39.548Z">
    <w:p>
      <w:r>
        <w:t xml:space="preserve">While ClimateBERT provides a useful baseline, the audit findings indicate that the field has progressed significantly since 2021. More recent and specialized models like SusGen-GPT (2024/2025) and comprehensive benchmarks such as ESGenius (2025) offer state-of-the-art performance for ESG extraction and cross-verification. Comparing your pipeline's performance against these more current benchmarks would significantly strengthen the validation of your approach.</w:t>
      </w:r>
    </w:p>
  </w:comment>
  <w:comment w:id="49" w:initials="JA" w:author="Jenni AI" w:date="2026-05-30T16:08:39.626Z">
    <w:p>
      <w:r>
        <w:t xml:space="preserve">The observation that disagreement between ClimateBERT and your ABSA schema is 'analytically useful' is insightful, as it highlights differing construct validity. Given the financial and regulatory context, the audit findings emphasize the importance of 'Human-in-the-Loop (HITL)' standards, particularly 'uncertainty-guided allocation' (CoAnnotating, 2023). How does your pipeline leverage these disagreements to guide human review or prioritize cases for further scrutiny, especially where initial automated classifications diverge significantly?</w:t>
      </w:r>
    </w:p>
  </w:comment>
  <w:comment w:id="50" w:initials="JA" w:author="Jenni AI" w:date="2026-05-30T16:08:42.336Z">
    <w:p>
      <w:r>
        <w:t xml:space="preserve">This section currently lacks the detailed description of the experimental setup, methodologies, and actual results expected under this heading. It primarily lists files and provides a very high-level overview of the implementation environment. Please elaborate on the experimental design, data collection, model architectures, and present your findings here.</w:t>
      </w:r>
    </w:p>
  </w:comment>
  <w:comment w:id="51" w:initials="JA" w:author="Jenni AI" w:date="2026-05-30T16:08:42.421Z">
    <w:p>
      <w:r>
        <w:t xml:space="preserve">The description of the implementation environment is too brief. For reproducibility, please include specific details such as the Python version, major libraries used, specific LLM models and versions, hardware specifications (e.g., GPU details if relevant for LLM training/inference), and how LLM jobs are managed (e.g., API calls, local deployment). The audit findings highlight the importance of following reporting conventions for LLM hyperparameters and prompt versioning; these details should be included here.</w:t>
      </w:r>
    </w:p>
  </w:comment>
  <w:comment w:id="52" w:initials="JA" w:author="Jenni AI" w:date="2026-05-30T16:08:42.513Z">
    <w:p>
      <w:r>
        <w:t xml:space="preserve">This subsection is critical for understanding the experimental context but is currently empty. Please provide a detailed description of the dataset used, including its size, characteristics (e.g., number of documents, languages, types of reports), and any preprocessing steps applied to it. This information is essential for evaluating the relevance and generalizability of your results.</w:t>
      </w:r>
    </w:p>
  </w:comment>
  <w:comment w:id="53" w:initials="JA" w:author="Jenni AI" w:date="2026-05-30T16:08:44.643Z">
    <w:p>
      <w:r>
        <w:t xml:space="preserve">The description of the ground-truth workbench is good, but it would be stronger if it explicitly addressed how human intervention and annotation are managed, especially in light of the acknowledged absence of human inter-annotator agreement (IAA). The field standard for financial and regulatory NLP in 2026 emphasizes "uncertainty-guided allocation" for Human-in-the-Loop systems, as discussed in works like "CoAnnotating" (2023). Proposing a mechanism for how humans would interact with high-uncertainty LLM extractions would significantly strengthen the methodological rigor, particularly for a critical component like ground-truth.</w:t>
      </w:r>
    </w:p>
  </w:comment>
  <w:comment w:id="54" w:initials="JA" w:author="Jenni AI" w:date="2026-05-30T16:08:44.734Z">
    <w:p>
      <w:r>
        <w:t xml:space="preserve">The description of the ground-truth workbench is good, but it would be stronger if it explicitly addressed how human intervention and annotation are managed, especially in light of the acknowledged absence of human inter-annotator agreement (IAA). The field standard for financial and regulatory NLP in 2026 emphasizes \</w:t>
      </w:r>
    </w:p>
  </w:comment>
  <w:comment w:id="55" w:initials="JA" w:author="Jenni AI" w:date="2026-05-30T16:08:47.462Z">
    <w:p>
      <w:r>
        <w:t xml:space="preserve">The reported ClimateBERT metrics are a good baseline, but given the rapid advancements in LLM technology, consider also reporting performance against more recent state-of-the-art models or benchmarks for ESG extraction, such as SusGen-GPT/TCFD-Bench (2024/2025) or ESGenius (2025), to demonstrate the pipeline's competitiveness and relevance.</w:t>
      </w:r>
    </w:p>
  </w:comment>
  <w:comment w:id="56" w:initials="JA" w:author="Jenni AI" w:date="2026-05-30T16:08:47.495Z">
    <w:p>
      <w:r>
        <w:t xml:space="preserve">The number of "Structured tone records" is provided, which forms the basis for qualitative analysis. However, a critical gap identified in the audit is the lack of quantitative measures for the semantic alignment of these records to hierarchical financial taxonomies. Providing metrics on concept linking accuracy or consistency, as explored in works like "FinTagging" (2025), would significantly strengthen the results presented here.</w:t>
      </w:r>
    </w:p>
  </w:comment>
  <w:comment w:id="57" w:initials="JA" w:author="Jenni AI" w:date="2026-05-30T16:08:47.551Z">
    <w:p>
      <w:r>
        <w:t xml:space="preserve">The synopsis mentions an "executable pipeline" and "tracked artifacts" (40, as listed here). To fully support the claim of pipeline reproducibility and auditability, it would be beneficial to report on adherence to established provenance protocols, such as "commit-then-justify" models from "FinReflectKG - EvalBench" (2025) or "GenAudit" (2024), which go beyond mere artifact counts to demonstrate auditable lineage and bias controls.</w:t>
      </w:r>
    </w:p>
  </w:comment>
  <w:comment w:id="58" w:initials="JA" w:author="Jenni AI" w:date="2026-05-30T16:08:48.914Z">
    <w:p>
      <w:r>
        <w:t xml:space="preserve">This section outlines the mapping of aspect labels to ontology paths and the handling of unmapped aspects as candidates for vocabulary extension. However, it does not explicitly acknowledge or address the critical challenges of "concept alignment" when mapping extracted records to hierarchical financial taxonomies, especially in a multilingual, multi-standard context (OJK-GRI-SASB). Recent research, such as "FinTagging" (2025), demonstrates that LLMs often struggle with disambiguating closely related taxonomy entries, which can be a primary failure point in financial reporting. Discussing these known challenges and how the proposed system mitigates them would significantly strengthen this section.</w:t>
      </w:r>
    </w:p>
  </w:comment>
  <w:comment w:id="59" w:initials="JA" w:author="Jenni AI" w:date="2026-05-30T16:08:52.260Z">
    <w:p>
      <w:r>
        <w:t xml:space="preserve">This sentence refers to "these values" which are not explicitly presented or referenced in this immediate section. While likely discussed elsewhere in the paper, for improved clarity and self-containment of this section, it would be beneficial to either briefly state the values (e.g., specific agreement percentages or kappa scores) or provide a cross-reference to where these values are detailed (e.g., a specific figure or table in the Results section).</w:t>
      </w:r>
    </w:p>
  </w:comment>
  <w:comment w:id="60" w:initials="JA" w:author="Jenni AI" w:date="2026-05-30T16:08:57.278Z">
    <w:p>
      <w:r>
        <w:t xml:space="preserve">The current presentation of the artifact map as raw diagram code (e.g., Mermaid or Graphviz syntax) makes it difficult for readers to immediately grasp the intended connections without rendering it. Consider presenting the rendered diagram directly in the text, perhaps in an Appendix, or providing a clear explanation of its visual components if the raw code is meant for reproducibility.</w:t>
      </w:r>
    </w:p>
  </w:comment>
  <w:comment w:id="61" w:initials="JA" w:author="Jenni AI" w:date="2026-05-30T16:08:57.330Z">
    <w:p>
      <w:r>
        <w:t xml:space="preserve">This artifact map effectively contributes to the paper's claim about developing a 'provenance-aware' pipeline and addressing the need for artifact lineage tracking, especially given the non-deterministic nature of LLMs as discussed in works like 'LLM Stability' (2024). Making this connection more explicit in the rationale would strengthen its impact.</w:t>
      </w:r>
    </w:p>
  </w:comment>
  <w:comment w:id="62" w:initials="JA" w:author="Jenni AI" w:date="2026-05-30T16:08:57.361Z">
    <w:p>
      <w:r>
        <w:t xml:space="preserve">The 'Rationale' section states 'For example:' but no example follows. Providing a concrete example of how a research question maps to a specific figure/artifact would significantly enhance the clarity and utility of this explanation.</w:t>
      </w:r>
    </w:p>
  </w:comment>
  <w:comment w:id="63" w:initials="JA" w:author="Jenni AI" w:date="2026-05-30T16:09:04.150Z">
    <w:p>
      <w:r>
        <w:t xml:space="preserve">The synopsis states that 23 documents were processed, but this section mentions processing 16 files. Please ensure consistency in the number of documents reported across the manuscript.</w:t>
      </w:r>
    </w:p>
  </w:comment>
  <w:comment w:id="64" w:initials="JA" w:author="Jenni AI" w:date="2026-05-30T16:09:04.194Z">
    <w:p>
      <w:r>
        <w:t xml:space="preserve">The cited work "HUNER: improving biomedical NER with pretraining" (2019) discusses a 95% precision threshold for a CRF classifier used to generate silver standard corpora in the *biomedical NER domain*. Applying this specific threshold to a general "production-quality NLP threshold" for field completeness in ESG report extraction seems like a misapplication. Please provide a more relevant citation or justification for this specific 95% threshold in your domain.</w:t>
      </w:r>
    </w:p>
  </w:comment>
  <w:comment w:id="65" w:initials="JA" w:author="Jenni AI" w:date="2026-05-30T16:09:04.464Z">
    <w:p>
      <w:r>
        <w:t xml:space="preserve">The finding of highly unequal record volume across documents (e.g., 24:1 ratio between Alfamart and Indonet) is important. While acknowledged as a caveat, the implications for the generalizability of "corpus-level statistics" to "Indonesian ESG disclosure practice" could be elaborated. Consider discussing methods to mitigate this bias or clearly stating the limitations for specific claims in the discussion. The audit findings highlight a lack of discussion on human-in-the-loop strategies, which might be relevant here for addressing such data imbalances or assessing the representativeness of extracted records.</w:t>
      </w:r>
    </w:p>
  </w:comment>
  <w:comment w:id="66" w:initials="JA" w:author="Jenni AI" w:date="2026-05-30T16:09:10.269Z">
    <w:p>
      <w:r>
        <w:t xml:space="preserve">The reliance on 'high field completeness' as a proxy for OCR accuracy without direct character error rate (CER) or word error rate (WER) measurements is a significant methodological limitation. While field completeness indicates extraction success, it does not guarantee the fidelity of the extracted text to the original document. Establishing OCR accuracy is fundamental for a data transformation pipeline, especially given the unstructured nature of the source documents. This omission could undermine downstream analyses. The audit findings highlight the importance of human-in-the-loop standards for financial and regulatory NLP, which would help address the uncertainty around OCR quality.</w:t>
      </w:r>
    </w:p>
  </w:comment>
  <w:comment w:id="67" w:initials="JA" w:author="Jenni AI" w:date="2026-05-30T16:09:10.399Z">
    <w:p>
      <w:r>
        <w:t xml:space="preserve">The authors report a detailed breakdown of tone distributions (commitment, action, outcome). Given the paper's central argument around identifying "commitment-outcome asymmetry" as a potential indicator of greenwashing (as noted in the synopsis), it would significantly strengthen the analysis to compare these distributions with established quantitative indices, such as the ESG-washing Severity Index (2024) or DeepGreen (2025). This benchmarking would provide external validation for the proposed greenwashing detection mechanism.</w:t>
      </w:r>
    </w:p>
  </w:comment>
  <w:comment w:id="68" w:initials="JA" w:author="Jenni AI" w:date="2026-05-30T16:09:13.792Z">
    <w:p>
      <w:r>
        <w:t xml:space="preserve">The audit findings highlight that semantic alignment of extracted records to hierarchical financial taxonomies is a critical challenge, and that 'concept alignment' is a primary failure point for LLMs in financial reporting. While this section reports the quantity of structured artifacts, it would strengthen the paper to explain how the quality and consistency of their alignment to the ESG ontology (especially considering OJK-GRI-SASB mapping) was ensured or assessed at this early stage.</w:t>
      </w:r>
    </w:p>
  </w:comment>
  <w:comment w:id="69" w:initials="JA" w:author="Jenni AI" w:date="2026-05-30T16:09:13.896Z">
    <w:p>
      <w:r>
        <w:t xml:space="preserve">The mention of 'silver-dataset rows' implies automatically generated labels. Given the paper's admitted lack of human inter-annotator agreement (IAA), it would be beneficial to discuss how the quality and reliability of these silver labels were assessed, especially in light of the unequal record volume across documents. The audit suggests implementing 'uncertainty-guided allocation' for human-in-the-loop validation, which could be particularly useful for ensuring the robustness of this large silver dataset.</w:t>
      </w:r>
    </w:p>
  </w:comment>
  <w:comment w:id="70" w:initials="JA" w:author="Jenni AI" w:date="2026-05-30T16:09:22.666Z">
    <w:p>
      <w:r>
        <w:t xml:space="preserve">The definition of "Completeness of local/real ClimateBERT predictions" for "ClimateBERT real records" is vague. Please clarify what "completeness" refers to in this context (e.g., proportion of records successfully processed by ClimateBERT, or agreement with a reference set).</w:t>
      </w:r>
    </w:p>
  </w:comment>
  <w:comment w:id="71" w:initials="JA" w:author="Jenni AI" w:date="2026-05-30T16:09:22.794Z">
    <w:p>
      <w:r>
        <w:t xml:space="preserve">Research Question 3, which focuses on comparing tone ABSA with ClimateBERT, relies on a model (ClimateBERT, 2021) that the audit identifies as potentially outdated. While useful as a proxy, the methodology should explicitly state whether comparisons will also be made against more recent, specialized LLMs like SusGen-GPT (2024/2025) or benchmarks like ESGenius (2025) to ensure the findings are situated against current state-of-the-art.</w:t>
      </w:r>
    </w:p>
  </w:comment>
  <w:comment w:id="72" w:initials="JA" w:author="Jenni AI" w:date="2026-05-30T16:09:22.896Z">
    <w:p>
      <w:r>
        <w:t xml:space="preserve">The "OCR-quality validation coverage" mentioned in the table should be explicitly quantified. The synopsis acknowledges missing standard OCR character error rate (CER) measurements. Incorporating a robust OCR quality metric is crucial for the reliability of downstream NLP tasks, especially given the diverse document layouts of Indonesian sustainability reports.</w:t>
      </w:r>
    </w:p>
  </w:comment>
  <w:comment w:id="73" w:initials="JA" w:author="Jenni AI" w:date="2026-05-30T16:09:23.028Z">
    <w:p>
      <w:r>
        <w:t xml:space="preserve">Research Question 4 addresses "ontology gaps." This aligns with the audit finding regarding the critical gap in "Record-to-Taxonomy Alignment." The paper should clarify how the `ontology_coverage.csv` artifact specifically addresses the challenge of mapping extracted facts to hierarchical financial taxonomies and disambiguating closely related concepts, as highlighted by FinTagging (2025).</w:t>
      </w:r>
    </w:p>
  </w:comment>
  <w:comment w:id="74" w:initials="JA" w:author="Jenni AI" w:date="2026-05-30T16:09:23.196Z">
    <w:p>
      <w:r>
        <w:t xml:space="preserve">The "LLM model-comparison coverage" for "Models tested" is important, but the section currently lacks detail on *which* LLMs are being compared. To address the "Missing Benchmarks &amp; SOTA Models" gap, specify if recent specialized models beyond ClimateBERT (e.g., SusGen-GPT, 2024/2025) will be included in the comparison to ensure a comprehensive evaluation against current best practices.</w:t>
      </w:r>
    </w:p>
  </w:comment>
  <w:comment w:id="75" w:initials="JA" w:author="Jenni AI" w:date="2026-05-30T16:09:23.590Z">
    <w:p>
      <w:r>
        <w:t xml:space="preserve">Research Questions 5 and 6 address reproducibility, auditability, and model/prompt stability. While crucial, the audit findings highlight the importance of adopting established "commit-then-justify" protocols, such as those discussed in FinReflectKG - EvalBench (2025) or GenAudit (2024). The methodology for tracking provenance and evaluating its quality should be clearly outlined.</w:t>
      </w:r>
    </w:p>
  </w:comment>
  <w:comment w:id="76" w:initials="JA" w:author="Jenni AI" w:date="2026-05-30T16:09:23.719Z">
    <w:p>
      <w:r>
        <w:t xml:space="preserve">The section acknowledges the need for human-annotated gold-standard records to resolve the ambiguity of the high "none" category. This directly aligns with current field standards for financial and regulatory NLP, which emphasize "uncertainty-guided allocation" and human-in-the-loop (HITL) approaches (e.g., "CoAnnotating", 2023). It would strengthen the manuscript to propose a clear mechanism for how humans would interact with the pipeline, especially when the model exhibits high uncertainty, as implied by this observation.</w:t>
      </w:r>
    </w:p>
  </w:comment>
  <w:comment w:id="77" w:initials="JA" w:author="Jenni AI" w:date="2026-05-30T16:09:23.822Z">
    <w:p>
      <w:r>
        <w:t xml:space="preserve">The claim regarding the higher proportion of descriptive, non-performative language in Indonesian sustainability reports due to OJK regulations is well-supported by the cited works. "Implementing the G20/OECD Principles of Corporate Governance" (2017) and "Comply or explain, disclosure statement" (2016) specifically detail the mandatory narrative disclosures concerning corporate governance principles and the "comply or explain" basis, which would inherently lead to more descriptive text.</w:t>
      </w:r>
    </w:p>
  </w:comment>
  <w:comment w:id="78" w:initials="JA" w:author="Jenni AI" w:date="2026-05-30T16:09:23.934Z">
    <w:p>
      <w:r>
        <w:t xml:space="preserve">The assertion that Governance reporting in English-language ESG corpora tends towards "outcome-oriented compliance reporting" is not strongly supported by the provided abstracts for "Designing Ad Hoc Impact Monitoring Systems" (2023) or "Why ESG Reporting is Particularly Important for the Airlines during the Covid-19 Pandemic" (2022). While both discuss governance principles, neither explicitly compares the *tone density* or *outcome orientation* of governance disclosures in English-language corpora to other pillars in a way that directly supports the "inverts the pattern" claim. Consider citing a comparative study that specifically analyzes tone distribution across pillars in English ESG reports.</w:t>
      </w:r>
    </w:p>
  </w:comment>
  <w:comment w:id="79" w:initials="JA" w:author="Jenni AI" w:date="2026-05-30T16:09:24.029Z">
    <w:p>
      <w:r>
        <w:t xml:space="preserve">The "under-representation of Social pillar records across tone categories" suggests a potential extraction bias. Given that the audit found ClimateBERT (2021) to be an encoder-only model that may no longer be the most competitive baseline, this bias could be linked to the model architecture or its training data not being sufficiently diverse or specialized for social aspects. Exploring the performance with more recent, specialized LLMs like SusGen-GPT (2024/2025) or benchmarks like ESGenius (2025) could help determine if this is an inherent corpus property or a model limitation.</w:t>
      </w:r>
    </w:p>
  </w:comment>
  <w:comment w:id="80" w:initials="JA" w:author="Jenni AI" w:date="2026-05-30T16:09:27.657Z">
    <w:p>
      <w:r>
        <w:t xml:space="preserve">The detection of "commitment-to-outcome asymmetry" as a greenwashing signal is a compelling finding. To strengthen this claim, consider benchmarking your results against existing quantitative greenwashing indices, such as the ESG-washing Severity Index (2024) or DeepGreen (2025). This would help contextualize the novelty and robustness of your detected signals.</w:t>
      </w:r>
    </w:p>
  </w:comment>
  <w:comment w:id="81" w:initials="JA" w:author="Jenni AI" w:date="2026-05-30T16:09:27.771Z">
    <w:p>
      <w:r>
        <w:t xml:space="preserve">The observation that 38.9% of records produced "no output" from ClimateBERT is a significant finding. Please elaborate on the potential causes of these failures (e.g., input format issues, model limitations with certain text structures, or token limits). Understanding the root cause is crucial for interpreting its role in the T1 pipeline.</w:t>
      </w:r>
    </w:p>
  </w:comment>
  <w:comment w:id="82" w:initials="JA" w:author="Jenni AI" w:date="2026-05-30T16:09:27.877Z">
    <w:p>
      <w:r>
        <w:t xml:space="preserve">It is stated that the "semantic mapping of LABEL_0 and LABEL_1 to substantive ESG categories was not resolved," rendering ClimateBERT outputs opaque. This raises a significant question about how ClimateBERT effectively serves as a "domain-relevant validator" (as per the synopsis) if its core classifications cannot be interpreted in the context of ESG. Please clarify how this unresolved mapping impacts the validation process for the T1 stage.</w:t>
      </w:r>
    </w:p>
  </w:comment>
  <w:comment w:id="83" w:initials="JA" w:author="Jenni AI" w:date="2026-05-30T16:09:27.974Z">
    <w:p>
      <w:r>
        <w:t xml:space="preserve">The use of ClimateBERT for validation is discussed here. However, the audit notes that more advanced, specialized LLMs like SusGen-GPT/TCFD-Bench (2024/2025) or ESGenius (2025) have emerged as state-of-the-art for ESG report extraction and benchmarking. Given the observed issues with ClimateBERT (high failure rate, opaque labels), discussing or comparing against these more recent baselines would significantly strengthen the T1 validation and address a key literature gap.</w:t>
      </w:r>
    </w:p>
  </w:comment>
  <w:comment w:id="84" w:initials="JA" w:author="Jenni AI" w:date="2026-05-30T16:09:37.238Z">
    <w:p>
      <w:r>
        <w:t xml:space="preserve">While the observed failure rate of ClimateBERT highlights the domain mismatch, the current landscape of sustainability NLP includes more advanced models like SusGen-GPT/TCFD-Bench (2024/2025) and ESGenius (2025) which are specifically designed for ESG report extraction and benchmarking. Discussing ClimateBERT's performance in relation to these more recent state-of-the-art models would strengthen the argument for the proposed validation architecture, rather than solely relying on an older benchmark.</w:t>
      </w:r>
    </w:p>
  </w:comment>
  <w:comment w:id="85" w:initials="JA" w:author="Jenni AI" w:date="2026-05-30T16:09:37.366Z">
    <w:p>
      <w:r>
        <w:t xml:space="preserve">This section presents the results of the T2 stage without describing the methodology used for the rule-based classifier and the hybrid ABSA resolver. To allow for reproducibility and critical evaluation, it is essential to detail the rules, the components of the hybrid resolver, and how they were integrated. This includes the logic behind their operation, any weights or thresholds applied, and the specific definitions of "Commitment," "Action," and "Outcome" as interpreted by these systems.</w:t>
      </w:r>
    </w:p>
  </w:comment>
  <w:comment w:id="86" w:initials="JA" w:author="Jenni AI" w:date="2026-05-30T16:09:37.531Z">
    <w:p>
      <w:r>
        <w:t xml:space="preserve">The finding that the hybrid classifier performs worse than the rule-only baseline is a critical result. While the section identifies that the hybrid overrides the rule system's high-confidence labels, it doesn't offer a hypothesis or analysis of *why* this occurs (e.g., conflicting internal rules, poor fusion logic, or issues with confidence estimation in the hybrid model). Providing an explanation or a deeper diagnostic analysis would significantly strengthen the discussion of these unexpected findings.</w:t>
      </w:r>
    </w:p>
  </w:comment>
  <w:comment w:id="87" w:initials="JA" w:author="Jenni AI" w:date="2026-05-30T16:09:37.649Z">
    <w:p>
      <w:r>
        <w:t xml:space="preserve">Given the high "Unknown" rates from both the rule-based and hybrid T2 classifiers, and the challenges in automated classification, the audit findings emphasize the importance of human-in-the-loop (HITL) strategies for financial and regulatory NLP. The paper should discuss how a HITL mechanism, such as uncertainty-guided allocation, could be integrated into the pipeline to handle these ambiguous cases, especially since human Inter-Annotator Agreement (IAA) metrics are acknowledged as missing in the synopsis.</w:t>
      </w:r>
    </w:p>
  </w:comment>
  <w:comment w:id="88" w:initials="JA" w:author="Jenni AI" w:date="2026-05-30T16:09:39.656Z">
    <w:p>
      <w:r>
        <w:t xml:space="preserve">The section states that "silver dataset tone labels are produced via a separate pathway." However, the method for creating this crucial silver dataset, especially given the acknowledged lack of human inter-annotator agreement (IAA) metrics in the document synopsis, is not detailed. For financial and regulatory NLP, field standards in 2026 now emphasize "uncertainty-guided allocation" in human-in-the-loop (HITL) annotation (e.g., in works like CoAnnotating, 2023). Detailing how this silver dataset was constructed, and ideally proposing a mechanism for human interaction and validation, is essential to establish the reliability of these ground truth labels.</w:t>
      </w:r>
    </w:p>
  </w:comment>
  <w:comment w:id="89" w:initials="JA" w:author="Jenni AI" w:date="2026-05-30T16:09:39.766Z">
    <w:p>
      <w:r>
        <w:t xml:space="preserve">The statement that the "T2 hybrid system in its current configuration is not fit for purpose as a standalone tone classifier" is a significant finding. For LLM-based systems, field standards like those proposed in "Liskowski &amp; Jankowski (2026)" suggest reporting conventions for LLM hyperparameters and prompt versioning. Providing details on the specific "configuration" and the "confidence threshold" of the LLM component (e.g., its prompt, model version, and any fine-tuning) would help readers understand the limitations and potential areas for improvement more clearly.</w:t>
      </w:r>
    </w:p>
  </w:comment>
  <w:comment w:id="90" w:initials="JA" w:author="Jenni AI" w:date="2026-05-30T16:09:39.891Z">
    <w:p>
      <w:r>
        <w:t xml:space="preserve">The section discusses ClimateBERT for cross-system comparison as part of RQ3. However, the audit findings highlight that ClimateBERT (2021) is an older encoder-only model and may no longer be the most competitive baseline for the complex extraction and comparison tasks being performed. More recent and specialized LLMs, such as "SusGen-GPT / TCFD-Bench (2024/2025)" or "ESGenius (2025)," offer state-of-the-art performance and more current gold standards for evaluating LLM domain knowledge. Comparing the pipeline against these more contemporary benchmarks would significantly strengthen the empirical evidence for RQ3.</w:t>
      </w:r>
    </w:p>
  </w:comment>
  <w:comment w:id="91" w:initials="JA" w:author="Jenni AI" w:date="2026-05-30T16:09:41.557Z">
    <w:p>
      <w:r>
        <w:t xml:space="preserve">The interpretation of Cohen's kappa (0.645) as "substantial agreement" relies on the Landis and Koch convention. However, the cited paper itself (("Measuring the Agreement of Mathematical Peer Reviewers", 2022) in the original text) explicitly states that these divisions are "arbitrary" and meant only as "useful benchmarks" for their specific context. It would be more robust to discuss the implications of the kappa value in relation to the specific task and the observed agreement patterns rather than solely relying on a conventional, self-admittedly arbitrary scale.</w:t>
      </w:r>
    </w:p>
  </w:comment>
  <w:comment w:id="92" w:initials="JA" w:author="Jenni AI" w:date="2026-05-30T16:09:45.155Z">
    <w:p>
      <w:r>
        <w:t xml:space="preserve">The explicit acknowledgment that "No dual-human annotation has been completed in this study" is important. However, current field standards (e.g., "CoAnnotating" in 2023) for financial and regulatory NLP emphasize Human-in-the-Loop (HITL) mechanisms, especially for guiding annotation when uncertainty is high. It would strengthen the methodology to propose how human experts would interact with the T2-level LLM extractions, particularly for records where the model exhibits lower confidence or high divergence from proxies.</w:t>
      </w:r>
    </w:p>
  </w:comment>
  <w:comment w:id="93" w:initials="JA" w:author="Jenni AI" w:date="2026-05-30T16:09:58.000Z">
    <w:p>
      <w:r>
        <w:t xml:space="preserve">Please quantify 'roughly proportional' or present a figure that visually demonstrates this distribution. For a results section, precision in describing the observed data is crucial.</w:t>
      </w:r>
    </w:p>
  </w:comment>
  <w:comment w:id="94" w:initials="JA" w:author="Jenni AI" w:date="2026-05-30T16:09:58.128Z">
    <w:p>
      <w:r>
        <w:t xml:space="preserve">This is an important acknowledgment. To strengthen claims about OCR quality, consider explicitly mentioning the need for standard metrics such as Character Error Rate (CER) or Word Error Rate (WER) as noted in the 'Structure Assessment' in the synopsis, rather than just 'page-level OCR sampling'.</w:t>
      </w:r>
    </w:p>
  </w:comment>
  <w:comment w:id="95" w:initials="JA" w:author="Jenni AI" w:date="2026-05-30T16:09:58.249Z">
    <w:p>
      <w:r>
        <w:t xml:space="preserve">This subsection describes the schema and lists relevant figures, but it does not present the actual findings for RQ2. For a 'Results' section, please describe the key observations and data from these figures. Without this descriptive content, the claims made in the 'Main interpretation' lack immediate evidence within this section.</w:t>
      </w:r>
    </w:p>
  </w:comment>
  <w:comment w:id="96" w:initials="JA" w:author="Jenni AI" w:date="2026-05-30T16:09:58.365Z">
    <w:p>
      <w:r>
        <w:t xml:space="preserve">The 'Main interpretation' makes a strong claim about the appropriateness of ABSA and the variability of disclosure meaning. However, this section does not present the data (e.g., from the listed figures) that supports this claim. Please elaborate on how the presented results (once described) demonstrate this aspect-level variability and why it necessitates ABSA.</w:t>
      </w:r>
    </w:p>
  </w:comment>
  <w:comment w:id="97" w:initials="JA" w:author="Jenni AI" w:date="2026-05-30T16:10:06.846Z">
    <w:p>
      <w:r>
        <w:t xml:space="preserve">This section begins with a list of system files and pages, which seems to belong more to an appendix or a technical documentation section rather than directly under "RQ6 Results: Model And Prompt Stability". Please consider relocating this content for better flow.</w:t>
      </w:r>
    </w:p>
  </w:comment>
  <w:comment w:id="98" w:initials="JA" w:author="Jenni AI" w:date="2026-05-30T16:10:06.969Z">
    <w:p>
      <w:r>
        <w:t xml:space="preserve">Please provide more context on the `arcee-ai/trinity-large-preview:free` and `openai/gpt-oss-120b:free` models used for stability testing. What are their architectures, sizes, and specific applications? The audit highlights a gap regarding missing benchmarks and SOTA models like SusGen-GPT / TCFD-Bench (2024/2025) which are specialized for ESG tasks. Discuss why these specific models were chosen over more recent, specialized alternatives, or benchmark against them to show the relative performance.</w:t>
      </w:r>
    </w:p>
  </w:comment>
  <w:comment w:id="99" w:initials="JA" w:author="Jenni AI" w:date="2026-05-30T16:10:07.127Z">
    <w:p>
      <w:r>
        <w:t xml:space="preserve">The 'Average records' metric is vague. Please clarify what '3.022' and '3.000' refer to. Is this the average number of records extracted per document, or per run? Given the synopsis mentions 332 total records, a clearer definition of this average is needed for interpretability.</w:t>
      </w:r>
    </w:p>
  </w:comment>
  <w:comment w:id="100" w:initials="JA" w:author="Jenni AI" w:date="2026-05-30T16:10:07.238Z">
    <w:p>
      <w:r>
        <w:t xml:space="preserve">The `openai/gpt-oss-120b:free` model shows a `Missing-tone rate` of 1.000000, indicating that all extracted records from this model are missing the tone label. This represents a critical failure in the extraction process for a core component of the proposed ABSA framework. This finding requires a detailed explanation, including why the model completely failed on this task and its implications for the overall pipeline reliability if such a model were to be used.</w:t>
      </w:r>
    </w:p>
  </w:comment>
  <w:comment w:id="101" w:initials="JA" w:author="Jenni AI" w:date="2026-05-30T16:10:07.364Z">
    <w:p>
      <w:r>
        <w:t xml:space="preserve">The audit findings mentioned the importance of reporting conventions for LLM hyperparameters and prompt versioning. This table presents stability results but lacks details on the specific prompts used, their versions, and any hyperparameters that might influence the reported stability metrics (e.g., temperature, top_p, etc.). Providing these details would enhance the reproducibility and transparency of your stability evaluation.</w:t>
      </w:r>
    </w:p>
  </w:comment>
  <w:comment w:id="102" w:initials="JA" w:author="Jenni AI" w:date="2026-05-30T16:10:07.486Z">
    <w:p>
      <w:r>
        <w:t xml:space="preserve">This section introduces the crucial concept of reproducibility through artifact lineage but does not explicitly link it to the presented stability results. The statement "A thesis claim should point to a graph, a backing table, a source artifact, and a Streamlit page" is a strong claim that needs to be demonstrated or at least directly supported by the data presented in this section, perhaps by explaining how these specific stability metrics contribute to or are tracked by the artifact lineage system.</w:t>
      </w:r>
    </w:p>
  </w:comment>
  <w:comment w:id="103" w:initials="JA" w:author="Jenni AI" w:date="2026-05-30T16:10:24.555Z">
    <w:p>
      <w:r>
        <w:t xml:space="preserve">The explicit acknowledgment of the lack of human inter-annotator agreement (IAA) is a major transparency point. However, given the importance of human-in-the-loop (HITL) standards in financial and regulatory NLP, the paper should not just state the absence but also propose a concrete plan for its future implementation, especially how it would integrate with the automated systems to improve the quality of high-uncertainty extractions, as highlighted by works like 'CoAnnotating' (2023).</w:t>
      </w:r>
    </w:p>
  </w:comment>
  <w:comment w:id="104" w:initials="JA" w:author="Jenni AI" w:date="2026-05-30T16:10:24.610Z">
    <w:p>
      <w:r>
        <w:t xml:space="preserve">While the distinction between proxy kappa and human IAA is clearly articulated, the identity of the "two automated systems" for which the kappa of 0.645 is reported is not explicitly stated within this section. Clarifying that this kappa refers specifically to the agreement between the pipeline's output and ClimateBERT (as suggested by the audit findings) would enhance precision.</w:t>
      </w:r>
    </w:p>
  </w:comment>
  <w:comment w:id="105" w:initials="JA" w:author="Jenni AI" w:date="2026-05-30T16:10:24.689Z">
    <w:p>
      <w:r>
        <w:t xml:space="preserve">The section clearly outlines the planned human annotation for future validation. To align with current field standards in financial NLP, consider proposing how this human annotation process will incorporate "uncertainty-guided allocation" (as discussed in 'CoAnnotating', 2023) to efficiently manage human review efforts for T2-level LLM extractions, especially where model confidence is low. This would strengthen the proposed human-in-the-loop mechanism.</w:t>
      </w:r>
    </w:p>
  </w:comment>
  <w:comment w:id="106" w:initials="JA" w:author="Jenni AI" w:date="2026-05-30T16:10:26.227Z">
    <w:p>
      <w:r>
        <w:t xml:space="preserve">While ClimateBERT is a relevant domain-specific model, recent advancements in LLMs suggest it may not be the most competitive baseline for complex extraction tasks. Consider benchmarking against state-of-the-art specialized models like SusGen-GPT/TCFD-Bench (2024/2025) or ESGenius (2025), which offer more current benchmarks for LLM domain knowledge and extraction performance.</w:t>
      </w:r>
    </w:p>
  </w:comment>
  <w:comment w:id="107" w:initials="JA" w:author="Jenni AI" w:date="2026-05-30T16:10:26.299Z">
    <w:p>
      <w:r>
        <w:t xml:space="preserve">The plan to justify local vocabulary additions is good, but the benchmark should explicitly address the critical challenge of 'concept alignment' when mapping extracted records to hierarchical financial taxonomies. Referencing work like 'FinTagging' (2025) and its 'FinCL' task could strengthen this benchmark, as it specifically evaluates the ability of LLMs to disambiguate closely related taxonomy entries, which is crucial for your OJK-GRI-SASB mapping.</w:t>
      </w:r>
    </w:p>
  </w:comment>
  <w:comment w:id="108" w:initials="JA" w:author="Jenni AI" w:date="2026-05-30T16:10:26.352Z">
    <w:p>
      <w:r>
        <w:t xml:space="preserve">Given the acknowledged lack of completed human Inter-Annotator Agreement (IAA) metrics, it would strengthen this benchmark to propose a mechanism for Human-in-the-Loop (HITL) interaction. Specifically, consider outlining how human involvement will be integrated to review T2-level LLM extractions, especially for cases where model uncertainty is high, aligning with current field standards in financial NLP for "uncertainty-guided allocation."</w:t>
      </w:r>
    </w:p>
  </w:comment>
  <w:comment w:id="109" w:initials="JA" w:author="Jenni AI" w:date="2026-05-30T16:10:26.406Z">
    <w:p>
      <w:r>
        <w:t xml:space="preserve">For clarity and reproducibility, the reporting of "repeated LLM runs" should consider adopting conventions for reporting LLM hyperparameters, prompt versioning (e.g., using a Git-based lineage system), and cost-performance trade-offs, similar to practices outlined in works like Liskowski &amp; Jankowski (2026). This would enhance the auditability and transparency of the stability metrics.</w:t>
      </w:r>
    </w:p>
  </w:comment>
  <w:comment w:id="110" w:initials="JA" w:author="Jenni AI" w:date="2026-05-30T16:10:28.868Z">
    <w:p>
      <w:r>
        <w:t xml:space="preserve">The manuscript acknowledges the lack of human inter-annotator agreement (IAA). However, given the current field standards in 2026 for financial and regulatory NLP, merely stating this limitation is insufficient. The authors should propose a mechanism for how human reviewers would interact with the T2-level LLM extractions, especially for cases where model uncertainty is high, following practices like "uncertainty-guided allocation" as described in works such as 'CoAnnotating' (2023). This would strengthen the argument for the schema's validity and provide a path towards future human validation.</w:t>
      </w:r>
    </w:p>
  </w:comment>
  <w:comment w:id="111" w:initials="JA" w:author="Jenni AI" w:date="2026-05-30T16:10:28.927Z">
    <w:p>
      <w:r>
        <w:t xml:space="preserve">The assertion that 70% is a "minimum per-class threshold" requires justification. Is this an established benchmark in multi-class text classification, or is it an internally defined threshold? Providing a citation or rationale for this specific value would strengthen the methodological rigor.</w:t>
      </w:r>
    </w:p>
  </w:comment>
  <w:comment w:id="112" w:initials="JA" w:author="Jenni AI" w:date="2026-05-30T16:10:28.978Z">
    <w:p>
      <w:r>
        <w:t xml:space="preserve">The ClimateBERT model cited is from 2021. The audit findings indicate that more recent and specialized LLMs, such as SusGen-GPT (2024/2025) and ESGenius (2025), have emerged as state-of-the-art for ESG report generation and extraction, offering more competitive baselines for complex extraction tasks. Relying solely on ClimateBERT as a point of divergence analysis might understate the current capabilities of specialized models.</w:t>
      </w:r>
    </w:p>
  </w:comment>
  <w:comment w:id="113" w:initials="JA" w:author="Jenni AI" w:date="2026-05-30T16:10:31.767Z">
    <w:p>
      <w:r>
        <w:t xml:space="preserve">The ClimateBERT comparison (83.7% agreement, κ=0.645) is presented as evidence that ESG tone and climate commitment are distinct constructs. While this interpretation is reasonable, the audit identifies that ClimateBERT (2021) is now outdated relative to newer ESG-specific models such as SusGen-GPT (2024/2025) or benchmarks like ESGenius (2025). Consider adding a note in this subsection acknowledging this and explaining why ClimateBERT remains the chosen validator, or include a forward-looking comparison plan.</w:t>
      </w:r>
    </w:p>
  </w:comment>
  <w:comment w:id="114" w:initials="JA" w:author="Jenni AI" w:date="2026-05-30T16:10:40.869Z">
    <w:p>
      <w:r>
        <w:t xml:space="preserve">The authors effectively highlight the domain mismatch between ClimateBERT's training and the current Indonesian/bilingual corpus. To further strengthen this section, consider explicitly discussing how this challenge is addressed by contemporary bilingual financial NLP standards, such as the "domain-adaptive span representation" proposed in the 2025 FinATG paper, ensuring that Indonesian regulatory terms retain their precise semantic meaning when mapped to global frameworks.</w:t>
      </w:r>
    </w:p>
  </w:comment>
  <w:comment w:id="115" w:initials="JA" w:author="Jenni AI" w:date="2026-05-30T16:10:40.941Z">
    <w:p>
      <w:r>
        <w:t xml:space="preserve">While this section effectively highlights ClimateBERT's limitations and the value of the pipeline's granular approach, the audit findings indicate that ClimateBERT (2021) is an older model. The paper would benefit from a discussion comparing the pipeline's performance and design choices against more recent state-of-the-art LLMs in ESG extraction, such as SusGen-GPT or ESGenius (2024/2025), to contextualize its advancements within the current research landscape.</w:t>
      </w:r>
    </w:p>
  </w:comment>
  <w:comment w:id="116" w:initials="JA" w:author="Jenni AI" w:date="2026-05-30T16:10:41.003Z">
    <w:p>
      <w:r>
        <w:t xml:space="preserve">The distinction between descriptive and performative commitment language is a crucial insight for greenwashing detection. To further validate this claim and its significance, the authors should consider benchmarking their "commitment-outcome asymmetry" finding against established "Greenwashing Severity" indices, such as the ESG-washing Severity Index (2024) or DeepGreen (2025), to quantify the effectiveness of their pipeline in identifying this phenomenon.</w:t>
      </w:r>
    </w:p>
  </w:comment>
  <w:comment w:id="117" w:initials="JA" w:author="Jenni AI" w:date="2026-05-30T16:10:41.085Z">
    <w:p>
      <w:r>
        <w:t xml:space="preserve">This section transitions to "Ontology Coverage," which is a critical area highlighted by the audit. The paper should engage with the "Record-to-Taxonomy Alignment" gap by discussing how the pipeline specifically addresses the challenges of mapping extracted records to hierarchical financial taxonomies, particularly the "concept alignment" issues identified in FinTagging (2025) regarding disambiguating closely related taxonomy entries.</w:t>
      </w:r>
    </w:p>
  </w:comment>
  <w:comment w:id="118" w:initials="JA" w:author="Jenni AI" w:date="2026-05-30T16:10:41.920Z">
    <w:p>
      <w:r>
        <w:t xml:space="preserve">While the author transparently acknowledges the underperformance, this section could be strengthened by explicitly linking this finding to known challenges in record-to-taxonomy alignment from recent literature. For instance, the "FinTagging" paper in 2025 highlights how difficult it is for models to map extracted facts to hierarchical financial taxonomies, especially in disambiguating closely related entries. This would provide external validation for the observed challenge, reinforcing the significance of the identified gap.</w:t>
      </w:r>
    </w:p>
  </w:comment>
  <w:comment w:id="119" w:initials="JA" w:author="Jenni AI" w:date="2026-05-30T16:10:41.987Z">
    <w:p>
      <w:r>
        <w:t xml:space="preserve">This is a critical observation regarding the interpretation of quantitative metrics. Explicitly stating that a technically accurate metric can be "substantively misleading" if not properly qualified is crucial for transparency and helps set appropriate expectations for the ontology's current capabilities.</w:t>
      </w:r>
    </w:p>
  </w:comment>
  <w:comment w:id="120" w:initials="JA" w:author="Jenni AI" w:date="2026-05-30T16:10:42.056Z">
    <w:p>
      <w:r>
        <w:t xml:space="preserve">The distinction between coarse-grained placeholder categories and genuine framework-specific nodes is well-articulated here. This honest assessment helps delineate the current limitations and future work more clearly.</w:t>
      </w:r>
    </w:p>
  </w:comment>
  <w:comment w:id="121" w:initials="JA" w:author="Jenni AI" w:date="2026-05-30T16:10:42.115Z">
    <w:p>
      <w:r>
        <w:t xml:space="preserve">The conclusion that the ontology is a "framework with demonstrated coarse coverage and identified deep-coverage gaps" is a balanced and honest assessment. This self-critical evaluation of the contribution is a significant strength of the work and demonstrates a mature understanding of research scope, particularly for a master's thesis.</w:t>
      </w:r>
    </w:p>
  </w:comment>
  <w:comment w:id="122" w:initials="JA" w:author="Jenni AI" w:date="2026-05-30T16:10:44.397Z">
    <w:p>
      <w:r>
        <w:t xml:space="preserve">The section acknowledges that 58.3% ontology coverage is "below target" but frames the unmapped aspects as productive for identifying a "domain gap." However, the audit findings highlight a critical challenge in "Record-to-Taxonomy Alignment," referencing works like "FinTagging" (2025) which show LLMs struggle with disambiguating closely related taxonomy entries, even in well-established financial domains. It would strengthen the paper to discuss how the methodology addresses these known challenges in mapping novel, bilingual aspects to a hierarchical ontology, especially given the acknowledged low initial coverage.</w:t>
      </w:r>
    </w:p>
  </w:comment>
  <w:comment w:id="123" w:initials="JA" w:author="Jenni AI" w:date="2026-05-30T16:10:44.451Z">
    <w:p>
      <w:r>
        <w:t xml:space="preserve">The identification of specific Indonesian ESG terms as conceptually distinct is a strong point. However, the audit findings (Field Standards: Bilingual Alignment) point to "FinATG" (2025) which suggests "domain-adaptive span representation" for ensuring semantic weight of such terms in bilingual mapping. It would be beneficial to elaborate on the specific computational methods used to ensure these terms maintain their conceptual distinctiveness and accurate alignment within the broader ontology during the mapping process, beyond simply identifying them as novel.</w:t>
      </w:r>
    </w:p>
  </w:comment>
  <w:comment w:id="124" w:initials="JA" w:author="Jenni AI" w:date="2026-05-30T16:10:44.501Z">
    <w:p>
      <w:r>
        <w:t xml:space="preserve">The explicit acknowledgement of "missing" and "none" as pipeline artefacts rather than genuine semantic content is important. This suggests an area for improvement in the extraction layer. Could the authors discuss potential strategies (e.g., better prompt engineering for T2 LLMs, improved rule-based filtering in T0, or more robust fallback mechanisms) to minimize these types of artefacts in future iterations?</w:t>
      </w:r>
    </w:p>
  </w:comment>
  <w:comment w:id="125" w:initials="JA" w:author="Jenni AI" w:date="2026-05-30T16:10:44.551Z">
    <w:p>
      <w:r>
        <w:t xml:space="preserve">This limitation clearly states the need for external validation against a larger bilingual corpus. This aligns with the audit finding regarding the need for robust "Bilingual Alignment" and general methodological standards in NLP, especially given the low frequency of genuine candidates. Providing a roadmap for this future validation (e.g., types of corpora, desired methodology) would add significant value.</w:t>
      </w:r>
    </w:p>
  </w:comment>
  <w:comment w:id="126" w:initials="JA" w:author="Jenni AI" w:date="2026-05-30T16:10:46.539Z">
    <w:p>
      <w:r>
        <w:t xml:space="preserve">The very high percentage of records routing to "General-&gt;Misc" suggests a significant limitation in the current ontology or the mapping process. This indicates a potential challenge in achieving granular, regulatory-specific insights, which is a core claim of the paper. Recent research like "FinTagging" (2025) highlights that models struggle with concept alignment and disambiguating closely related taxonomy entries, which appears to be the case here. Authors should discuss how to improve this core alignment.</w:t>
      </w:r>
    </w:p>
  </w:comment>
  <w:comment w:id="127" w:initials="JA" w:author="Jenni AI" w:date="2026-05-30T16:10:46.601Z">
    <w:p>
      <w:r>
        <w:t xml:space="preserve">The reported near-zero ontology alignment score, coupled with the high proportion of records routing to "General-&gt;Misc," indicates a critical challenge in establishing meaningful regulatory alignment. This finding suggests the need for refinement in the ontology design, the mapping algorithms, or potentially both, to ensure the extracted records can be semantically linked to regulatory frameworks.</w:t>
      </w:r>
    </w:p>
  </w:comment>
  <w:comment w:id="128" w:initials="JA" w:author="Jenni AI" w:date="2026-05-30T16:10:46.652Z">
    <w:p>
      <w:r>
        <w:t xml:space="preserve">While the observation about the greenwashing signal being dominated by extreme records is noted, the interpretation of the "greenwashing index" would be significantly strengthened by benchmarking against established metrics. For example, comparing findings to the "ESG-washing Severity Index (ESGSI)" (2024) or "DeepGreen" (2025) could provide external validation and context for the magnitude and distribution of the identified greenwashing signals.</w:t>
      </w:r>
    </w:p>
  </w:comment>
  <w:comment w:id="129" w:initials="JA" w:author="Jenni AI" w:date="2026-05-30T16:10:54.934Z">
    <w:p>
      <w:r>
        <w:t xml:space="preserve">The section states that "conceptual importance" is distinguished from a "frequency artefact" for high-centrality aspects. However, the explanation provided, that these are "domain-core concepts," feels circular. Please elaborate on the specific criteria or methodological steps used to validate that the centrality metric indeed measures conceptual importance beyond mere frequency. For example, were these classifications cross-referenced with expert opinion or an external domain-specific ontology?</w:t>
      </w:r>
    </w:p>
  </w:comment>
  <w:comment w:id="130" w:initials="JA" w:author="Jenni AI" w:date="2026-05-30T16:10:55.060Z">
    <w:p>
      <w:r>
        <w:t xml:space="preserve">The section states that "conceptual importance" is distinguished from a "frequency artefact" for high-centrality aspects. However, the explanation provided, that these are "domain-core concepts," feels circular. Please elaborate on the specific criteria or methodological steps used to validate that the centrality metric indeed measures conceptual importance beyond mere frequency. For example, were these classifications cross-referenced with expert opinion or an external domain-specific ontology?</w:t>
      </w:r>
    </w:p>
  </w:comment>
  <w:comment w:id="131" w:initials="JA" w:author="Jenni AI" w:date="2026-05-30T16:10:59.117Z">
    <w:p>
      <w:r>
        <w:t xml:space="preserve">The claim that the pipeline provides "the most direct evidence for the greenwashing detection potential" based on commitment-outcome asymmetries is strong. To substantiate this, it would be crucial to benchmark these findings against established greenwashing metrics or indices. For instance, comparing the identified asymmetries with the 'ESG-washing Severity Index (ESGSI)' from 2024 or the 'GreenImplement' ratio from the 'DeepGreen' system (2025) would provide valuable external validation and context for the pipeline's effectiveness in identifying potential greenwashing.</w:t>
      </w:r>
    </w:p>
  </w:comment>
  <w:comment w:id="132" w:initials="JA" w:author="Jenni AI" w:date="2026-05-30T16:10:59.718Z">
    <w:p>
      <w:r>
        <w:t xml:space="preserve">The identification of "commitment-outcome asymmetry" as a potential greenwashing signal is a valuable insight. To strengthen this claim, especially since the audit noted this as a potential gap, consider benchmarking this observation against established quantitative indices for greenwashing severity. For example, the 2024 "ESG-washing Severity Index (ESGSI)" or the 2025 "DeepGreen" system provide metrics to compare sentiment scores or implementation ratios, which could validate or further contextualize this finding.</w:t>
      </w:r>
    </w:p>
  </w:comment>
  <w:comment w:id="133" w:initials="JA" w:author="Jenni AI" w:date="2026-05-30T16:10:59.783Z">
    <w:p>
      <w:r>
        <w:t xml:space="preserve">While the cited work (Hardi et al., 2023) mentions "responsible, clean management without corrupt behavior" as a benefit of sustainability reporting, the provided quote does not explicitly state that anti-corruption governance is a "high-priority *disclosure area* for OJK". It might be beneficial to clarify or provide a more direct citation that confirms OJK's explicit emphasis on anti-corruption *disclosure priority*.</w:t>
      </w:r>
    </w:p>
  </w:comment>
  <w:comment w:id="134" w:initials="JA" w:author="Jenni AI" w:date="2026-05-30T16:11:03.064Z">
    <w:p>
      <w:r>
        <w:t xml:space="preserve">The authors acknowledge the lack of OCR quality measurements (CER and WER). While noted, these metrics are fundamental for assessing the reliability of the initial data processing step, especially with potentially challenging document layouts. Including these standard evaluations would strengthen the pipeline's foundation.</w:t>
      </w:r>
    </w:p>
  </w:comment>
  <w:comment w:id="135" w:initials="JA" w:author="Jenni AI" w:date="2026-05-30T16:11:03.125Z">
    <w:p>
      <w:r>
        <w:t xml:space="preserve">There appears to be a discrepancy in the number of documents processed. The synopsis states "The initial implementation processed 23 documents into a 332-record structured ESG evidence table," while this section mentions "processing 16 documents across 6 companies." Please clarify if these numbers refer to different stages of the pipeline or if there's a specific reason for the difference.</w:t>
      </w:r>
    </w:p>
  </w:comment>
  <w:comment w:id="136" w:initials="JA" w:author="Jenni AI" w:date="2026-05-30T16:11:03.178Z">
    <w:p>
      <w:r>
        <w:t xml:space="preserve">The admitted lack of formal inter-annotator agreement (IAA) for the annotation schema is a significant methodological weakness. Given the regulatory and financial context of this work, establishing human consensus on the ESG labels is crucial for the reliability and validity of the entire system. The audit findings highlight that current field standards for financial and regulatory NLP emphasize "uncertainty-guided allocation" and "human-in-the-loop" mechanisms; addressing this gap is critical for the robustness of the schema.</w:t>
      </w:r>
    </w:p>
  </w:comment>
  <w:comment w:id="137" w:initials="JA" w:author="Jenni AI" w:date="2026-05-30T16:11:03.236Z">
    <w:p>
      <w:r>
        <w:t xml:space="preserve">The comparison of the tone ABSA against ClimateBERT, while informative, uses an older baseline model. The audit findings note that for 2026, the field has progressed to more specialized and larger LLMs like SusGen-GPT (2024/2025) and comprehensive benchmarks like ESGenius (2025). Benchmarking against more current state-of-the-art models would significantly strengthen the claim of novelty and the overall contribution of RQ3.</w:t>
      </w:r>
    </w:p>
  </w:comment>
  <w:comment w:id="138" w:initials="JA" w:author="Jenni AI" w:date="2026-05-30T16:11:04.617Z">
    <w:p>
      <w:r>
        <w:t xml:space="preserve">The observation that the hybrid resolver reclassifies a high percentage of rule-based commitments as 'Unknown' indicates a critical flaw in the signal integration logic. A robust hybrid system should leverage the strengths of both rule-based and LLM classifiers. The current approach suggests an over-reliance on the LLM's uncertainty, undermining the value of the rule-based component. This needs to be addressed for the T2 classifier to be effective.</w:t>
      </w:r>
    </w:p>
  </w:comment>
  <w:comment w:id="139" w:initials="JA" w:author="Jenni AI" w:date="2026-05-30T16:11:04.674Z">
    <w:p>
      <w:r>
        <w:t xml:space="preserve">There appears to be a discrepancy between the stated classification rate for the rule-based component (61% classified, implying 39% unknown) and the '62% rule unknown rate' mentioned in the subsequent paragraph. Please clarify this numerical inconsistency.</w:t>
      </w:r>
    </w:p>
  </w:comment>
  <w:comment w:id="140" w:initials="JA" w:author="Jenni AI" w:date="2026-05-30T16:11:04.728Z">
    <w:p>
      <w:r>
        <w:t xml:space="preserve">The suggestion of 'signal fusion' is a valid approach. Consider exploring established ensemble methods or multi-modal fusion techniques from the literature that explicitly combine rule-based certainty with LLM probabilistic outputs.</w:t>
      </w:r>
    </w:p>
  </w:comment>
  <w:comment w:id="141" w:initials="JA" w:author="Jenni AI" w:date="2026-05-30T16:11:04.780Z">
    <w:p>
      <w:r>
        <w:t xml:space="preserve">Given the discussion of 'Unknown' classifications and the high 'rule unknown rate', consider integrating a Human-in-the-Loop (HITL) component. Modern financial NLP standards, such as those discussed in 'CoAnnotating' (2023), emphasize 'uncertainty-guided allocation' to efficiently leverage human expertise for cases where automated systems remain uncertain.</w:t>
      </w:r>
    </w:p>
  </w:comment>
  <w:comment w:id="142" w:initials="JA" w:author="Jenni AI" w:date="2026-05-30T16:11:16.154Z">
    <w:p>
      <w:r>
        <w:t xml:space="preserve">This paragraph identifies several failure modes for RQ4. However, the conclusion that a "formal error taxonomy document and a closed-loop improvement protocol" are missing represents a significant gap. Given the critical need for "Record-to-Taxonomy Alignment" as highlighted in the audit findings (citing "FinTagging" from 2025), a structured approach to categorizing and addressing these errors is essential, particularly for ensuring the semantic consistency of extracted records with hierarchical financial taxonomies. Additionally, the audit emphasizes "Human-in-the-Loop (HITL) Standards" for financial NLP, which would naturally incorporate such a diagnostic framework to guide human intervention and improve model performance.</w:t>
      </w:r>
    </w:p>
  </w:comment>
  <w:comment w:id="143" w:initials="JA" w:author="Jenni AI" w:date="2026-05-30T16:11:16.211Z">
    <w:p>
      <w:r>
        <w:t xml:space="preserve">While the authors correctly identify gaps in "OCR quality metrics" and the "cross-model stability benchmark suite," these are crucial for establishing the foundational reliability of the pipeline. The audit findings specifically mention the importance of "Reporting Convention (PRISMA/PROSPERO)" for LLM hyperparameter and prompt versioning, and "FinReflectKG - EvalBench (2025)" for "commit-then-justify" protocols in knowledge graph extraction. Incorporating these standards would strengthen the claim of reproducibility and documentation by providing transparent and verifiable metrics for the pipeline's initial data processing and overall stability.</w:t>
      </w:r>
    </w:p>
  </w:comment>
  <w:comment w:id="144" w:initials="JA" w:author="Jenni AI" w:date="2026-05-30T16:11:16.269Z">
    <w:p>
      <w:r>
        <w:t xml:space="preserve">The authors note that the "matched cross-model kappa for a formal stability benchmark suite remains to be computed." This is a critical missing piece for robustly validating cross-model and cross-prompt stability. Given the audit's emphasis on "LLM Stability" (referencing "LLM Stability: A detailed analysis with some surprises" from 2024), a formal metric like kappa is essential to quantify agreement and provide a statistically sound basis for the stability claims and practitioner recommendations. Without it, the current validation remains partial.</w:t>
      </w:r>
    </w:p>
  </w:comment>
  <w:comment w:id="145" w:initials="JA" w:author="Jenni AI" w:date="2026-05-30T16:11:16.323Z">
    <w:p>
      <w:r>
        <w:t xml:space="preserve">This section discusses the performance of several LLMs (arcee-ai/trinity-large-preview, openai/gpt-oss-120b, minimax/minimax-m2.5). However, the audit findings highlight a "Missing Benchmarks &amp; SOTA Models" gap, noting that "ClimateBERT is an encoder-only model (BERT-based) and may no longer be the most competitive baseline for the complex extraction tasks proposed." The audit specifically mentions "SusGen-GPT / TCFD-Bench (2024/2025)" and "ESGenius (2025)" as more recent, specialized models achieving state-of-the-art performance for ESG report extraction. While this section focuses on stability, it would significantly strengthen the contribution if the chosen models were benchmarked against these more contemporary SOTA models for the actual extraction task, not just their parse rates and stability relative to each other.</w:t>
      </w:r>
    </w:p>
  </w:comment>
  <w:comment w:id="146" w:initials="JA" w:author="Jenni AI" w:date="2026-05-30T16:11:17.336Z">
    <w:p>
      <w:r>
        <w:t xml:space="preserve">Acknowledging that OCR quality (CER/WER) was not measured is transparent. However, given that OCR is the first step in the pipeline, its accuracy significantly impacts downstream tasks. Without this measurement, the robustness of the entire pipeline, especially on real-world, potentially noisy PDF inputs, remains an open question.</w:t>
      </w:r>
    </w:p>
  </w:comment>
  <w:comment w:id="147" w:initials="JA" w:author="Jenni AI" w:date="2026-05-30T16:11:17.398Z">
    <w:p>
      <w:r>
        <w:t xml:space="preserve">The statement that human annotation has not been completed, despite the infrastructure existing, is a significant limitation. Given the focus on "performative intent" and nuanced ESG claims, human inter-annotator agreement (IAA) is crucial for validating the semantic coherence and reliability of the "tone" labels, especially in a bilingual context. The audit findings highlight that "uncertainty-guided allocation" is a standard for financial and regulatory NLP, which this paper is missing by not having actual human IAA.</w:t>
      </w:r>
    </w:p>
  </w:comment>
  <w:comment w:id="148" w:initials="JA" w:author="Jenni AI" w:date="2026-05-30T16:11:17.457Z">
    <w:p>
      <w:r>
        <w:t xml:space="preserve">The paper acknowledges that some LLM configurations (e.g., openai/gpt-oss-120b) did not meet the self-imposed threshold of &gt;=30 runs per configuration. This inconsistency could impact the reliability claims for those specific models and suggests the need for either more runs or a clear justification for why fewer runs are acceptable for certain models.</w:t>
      </w:r>
    </w:p>
  </w:comment>
  <w:comment w:id="149" w:initials="JA" w:author="Jenni AI" w:date="2026-05-30T16:11:17.511Z">
    <w:p>
      <w:r>
        <w:t xml:space="preserve">While the paper notes the kappa of 0.645 with ClimateBERT is below the 0.70 threshold for strong convergent validity, the audit findings indicate that ClimateBERT (2021) is an older model. More recent benchmarks and specialized LLMs, such as SusGen-GPT/TCFD-Bench (2024/2025) or ESGenius (2025), offer a more contemporary standard for comparison. Using these state-of-the-art models as additional baselines would strengthen the validation of the complex extraction tasks.</w:t>
      </w:r>
    </w:p>
  </w:comment>
  <w:comment w:id="150" w:initials="JA" w:author="Jenni AI" w:date="2026-05-30T16:11:17.565Z">
    <w:p>
      <w:r>
        <w:t xml:space="preserve">The paper notes that ontology extension formalization is "Not yet met" and requires a larger bilingual corpus. The audit findings emphasize that "Record-to-Taxonomy Alignment" is a critical challenge, particularly in financial reporting, with recent work like FinTagging (2025) highlighting struggles with disambiguating closely related taxonomy entries. This indicates that merely identifying extension candidates is insufficient; robust semantic alignment and validation against established taxonomies are crucial for the practical utility of the extracted records.</w:t>
      </w:r>
    </w:p>
  </w:comment>
  <w:comment w:id="151" w:initials="JA" w:author="Jenni AI" w:date="2026-05-30T16:11:17.619Z">
    <w:p>
      <w:r>
        <w:t xml:space="preserve">The claim of "commitment-outcome asymmetry patterns consistent with selective ESG disclosure" in anti-corruption governance aspects is presented as a descriptive finding. To strengthen this claim and contextualize its novelty, it would be beneficial to compare these findings with existing quantitative greenwashing indices, such as the ESG-washing Severity Index (ESGSI) (2024) or DeepGreen (2025). This comparison would provide a benchmark for the severity and prevalence of the observed asymmetry.</w:t>
      </w:r>
    </w:p>
  </w:comment>
  <w:comment w:id="152" w:initials="JA" w:author="Jenni AI" w:date="2026-05-30T16:11:20.289Z">
    <w:p>
      <w:r>
        <w:t xml:space="preserve">The claim that identified greenwashing signals need external validation is accurate. The future work agenda could be strengthened by specifying how this will be achieved, potentially by benchmarking against established metrics such as the "ESG-washing Severity Index (ESGSI)" from 2024 or "DeepGreen" from 2025, which are designed to quantify greenwashing severity.</w:t>
      </w:r>
    </w:p>
  </w:comment>
  <w:comment w:id="153" w:initials="JA" w:author="Jenni AI" w:date="2026-05-30T16:11:20.360Z">
    <w:p>
      <w:r>
        <w:t xml:space="preserve">The audit findings identify "Record-to-Taxonomy Alignment" as a critical gap, noting that current methods struggle with disambiguating closely related taxonomy entries (e.g., "FinTagging," 2025). While the limitation is acknowledged, the proposed future work does not explicitly outline how this fundamental challenge of semantic alignment to the ontology will be addressed, beyond reporting the current coverage figure.</w:t>
      </w:r>
    </w:p>
  </w:comment>
  <w:comment w:id="154" w:initials="JA" w:author="Jenni AI" w:date="2026-05-30T16:11:20.415Z">
    <w:p>
      <w:r>
        <w:t xml:space="preserve">This is a solid plan for improving IAA. To further strengthen this priority, consider incorporating current "Human-in-the-Loop (HITL) Standards" such as "uncertainty-guided allocation" (e.g., as discussed in "CoAnnotating," 2023). This would optimize the annotation process, particularly for large-scale datasets.</w:t>
      </w:r>
    </w:p>
  </w:comment>
  <w:comment w:id="155" w:initials="JA" w:author="Jenni AI" w:date="2026-05-30T16:11:32.872Z">
    <w:p>
      <w:r>
        <w:t xml:space="preserve">This section presents the structural outline of the thesis chapters as raw diagram code. For improved readability and professional presentation, consider rendering this code into a visual diagram (e.g., a flowchart or dependency graph) rather than displaying the code itself. This would make the relationships between chapters and research questions much clearer to the reader.</w:t>
      </w:r>
    </w:p>
  </w:comment>
  <w:comment w:id="156" w:initials="JA" w:author="Jenni AI" w:date="2026-05-30T16:11:32.980Z">
    <w:p>
      <w:r>
        <w:t xml:space="preserve">The rationale mentions "The Ch4-6 notes show that the thesis chapters should not be isolated prose." However, these "Ch4-6 notes" are not included in the provided text. Please clarify or include the referenced notes to make this explanation fully understandable.</w:t>
      </w:r>
    </w:p>
  </w:comment>
  <w:comment w:id="157" w:initials="JA" w:author="Jenni AI" w:date="2026-05-30T16:11:33.320Z">
    <w:p>
      <w:r>
        <w:t xml:space="preserve">This section mentions "artifact lineage" as a key role for a Streamlit page. To strengthen the claim of pipeline reproducibility and auditability, consider elaborating on the specific protocols adopted for tracking this lineage. Recent work like "FinReflectKG - EvalBench" (2025) proposes "commit-then-justify" protocols for knowledge graph extraction, which could serve as a valuable reference or inspiration for enhancing the current artifact lineage tracking.</w:t>
      </w:r>
    </w:p>
  </w:comment>
  <w:comment w:id="158" w:initials="JA" w:author="Jenni AI" w:date="2026-05-30T16:11:33.383Z">
    <w:p>
      <w:r>
        <w:t xml:space="preserve">The "RDF, OWL, Neo4j export" capability described for this Streamlit page is critical for semantic mapping. The audit findings highlight that "concept alignment" is a significant challenge, as demonstrated by the "FinTagging" paper (2025) and its "FinCL" task. It would be beneficial to discuss how the system addresses the disambiguation of closely related taxonomy entries, especially given the complex mapping of OJK-GRI-SASB standards.</w:t>
      </w:r>
    </w:p>
  </w:comment>
  <w:comment w:id="159" w:initials="JA" w:author="Jenni AI" w:date="2026-05-30T16:11:33.473Z">
    <w:p>
      <w:r>
        <w:t xml:space="preserve">The presence of a "benchmark checklist" suggests an intention to rigorously evaluate the pipeline. Given the audit findings, it is important to include more recent and specialized benchmarks beyond ClimateBERT, such as "SusGen-GPT / TCFD-Bench" (2024/2025) or "ESGenius" (2025). Detailing how these cutting-edge models and benchmarks will be incorporated would significantly strengthen the methodology.</w:t>
      </w:r>
    </w:p>
  </w:comment>
  <w:comment w:id="160" w:initials="JA" w:author="Jenni AI" w:date="2026-05-30T16:11:33.542Z">
    <w:p>
      <w:r>
        <w:t xml:space="preserve">The heading "B. Core Result Tables" appears to be a placeholder or an incomplete section, as no tables follow it. This needs to be completed or removed if not relevant.</w:t>
      </w:r>
    </w:p>
  </w:comment>
  <w:comment w:id="161" w:initials="JA" w:author="Jenni AI" w:date="2026-05-30T16:11:33.602Z">
    <w:p>
      <w:r>
        <w:t xml:space="preserve">This section provides a high-level overview of Streamlit pages and their roles. To enhance clarity and detail, consider providing a brief description of the key functionality or features available within each page. For example, for "Live task execution," what specific tasks can be executed, and what do the "status counters" track?</w:t>
      </w:r>
    </w:p>
  </w:comment>
  <w:comment w:id="162" w:initials="JA" w:author="Jenni AI" w:date="2026-05-30T16:11:34.647Z">
    <w:p>
      <w:r>
        <w:t xml:space="preserve">This reference, "Towards Behaviour-Aware Multimodal Video Summarization" by Islam (2025), appears to be unrelated to the core topics of sustainability reporting, ESG analysis, or NLP for textual data, which are central to this paper. Please verify its relevance to the content discussed in the main body or remove it if it's an erroneous inclusion.</w:t>
      </w:r>
    </w:p>
  </w:comment>
  <w:comment w:id="163" w:initials="JA" w:author="Jenni AI" w:date="2026-05-30T16:11:39.791Z">
    <w:p>
      <w:r>
        <w:t xml:space="preserve">The descriptions for these artifacts are very brief. Expanding on what each CSV contains and how it directly supports the thesis's claims (e.g., how `tone_records_flat.csv` enables record-level ABSA analysis, or what specific insights `ontology_coverage.csv` provides about the mapping process) would significantly enhance clarity and demonstrate the utility of these outputs.</w:t>
      </w:r>
    </w:p>
  </w:comment>
  <w:comment w:id="164" w:initials="JA" w:author="Jenni AI" w:date="2026-05-30T16:11:39.887Z">
    <w:p>
      <w:r>
        <w:t xml:space="preserve">The audit notes that ClimateBERT (2021) may no longer represent the state-of-the-art for complex extraction tasks. Consider discussing how the findings from `tone_climatebert_label_crosstab.csv` would compare with benchmarks derived from more recent and specialized models like SusGen-GPT (2024/2025) or ESGenius (2025) for ESG domain knowledge, especially in the context of validation.</w:t>
      </w:r>
    </w:p>
  </w:comment>
  <w:comment w:id="165" w:initials="JA" w:author="Jenni AI" w:date="2026-05-30T16:11:39.954Z">
    <w:p>
      <w:r>
        <w:t xml:space="preserve">The audit highlights "concept alignment" as a critical challenge for mapping extracted records to hierarchical financial taxonomies. Simply stating "Mapped and unmapped aspects" for `ontology_coverage.csv` overlooks the complexity of this task. It would be beneficial to elaborate on the methodology used for mapping and how the system addresses potential ambiguities or closely related taxonomy entries, as identified in works like FinTagging (2025).</w:t>
      </w:r>
    </w:p>
  </w:comment>
  <w:comment w:id="166" w:initials="JA" w:author="Jenni AI" w:date="2026-05-30T16:11:40.008Z">
    <w:p>
      <w:r>
        <w:t xml:space="preserve">The listing of `tone_esg_crosstab.csv` suggests an analysis of ESG pillars by tone, which can be crucial for identifying potential greenwashing. For robustness, consider how these findings could be benchmarked or compared against existing quantitative indices for greenwashing severity, such as the ESG-washing Severity Index (2024) or DeepGreen (2025).</w:t>
      </w:r>
    </w:p>
  </w:comment>
  <w:comment w:id="167" w:initials="JA" w:author="Jenni AI" w:date="2026-05-30T16:11:40.064Z">
    <w:p>
      <w:r>
        <w:t xml:space="preserve">The heading "C. Core Graph Attachments" is ambiguous given that the preceding table lists CSV files, which are typically tabular data, not graph-specific formats. Clarify what "Graph Attachments" refers to in this context and how these CSV artifacts relate to graph structures, or revise the heading to accurately reflect the content (e.g., "Output Artifacts" or "Data Tables").</w:t>
      </w:r>
    </w:p>
  </w:comment>
  <w:comment w:id="168" w:initials="JA" w:author="Jenni AI" w:date="2026-05-30T16:11:46.802Z">
    <w:p>
      <w:r>
        <w:t xml:space="preserve">This section, titled "D. Recommended Figure/Table Format", appears to be an internal note or a draft placeholder rather than a polished part of a scientific manuscript. Its content details figure attachments and their intended use in other chapters. This kind of information is usually managed internally by the author or presented as an appendix of figures, not as a main section. The incomplete sentence "Every graph section should include:" further indicates it's not ready for publication.</w:t>
      </w:r>
    </w:p>
  </w:comment>
  <w:comment w:id="169" w:initials="JA" w:author="Jenni AI" w:date="2026-05-30T16:11:47.385Z">
    <w:p>
      <w:r>
        <w:t xml:space="preserve">The sentence "Every graph section should include:" is incomplete. Please complete this sentence or remove it if it is an internal note.</w:t>
      </w:r>
    </w:p>
  </w:comment>
  <w:comment w:id="170" w:initials="JA" w:author="Jenni AI" w:date="2026-05-30T16:11:47.453Z">
    <w:p>
      <w:r>
        <w:t xml:space="preserve">The listed figures, such as "results/docx_graph_attachments/docx_full_tone_distribution.png", are referenced with their intended use (e.g., "Chapter 4 RQ2 tone distribution") but lack any explanatory text or context within this section. A published paper would typically include the figures themselves, accompanied by a caption and a discussion of their content and implications. This table seems to function as an internal checklist rather than a presentation of results.</w:t>
      </w:r>
    </w:p>
  </w:comment>
  <w:comment w:id="171" w:initials="JA" w:author="Jenni AI" w:date="2026-05-30T16:11:47.932Z">
    <w:p>
      <w:r>
        <w:t xml:space="preserve">The cited paper (Hwang et al., 2026) describes an augmented reading interface designed to connect information *within* a single document (text, figures, tables) to improve comprehension. It does not appear to directly support the broader claim of a format that connects a "paper" as a research output with external artifacts like a "dashboard, graph, and data table." The conceptual scope of the citation is narrower than the claim made in this sentence.</w:t>
      </w:r>
    </w:p>
  </w:comment>
  <w:comment w:id="172" w:initials="JA" w:author="Jenni AI" w:date="2026-05-30T16:11:47.996Z">
    <w:p>
      <w:r>
        <w:t xml:space="preserve">While this section outlines components intended to keep research artifacts connected, it lacks specifics on how this "connection" establishes robust provenance. The audit findings suggest strengthening the implementation by adopting established "commit-then-justify" protocols, as discussed in papers like 'FinReflectKG - EvalBench' (2025). Detailing the mechanism of linking and verification would strengthen the claim of a reproducible and auditable pipeline.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after="72" w:before="1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b:Source>
    <b:Tag>ChristensenH21</b:Tag>
    <b:SourceType>JournalArticle</b:SourceType>
    <b:Guid>{63977ec0-02e7-4019-82e2-dd5b9a6e2445}</b:Guid>
    <b:Title>Mandatory CSR and sustainability reporting: economic analysis and literature review</b:Title>
    <b:Year>2021</b:Year>
    <b:JournalName>Review of Accounting Studies</b:JournalName>
    <b:BookTitle>Review of Accounting Studies</b:BookTitle>
    <b:Volume>26</b:Volume>
    <b:Issue>3</b:Issue>
    <b:Pages>1176-1248</b:Pages>
    <b:Publisher>Springer Science+Business Media</b:Publisher>
    <b:URL>https://doi.org/10.1007/s11142-021-09609-5</b:URL>
    <b:DOI>10.1007/s11142-021-09609-5</b:DOI>
    <b:Author>
      <b:Author>
        <b:NameList>
          <b:Person>
            <b:Last>Christensen</b:Last>
            <b:First>Hans Bonde</b:First>
          </b:Person>
          <b:Person>
            <b:Last>Hail</b:Last>
            <b:First>Luzi</b:First>
          </b:Person>
          <b:Person>
            <b:Last>Leuz</b:Last>
            <b:First>Christian</b:First>
          </b:Person>
        </b:NameList>
      </b:Author>
    </b:Author>
    <b:JenniData>z:pVhNbCNJFfYwAXGCExK7QlAHRpOA3XHH6zieHbH5mcwkMLOgeEcjcVhR7qp2V1zd1VvVbceLQFmQOCAhceAA4gJHbsABKYLDIHGAC3viPlpxYY9cVksufK/a8c8yWTLKIbbbXfXe+77vva/aeees9smBNhEvjD2r3TjO+UC+XqZ9aUUYdjqxsWqgspU0F/GBGiQaf4XDQuX3KJO5n57VPiH6fXNyVluJE0kLzl/78P2D01qtJrSMi/Pt23fZr3AVFSY/39763W++gws5VqJIzrd7GwNc1RYS33jBgHe+9126mAeMn10v4N3DRxRhFjB8d/sKAf9z+8eE63kBv/Y5xpYqfEorr1Hha8/+vRhw5w9vvjiHdemvqoDb/7hLGC8CHv3knWtC3vnjrcWAvTC7mihfp2XPC7j7688stU3z/CoVfvj+o0UO73xAm6qAez/6YClguHk1US4NeE8/o1tzlbNrBtw/+ttyY/+JLq8R8P7W758uQf4tXV4j4IMv/nKpwuY/aeU1Ah7cfHNp9Dbia0I++NeDJcgbf73apFwa8PDdkCLMJuXp3z8aUL5VmkJOVv78RqIcc4mKC2YyViSSRcbmxvJCMqeEZLgdaeOknjArNb4WrDCMs4E1Y5UNmJBOWcn6E5bybEL3VDaSrmCudAVXGe9j56oMBkGd7ZfWOBWzjWa49Srb1TwaHploiOuN5lrA7huLzdiVRbKOT/77Ovty2AlCVlilNbz8vdOfYVmrdYs+xIw7JwtHuQFO0CbC8DhTVGivQL2OrT4OesEaG0uq0/JM4BYH6lmBQOlrTmWGWKuPe6x3eP+iqh1tAHOsisSHvsCtsgLxgBMpL4lU9xuERHGC4ZTCPbymvEFnEuN9UxaLbJtIcQ2SXY4TS/WVVgWY2+sdrVG1Y6k1vcfKpu69018wmY2UNRll4ro+3V5nlGtgRtJmRCNb3e89wP6oUCNVKJBB93OjVUQXCdFQSC4UyauczJDQJHiTBeM6IKXar7KdVOrGt7mQid/ek5bHUqVeRzB05EsWxArkL6ijKtB1ttW6xaBSZNKcZ5TRyoFCRgsJZpSSPAgalXZe4v5JlPBsINmeSVPlHDG22tvfW2NCOd+QQJzi5YL6iq4pw57gqheUpZwlOtfYCdjTKBMa93Z6u1R/JwKAAzOWYKzO0jJKqF6PYSkWpoBUEb7ykdElWLeTgB2iARzlsRKrJculTXjuWGZoAmwOUj0vCadOodYwlmKluUbZ0ybgjEZhRpT1jUQsoCgVq2lfzatZ3YW8ZrwgUhcoDhFOCFBosqrzesvc7ESRQdlUDgYjE9wKx3YN3io61tAX6GrHqCRfcFVdu+k1BPmNBfXmkubWjMgpBjJDuRFDo/eN0tICIvV1VUXjhSXaS0BeITPqyjlSGMeSdmJs7PCs9tmE911h0eiTm3/ZmX5klbsVpZigXk3loFwYH1jAqElIalJULONYRgQ8JiMR3uSmbVZCU1LCSoyp5478qeKORvqK84sIH+lUGLWKXMCeSBpp+AioBnDJhhIcSF4gs68IAebZA/a6PCnqcAMmLB+TZ8OV5YhnICjChBIcxMeEVgGox2a615HK20J9hh0mRcVV/kleQiNM2EtXDSJi65LwUUc9hzsaC5wmElF9uRwFvVXiSPDBiCIC8BwC5ozSIu8B3tvI+SNdeju5EAYoIp4rGB0qtUM4fp2gI95QJkZjKpGbhpD6ltpqOmgVOKykyKwvEz5SxnrSuXZzoDCY0pvT7IAjtApD6mFUzerZoOaNKmxTbT4W2rxZFiy8GOMAzTE2PEqQFdku3e/HUCjQQKfHdFjI3bmNElowMAAylRCqQxoKMEsbsG+WFre5njiMwkRJTbWwzD8GEAQcuP730nTi0e6zhiJd/BNBaS0BFrJPjQAqqimhaf1/DHiH9FxPzcVFEIxDL3qKGMmMeKdEcUkNS+MjCVsAR0RHOSnuIecAZ3G7ETZTdBulkfYQQtDPQl4WCYQ+1RALE38ff8aKbtBpSi/qTVmoQsuTLxzJkZIYmHjZB9Fn0sVk6Kn8/Mv5LP7D2c9NRY9NR3QW4SkMboxZ/Ra+eWnl54nmF5+fadppVb+ktvshPa9lPKUdccxTnK7DBTeDiQL48QHPyH/pccQaLWv/u0kccPioXy0elm+rS9c9lOXb1TpV5VHQxC+OlMBP4U9FwqiTl8NmEDabnXUXhuErG43mRthodjeb3UYbg9DPTvHqsh+osLXVbGxutlsqbHdajU7Y2oxSPjhuhe1up93tNjva5DIDjxDoULitzTaWdDe7Yavb6babr2y1ElrAwfvwyXzXsVfEC3oMQZG809jopnnZ18pheCtNb3hwJ1/q4ewE6Zb18KgCd/nqbomjFBnZIykUH6JTTIlZfGz1yb2kKHJ3Z30dDjoM3HRngDNqnXRB867jnwPrl+MPcHvgyn4xyYnXIUfzRlq+gcsbmH1p4m+oTCx+LWFGeoK1OqJnzd3JHjXVSyu3CzwJ4IRExeIJjiZXfX/j+9NG7D268uzcmbvsbIJp/dzfsZa6Oq4Ok1NB5X8a46pPvnLBCIQPjB18DPb/Ag==</b:JenniData>
  </b:Source>
  <b:Source>
    <b:Tag>AlShaerH21</b:Tag>
    <b:SourceType>JournalArticle</b:SourceType>
    <b:Guid>{f0d4870a-af5a-4937-9bde-4eae97e1bf8f}</b:Guid>
    <b:Title>Creating sustainability reports that matter: an investigation of factors behind the narratives</b:Title>
    <b:Year>2021</b:Year>
    <b:JournalName>Journal of Applied Accounting Research</b:JournalName>
    <b:BookTitle>Journal of Applied Accounting Research</b:BookTitle>
    <b:Volume>23</b:Volume>
    <b:Issue>3</b:Issue>
    <b:Pages>738-763</b:Pages>
    <b:Publisher>Emerald Publishing Limited</b:Publisher>
    <b:URL>https://doi.org/10.1108/jaar-05-2021-0136</b:URL>
    <b:DOI>10.1108/jaar-05-2021-0136</b:DOI>
    <b:Author>
      <b:Author>
        <b:NameList>
          <b:Person>
            <b:Last>Al‐Shaer</b:Last>
            <b:First>Habiba</b:First>
          </b:Person>
          <b:Person>
            <b:Last>Albitar</b:Last>
            <b:First>Khaldoon</b:First>
          </b:Person>
          <b:Person>
            <b:Last>Hussainey</b:Last>
            <b:First>Khaled</b:First>
          </b:Person>
        </b:NameList>
      </b:Author>
    </b:Author>
    <b:JenniData>z:zVlLbB1JFXWGGQRshmgWIbMqJD625Pf3Lw4SduxkYpxxLH+UYcNMve7q7rKrqzpd3c9+bPAMLJAQ0khsgBUjsYEFCwSLrEBiwRKxBDYoSCwRSCxA2XBudfd7/Rzb43wWRErs16/q3lvnnnvurc77j6ZeC5XxeGbSR1NXDhIeiq087ovUW+wtBSaVodSvxokf3JVhpPA3s1gn3RZptP3w0dQrfr9vjh9NvRpEghY8+ep/N78whT++EkH2ZGW6fe+3+ORlJnmycu+7f6MP4kj6WfRkZffqj/+KjzW/U89o8O13/nQyYfA37MUMbk3/4b0Jgx+Q/Rcx+J9/1Y+8/tF3aOXHGFy5/rvXKYyxQTpWYXD7fnsSw59e4sgrb3z6o5VzDO703qcsVAY3//jFS2JIu0YGr/1kZPDzM6oeYfe1N05l+cplDNYwnAm+TyGNjvzZv5CzSxg8Lymtvy/Xj7x79b3nMNj6OlGjMNhr3Zo06HL0AgYXzPU6hjv//hXx4VkNvkNBFQZv/OKfdMZxhN96niPXDH7lH7+fLL03T1XKsyZl5doPJ7J89XvPZXBM7NVf/3wyKYMXjHBt/5eTR/7ZaWKLh7nJxPC1h3ek5koNZ1kqrOCpF4nUzjKWpCYQ1kI7ucJnbtmRUIp+JkZJbxjzQyxkWgifZYbFRktoM7O5zTgs9pVgvhgIZZJY6IyFBmYY1z5jGU9DkVnaJbWXCm4F40c8FRr+ZtmhNkdK+KGAUyxPUu5l0hNYH/GMeVyzvmAmEakTdq6kLSIQ2uapYIwzNIo+V8waT4psON7HAzQKfyJEJQdSh0123zUQGMuGrQFXuVhmewY7BZzZjJmAmTyth6YNs1nuD1kERIYiY+KYx1IjlJF5SdaAamLSjGmeUsADnKM/ZB46kvRFCt/sUAxZIHiG4C05glMAUmyzhJDKfaybZQgeKPkNZcwhbSQrGbBF5qQ9HH/KjC6xmwylYRPhyUB61dIm2xTDI0Bil8+O2t6sxT2LbSme8kwgmwORaq490WSdJtvY2tu5v76/trdxf4vtATSpEWzsEuScwTKQkfocN2zAU4nTY4E4pshc9IUJ5ueC0ku5UNw7JIiQS0EePBhdGwW1i3wj7TvCJgRv6WJ6bXdnpnREqAUpjwUOfeh8cBahlsDUMBVgVcB8aUFJF/j027lVOUNuuWrOsm67c2OmyXbPPoFHiCDORHolU0Fo1k8NR5rpAeindY74qh0oFs/ECdc4+eOTH6G8+lZmQGF6PQIRj7C05roD10B2WBICkAApMqeNbrCHOdcZUus4XQc/FSEo484t09j5ceULn7Pj0iorTaRuI7LqUlXASd8IPZCp0VTI7gA1gCltpwKuwr0lPJ6DysgcoCA4UDR05FxZkw4hGb6AJgD0s1kBJk+UApUwiEIQVAx20TkU02rz9A5UJ81QAd12mxJGfKyIAzhyVSBDdYuT5CormOmD4+nIm0MMGRoYlePQcHoqxjrI03cBf+hiecAza7TL2PxNtsW/CWLX07iIgHxi36Op1yPetxmlYPiZP2/nYDG870USAsuRCsZl7DQSQjyAVoCqGhxDQhI84V7kNK8QnZekObX1F8jOBapzOdFZF1aGuhWLLDK+USYctkZn2rfkgjPL4wRURmj7mwV1v3yedgSpiQnaOQIEP5ccbxjPYR4NyuMJHdM9K3GpyONAiROYcz49o5RAQSCj8Ot0keVlPI62Wdlx0DV0mEuL2kEZepGWD0mjXNFnmYiTsrn5cCIDUKeCAN+msp9TkZ/L+iZDQybkrWNuUH2wkTlyh4ixhwWgDZ3OOfVFJlLHA/q+Ot25HqgUl9l0Z8aJLWRc1fS8kQoUCEqi9DA7poKzPi4I7pukAutMRw45i6ZMdoukeJGB3jgJr76o+J3OoqFipoiMIsUUOsSs4kYHIpU50qjOSCZ0PA9Pi+5/k013ZxDhU8c4K/y+AY1JKl2MZJVCEsdIpKAtFNXpkyDvsUROxU23YbpXbyV9EfGBpMFgEqMk70NiC20gcDJsJRWmQeWtYjbZGRnZwNwkXdWx6bd2NmbOTRp1RDzWTpXHQZTnaVLfc+Mb2ImQi1tvS6KMylAKPlVl4Ra5oaYsNRB21I7K8aoQRjrR/iZombs6qqZEJ8fiOFFmVFwkpq6JG5J8/IIKyfKyZhwtj/G9zbEZ4ruFA0RsNYYieZy64aqV/PHJD7Z5USxHrm2Q5VpaL+Qa8cR5rqqjKowqMR9fGp7JlU8Dpi+DAP5Jr1bRrsCjDJJQfukIh7nQ2aUpFh8HUhyhNjVYC8/jWGqkdqpg+uSXwpEpcEZwlJojCSyKZk2LLjxjvXSq2dix2bBckxvi22kH40GAgADRGBQM/ReqUeyWxDGS4SQFHd0sTr0T7aiYc0GOvls8QmZMBbQxwYtuxf1BkSgwaxwN+X0adJq1lKGpvaT32aJ2ate4SzXZdgEA6DVB9PFMOEpIdU+hUHUIDKoUjMTDDTpPCyKLofCoClucT2h8wNOCTnGSCpiyiIYAK8aRVPjV8HmBBlMiwW8oD6BCjOUdhlRvkjNlCZ5LCaQMDCAw6vcyqk4c3icQXDsckebimMBqDJHSEhtrgxAmneL7SszK/uhUA2pslPPihoCLW9sZd82Jq+ZLvGle9qL5XPfMl3PN/P+4Zda75Mse9zB6Ez2Fvw4qht12d77RXoqrS2G6gTma3u2WfekEfSlBIu44KfAXmjcWhAR1xSdwJ8uUOP7S1wARVSjOsJqg5oHFqocawqiFaKsmGNCcEotrycjRvdHLY0lvQXYwsQu8VEGskKhtPLn+yuNI8er3J8rxmqY1hPVtev2icXHEzyBACtTwYFU9PvlwN+LQwpDqP7gLDPrcRy0I9x5ycn24qvpoy+XiaBNXJt8Yfd5yeTe3lgIfltZpg/CL5Z708Xb7k55v5PH1TrvZ6bSXWgecp432fAMQdxrtTm8B8trXJ/jX6g9k+8bCYmN+rrsgO4vzS42lpfl5L+bhQa/b6bbn2u3FHupHaECJZG34GfbPdZfa8/MLC90b8+3FxaXFTkQrEMXx4YPxtgOXHpfdA+e602l0e5iWnYpUCb7ijnf85m20exycbRdfU8ru0SQi/EMQE6n1xH6qjt+Nsiyxy62WQDfSUA7Qs8m9Zn7YCqQS71okRbSgG37uBvZWd3EJ173Wanttfm6ts9BYW51bbMz11nqNW73eemN9/fadpbXF3q259dtN/CdBaPN+NkwI70MOkfOU2MPHKzAlTLCJmbv+WODWq4ZYqzyK9NZwjej2uRW0EtcJ8RriAa50tniMe41j6jfWoDiOlOfIrRMMCCtazjK90pAadZvJcDQ4Vv0QcyYicjoxLvCgeNdw4tM5PuXlQG2mQg28aJo0bJ1Ljf8B</b:JenniData>
  </b:Source>
  <b:Source>
    <b:Tag>AdharianiD20</b:Tag>
    <b:SourceType>JournalArticle</b:SourceType>
    <b:Guid>{6f8b451c-d8ec-4613-be05-7a536bb1bf99}</b:Guid>
    <b:Title>Readability of sustainability reports: evidence from Indonesia</b:Title>
    <b:Year>2020</b:Year>
    <b:JournalName>Journal of Accounting in Emerging Economies</b:JournalName>
    <b:BookTitle>Journal of Accounting in Emerging Economies</b:BookTitle>
    <b:Volume>10</b:Volume>
    <b:Issue>4</b:Issue>
    <b:Pages>621-636</b:Pages>
    <b:Publisher>Emerald Publishing Limited</b:Publisher>
    <b:URL>https://doi.org/10.1108/jaee-10-2019-0194</b:URL>
    <b:DOI>10.1108/jaee-10-2019-0194</b:DOI>
    <b:Author>
      <b:Author>
        <b:NameList>
          <b:Person>
            <b:Last>Adhariani</b:Last>
            <b:First>Desi</b:First>
          </b:Person>
          <b:Person>
            <b:Last>Toit</b:Last>
            <b:First>Elda du</b:First>
          </b:Person>
        </b:NameList>
      </b:Author>
    </b:Author>
    <b:JenniData>z:3VjPbx1HHX+JEgl6qYQ4UIRgLqgN2O9XnNgEqcS0Nm0cGsdJiUQVlXk7s7tjz85sZmafvQgJ0xNnilAPgMIJif/A4gIcOcMdckZCQtxyaD/f2d3ndZqojaJYag/PfrM7+5nv9/P9fD8zb39xNDifaZvwYN3R4MxuyTP5VlXMpEsuTyepdSpT5lxRivQNleUan+AxT8VHlDX+l0eDs2I2swdHg3NpLmnCw6tnt25eHQwGQssUo+H9+/cxSoItH1797vL8JxjIfSVC/vDq13/z/iGGvXUHjwP81j/itMcBvvqfL+H7AvCm+/mnAfzy/+/+pQ/4B8JoADf/uUsIHeD2/35MMz8B8Hsf/qiivI4BadQAXvvG1/opb6//mYbPAvjfP/VTvvH7t2j4DIBbf3vhX30Oebz3DIDXf/XBCQ7/PWDPBvhD8SJVYQH41z+SwPqA8l5lg6zP/3195oPjSWDblSutl1fY7Vx55kMlasZVIQXjgSkzlz6oDCo2GQu5ZE5ywWdKq1AzmzJf+cCV6a44WVoXPJ5jbxphjfSKD4Esj4eGZXYunSmkCUuAdLbK8gi9CRyTKK7ZLenmKpGerVchR3c1ay0g2Cs30IgqcM+ucc/Zlqy4yYDM3rlxbevuhSWW45byvkIWTmaVjl3ItnGXXZqMpuPJKkusSRBGl5cqSi0ppmZqPzUtWRpDk0uM7ecqyQF6r1IOAZbVTKsEYEXJjcKFYFkJFriTT+DmweGvpcKKDlxzI5a5RlIL4qxjeJa+pIxxYyqw0d4bsrdNUJpR9EvMGl2zi+Nv0kSKH/X/eDAoQ5CuiGgFd3sysISXIE4r3+TZsdSUNiZFlNGCQ/ZaB/QyEzJRnpysSdDOlcCa8SGai1xkwVJni3gxg0qwMJvjmTZ7JANFJShqhAB3tnJU4pBDZ6m2+83jXAhFkSFvw51DlFDgkL1h9yVUQ4KRrPIyrTSkEBPzFQrCu0CQoGEzye5VJFxQK4bsdYgmM6NCQkzCapvVI14iCZ7kV9idiCeYJ3ysqqGISuHZBNwluVGExF7Z1NJjnR3InySzwb1k72zubNxdYs2tB4fvbymTcCWWYq4/qEwU16bNWCG5r5DyBUpdzrmuQM+nb6emg4DKde3RpPtQdykd9h1q08rTMpx5m4Z90h1ygwya+iZca8x5cPhbirzDvYUuV5aUdGn44PB31HmUlY9spLZC+Me1jfXK+RzAjMqkQZSmYHuxU4QIDHmSQqiisacMhdgE0mpGRE3inlA+0TaywihokF/jYpqqpNJ43EbJldQnxCZCki42DJvVjeC5y2SI+ePOkEGtxmMF13W0V4XS3DXxRqW0EulzjmiO24UnzkJTIANlcLiyxPYlszMsELMveYCq0TTAUt4W1pXIuuhS2ud1DywytnCVtsU8L4hgIiWmpeFbFdyZ3AhLVvBjgHXktJkoWMVJXfSIHTKxb93e0eDFnLeWXn/xg9bUPw+e/twt/RQd/RQM/bT8/JTs/Onc/LNj5s/fyz/DVn56Tv6cjfypfByyqFlBZ/xY9Yaaog5kpFiFAtLy4HglpEBuT1mSoVsXvQaBog4ecVuyJLC5I73kDnLXoLHxQj+ifFpd+SjIXnugYK3GTxAcowCLKFIbprHRfgLNjLzlFsYqsNGgfgR8UlmPVL+9usSkL6EPiDsWkYCMNcsbJoOpIeo23yHbpnQRtI7VOBE9UobUfOdYi02vtY/oCWi0tltJxMFaSAn091WD+Nq9hdhEMI3xU/2gEeqCIDV+3ivaQJrZlB0Gj+91mAc6iXIl3UDt/e1qyG7ZuDOeyObW4zdf+qUGLI7KCFUVcTNJErR36GZSKrxNpn4ZBPT2OnSsgCQpb4rawnCa5aLqoMueBRPOsaLi9Li3xd7EukFC17KURmDUlOsR33vEL4bsRnw/gj0q1COqAJ1LnuLUQXhoqyAPwskjAxFiGNrSAR4lajZEOiiQMmcSkRIfTuYkSHgHCaw7/DT+hZtzZStPCopd0tpfIx984YVtXShV0G10DIS1B2uhRvFVGZ2IJtzD3k6hS5PTyYLcoqOj837dbJlSvI4Asul4eml5Mi4oOaQu3ZtgjV418XhE8ofo2BKV38THOrEyXLsk4/5+TgYVYAbfvoZdl/ZWLLPeyIGIQF4bHSkbALcF1J3Ora4K+UK5WO364oWWojcEO2g0iRcOKia6jSsvnS1yzbvvP9P0pFOzipTxHr2aMHBB/E9TDoOu1brI0SzUSxnYNoJ2auHgCfE9xsnJ4rZVoIDmZRtacCaqZmqiBN6dnU+EVQcvTcbDyWS8NtrlUoKpZfTNd5bxWYGzzswh/nrznpqOV6bLk8nlte7b6uWk4NnuxfHaysp4dbI2zSF58CQP9u4cX9xtzkpUil2UYrw8BvZqEQ9dHpJvqnEmBn7wVWKUa4H3JfE2cXudDFWKve7087bTBzfzEEp/ZTSiknsFquphVQ55MvwpH80gnQDdF6Pp9PLF0dp0sjoZTUYL3t7tbezvUkhDvFLMfDULdUnc7eEgqRItb2N4ho5DNsUxRfQvS5wFdY25OqHYvl+/Rqr4yg6WTaWT0KW4g98Lvrk8boX0av9E8cRmvAIDxb4MjMZoF52Y4rCqEn8oKM4vJBV4uNDxgDoOrctGTyzlRw==</b:JenniData>
  </b:Source>
  <b:Source>
    <b:Tag>Marsdenia23</b:Tag>
    <b:SourceType>Misc</b:SourceType>
    <b:Guid>{dcd4fe56-55b7-4053-b34b-0b4e0db726c4}</b:Guid>
    <b:Title>A Sustainability Reporting Issue: A Comparative Review Between Indonesia and Nordic Country</b:Title>
    <b:Year>2023</b:Year>
    <b:JournalName>International Journal of Professional Business Review</b:JournalName>
    <b:BookTitle>International Journal of Professional Business Review</b:BookTitle>
    <b:Volume>8</b:Volume>
    <b:Issue>12</b:Issue>
    <b:Publisher>Tutor Treinamento e Desenvolvimento</b:Publisher>
    <b:URL>https://doi.org/10.26668/businessreview/2023.v8i12.4014</b:URL>
    <b:DOI>10.26668/businessreview/2023.v8i12.4014</b:DOI>
    <b:Author>
      <b:Author>
        <b:NameList>
          <b:Person>
            <b:Last>Marsdenia</b:Last>
          </b:Person>
          <b:Person>
            <b:Last>Koestoer</b:Last>
            <b:First>Raldi Hendrotoro Seputro</b:First>
          </b:Person>
        </b:NameList>
      </b:Author>
    </b:Author>
    <b:JenniData>z:rVhNbBxJFXZQIrES4rKXFQhUEhKxN5MZ/yZOVoCTTbKx82PLTggSAm1Nd3V32dVVnaru+eGUcOKGuHKBAxJnDhwsceCKOAASF6Q97AEtEhwQJw4GxPequntmHHs32lkpjt3TVa++9973vvdqXh4vXEqViXhp7PHChcOCp+JxlfeF5RuJsTKV+mJexMl9mWYKP6XDKuk3SKPdT44XPhf3+2Z0vHAxyQQtOPnW/w7/+mJhYSFWIilPti7/5cqHeIpKU5xsvfMPuYUHMZRxmZ1sHbz93/fxOHXqxbMNfnSewW9+/+/0qjV45SU9frLBcxFuHb2Bv6cQfvnn8xm89YvfkY+twcV/0bs5DN7+8HuzCD+gkM5h8M6XvkI+ThA+nBPh3ae/msny4h9/O5/Bez9+ThZag53rbD6D7/3+0mxS/kQhncPg9qU3P1uEO1u/nIlh5ztzZvnBD7LPltgPf30yU3pvfzBn6T36529mEHZ++nricK7B3Su7M0m58uc5s7y3+iNKa2twaX3OpOz9IZvm4f7PPjqdFPG8MqUYX/rbk0ywwjgn+1LJcsxMwlwVZSwyOpZejJnUjOO50qUdMyWPBNvWsdHCSd5hw0xYwe7qVEmXMemYNiUrYVRDygeCKa7TCud2WMQ1s8JVqgwWrYirSMSs0rGwruQ4T6d0fmRsYSwvBf7K80rL0BUYVnjLuXAOFglYKbA5Zv2xf4HlBdfjLnuSAQi8whrOCmv6SuQdJlwhIsmVGjP0IL/bEkqjucLTQDh0KwePDNMCVjmiQrgiAazco6NTWuc1GwA4IfOg/dlYCeylIwwIDM6B57RLwQJWUwQKBFUCkkcxhbveS+cAcwQvWV65kvHYx7g0LIIV24YUq6SOZKEEjnuXjDrEo2RDWWZk1+EE6aPqGgw6xSuKIx1pRSYISZt4rnWFUAQYrBSj0vmsIZKgwkAgcBJIo5BgK1To1pksWF+UQyE0iDCQ1ugcOGBpW8PFPGTvjnSRMq6CJwQgkTZnA64qwRbf5ZIJ+Km6Hba6vLq21MVOuB0ISI579Gbo88BrwEoAkQuERZqkbl7UKWCLB/tLLLEmB2kRmeA019IzZ5rDnLkSoNNZl4bcIUNgZ+ucmHHuzFMpeeSeiIwyKZj7yrqca+SObLAYXJCgObyTlsUySZBn0A3Qb6UVLJ0KCtUqDF8VSSIjiZVjxgtQhaNeQWszRLpaFxE1vKISYzlY6GPNiXXhU8RnmEk8+jIk2FqkoWRDjl3QAQQBlDWVhR1ogqvyoi3GyICdi9sJcsK+znZ4knDbgn0kuPYneO4BAErSlVIpbEX8J8RI+YQ+lOeYl5w9fm8XUkJVCD/6glXOY6dTkSTpH6h8YlQ0leDVnB81sZ+UFOJwmQ2MgnRxaNds/qYxLD6TUYaKtvzodNBvEdpSpCRI0IQm3vDGQkQlwkciiO0kIUZBRfBiIKG9gVBiwJFqpB6zb9mwH3Vbi1ytKqhViVqkSZiOC4yvDyC8EDJsSysZw3vQlmgftnnl5DYGae6LIafiB8NOexEPjT06XvhixvvgOtI7fuM/exUgOHHT84rLPNj0aapilLrnEOKKlyGeBBf8CO4xhO3cEmjy2RaZh//Y2FhGkKrQSnAsiFn6IkkszwVhrNHADMQO6lNQzBzYa6WpPBchgQh2E/JIVSgj9rxClGUZANJZ+ACYmmeuxr4ZEGm5D1oVU5HwAZfKkwmKcBCZAkeAonArpJsoxskbZO/VRpVBkc4NwbTE1LUNPSE1OpjdgoV1YEKPBa4uu4Ntqe7losxMTFIy7jXUowhRe+MFMA3hts8TKT0zVVlnSrrQls6Rxo/LT9CZqZNRfAgFYHpytBkgfmDhwRjaSmUUsYcTku8HjiwePIQGB1vBLj5ou5trt/qm7LNjofnhMdDMMTGCeodiqk+us9cle7BQEJBpZD5RJYiLBJPwLDGUDeiRjBuJiNGMDLo3PR+JMYgXo0dKrJwq1GAN7YEKlt4FHuEk+sSNNRUgZSK4g6Y1dUpjtQmT1HCMugHwhj4TtI3ewQAVIj0XMrp5TtK6CGqKQm/mkFk14zTclBhyINImD8FMyUVNA8w7cAZ/Y50hMZ6go/iAWEpO0DhoVkTo6jpvb+WdWZ6GM1oGhfRGmZHoFK2ShIRg7oBo+Y7azmw4zfTJTeawSXGLlE8F3w8xNCQWVekLtKlObB4hBN0uOzDUWigdtVo4FKRr+2jJ0BHgIrA0zOi0Pe1T6gW0FRWGBoaWFGYD4KeG1ccqF4bjALQeQjOhQE8aW6j8JwriI+3TXatLl92rZ7WggGFS9uintTdIs0/TWSSZnkTroWdGhzDhRuhwowg9AgMkXR1wfkbagXz4ZlXvoSPqIIVEhwBhuMZopozx3fZc8fOj1+wVYlZqDvabQ+5WYD9mBfZU+0589+kSg+qelkS2iMEJkTbgnRWpzMUS67QTVGt88dttt29WZXzg9di5ypM6rcKQx/Z2dx6wjZXe6vLK9VeHlDB9UANIKuuLJqaB0xR+dPMiIuC8wqKptgzzdYlO+jLZCEPXuTHzEg5tlziilgSZkxOpoZpNwtR41nbpjujUVk/qVq3Hl6GcXgtkBNobuvgEKTtLN/z5jicIDiCzrMJ5IFDi+yLhSapa1hvxz6EZtS4EwgZmIth+gGxehoo5x+d6PvX3t6LqY09LXpRypfCCR0d0RcSEiCVEFDuVQZIA8uvj0QTfXxsUjzznpj4m9fBdlvLitUYWwQ7+NYBJx8JBp2LcRriOJK0SVEe7/mtQX1Q9fxEKyM+YtKhbVY4EBgbw7amAFE/6s39Epum+1pm68flbVkgbml3hRbkRwq6Cm+hZIr4D4qQYEjeuLm/mZAUhEZYubvQVLq9winUvVLgT3MMP6nKtu74ifD19AeNbqcRoY3vmMr2D+wL9xol71iQ4KHx+u3JUJa4eDxIazXPxeUXnWtmv6P79Q/quQ2MaxG9cKHKpxvIRtw69VXKU9EDo92NrlFh4dWH2wNAlHoXs143e2ucqluw+Oo41MG7YAfUT0M4biGSM750vRrGRo8sry93Va9eubfb6NcgQfKjD6lp3sClXVrvryyvryEVfv8D/Tr+UqxuI29q1jfUM8YWDYnT0bH1t88ba2o0bm6uHQXIowodk5erK6tXl9dwz3UFQQpAveB9GX3tC3rMnVoATxBvIMU2BYBIuFRAyfHLU3MSeWjX6RlaWhbvZ6/mjfTbNoeuCPr2d2yG+vbox9mIz1MrwuEce9FY2NldSV/XLcYHYXUBqhEkegDf/hqBh8kI8VQRVjW+P/ah+ocQXGeFmGj/DiO78p2/Wqf/urdMD7X7bBrYpADfZLYz8E1LXo+Ht17giJL5DuhcxQX3rq1EFv683fiNrXWPT3msm7v8=</b:JenniData>
  </b:Source>
  <b:Source>
    <b:Tag>OngK25</b:Tag>
    <b:SourceType>JournalArticle</b:SourceType>
    <b:Guid>{3a303261-f973-4f31-aae1-0fab528763d2}</b:Guid>
    <b:Title>Towards Robust ESG Analysis Against Greenwashing Risks: Aspect-Action Analysis with Cross-Category Generalization</b:Title>
    <b:Year>2025</b:Year>
    <b:Pages>14854-14879</b:Pages>
    <b:URL>https://doi.org/10.18653/v1/2025.acl-long.723</b:URL>
    <b:DOI>10.18653/v1/2025.acl-long.723</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7VVNbxs3EFXSz1PvPRTlrS1grSMn7kduihO4RZw2cNzm1MOInN1lxCU3JFfy5uQe+qP87/qGshUnsXso0JsBQZCWw+Gb9x7f/nU++agO0TbWf8avh5B5/OTPF0PKZD0trLN5VJH7EHNSFFkteVSoV7wiN1C2vlE6dD15y+kbxX5lY/Ad+0xuR6WgLTlF3qgmrDh68prVt09eHH6neo7o08mT6iSghtz4hlVuOfHliTvq16Pnivo+BtJYUJq84rq22uIENyo+zZF0VuiorE+2aQVmVkmT4+rnsGacugOw7KWz6kLKisxKTjWlece5DSYpR3qpYlhgcs8JTRoQgGLprIPPOA8d0Nom1URmv6bUosfUVlyld/nSjmyXNuXCWWeTYzLgClBOqWk4UmazU4ipaRGtlv/VXOsQpcyNUmhTofc9CkINLNvBt0OXwyLXjvH07YFKpHp7pLoeKdZajtLDq7B4hRZ2xWX091TKYMmJSGDBpjTwjlozQOQYzABp5/cPDtV0nnq0mM7RJng1F2UTNqxtbtVBDClNDwCmCXFUh+yBzNk3sFLwYATMKw+vOGUoU2KwHpTtMD4QiYRXNAp1wVisIwdQZ02p6aPYk8VsqNnKBT6qR2Ka3sFB4h9n/VJYeo8WKgNcIEZDG/GomFk4BO/ACnOWaWvSsgkrAr0L0Lu2nqdNREOphsbQyqceVoCJLi8OmAG2a/WA+D4NUYBtLLd1Npo3MQzeoLH1Cua2taUFJLkA9Y6UK2oGMBCv+iG2nHHddTU3xsoWcuK2Mgp3fUvJvpGLVmQSWxaZmndkqk5E/4IRpRtBMLmBaFf8IgA3RG6wvdWpXMd1i69tdCgNwE1RGGRfBg6kTyyOhh2hVk0rDKM5CmUfaBaZEpCBnqYVjcGN5BBsAg9ivGLVy5jB1szTUE9x4JQiEmPAhpVNILZMArIh3NHRM6gxeC3ptdFD8DnbieKFcCkLQ4aTZF3i0dgokGVRkrIeMnjCTIkp6rYy6xCX55MvWlqkcolvA/c2cG8D9zZwbwP3/wlcJI2Ge9k8Fnb37u3tT2ezTjJGDBN/8XU4n9xpaEAwxXTWb1eOAvQIEYu2p4aPhbDzyV04IKb8HE++fPhp6+jy99dOdka7GLAp/Y1K46mTHXWNm+JG/RsaNKDW81MmeDUGx5Nr6p5R2NTp48HeVNX+QTG1nsdNafOYeZlauqm8OaAOwUebavMk2uWNnZ+hHTlzAcIeWvIdqAybDdqadD75WJtgT7+a3atmP36/f393NdsVaivSbuoCLv4Pe/eNTQt/hu/kz9rQM7zAp8uXDx7M9n56sL+3P3tVMq0I86oIc2+GzxLShSFq/j2606rNuU8Pd3fRmDwkcqEZqxCbD4+relM3aVjksZdplrCZ1Y5P8PcO3MGhfmq9ufqY8dZ0I2od4onNo/EAdz3fzch1RnjgnfUSL+tUnk44I8L49PVJWFPEG+x4cw8lEbeRO794ix1eiUB1bNMyPVT/OaXrHHqr05mRwT7XA1iZXrICEQoZ/6rDPw==</b:JenniData>
  </b:Source>
  <b:Source>
    <b:Tag>OngK252</b:Tag>
    <b:SourceType>JournalArticle</b:SourceType>
    <b:Guid>{8272d78d-675c-4031-86a0-f162b765700a}</b:Guid>
    <b:Title>ESGSenticNet: A Neurosymbolic Knowledge Base for Corporate
  Sustainability Analysis</b:Title>
    <b:Year>2025</b:Year>
    <b:JournalName>arXiv (Cornell University)</b:JournalName>
    <b:BookTitle>arXiv (Cornell University)</b:BookTitle>
    <b:Publisher>Cornell University</b:Publisher>
    <b:URL>http://arxiv.org/abs/2501.15720</b:URL>
    <b:DOI>10.48550/arxiv.2501.15720</b:DOI>
    <b:Author>
      <b:Author>
        <b:NameList>
          <b:Person>
            <b:Last>Ong</b:Last>
            <b:First>Keane</b:First>
          </b:Person>
          <b:Person>
            <b:Last>Mao</b:Last>
            <b:First>Rui</b:First>
          </b:Person>
          <b:Person>
            <b:Last>Xing</b:Last>
            <b:First>Frank</b:First>
          </b:Person>
          <b:Person>
            <b:Last>Satapathy</b:Last>
            <b:First>Ranjan</b:First>
          </b:Person>
          <b:Person>
            <b:Last>Sulaeman</b:Last>
            <b:First>Johan</b:First>
          </b:Person>
          <b:Person>
            <b:Last>Cambria</b:Last>
            <b:First>Erik</b:First>
          </b:Person>
          <b:Person>
            <b:Last>Mengaldo</b:Last>
            <b:First>Gianmarco</b:First>
          </b:Person>
        </b:NameList>
      </b:Author>
    </b:Author>
    <b:JenniData>z:pVjbayRZGe+5uOiOF1z0wQt6UNbJQKfTSTrZTLxMJnPdue3sJMMMDKt7uupU10mqzqk9dSrd7YNkcVHYP8AXRWRBQfDBB30IKAiuL4IPPivs4jzICooiwu4ExN93TnWnupNeEwK5dfU5v+/2+37f13l1p/aBTqIDbrXZqZ3YyHhH3CnStjB8PtJGdqQ6nWZhdF124gTfNscp6S5IrfLv7dROhu227u3UTkexoAO7F57MLK3UarUwEZHdXVl6/T+/wavA6mx35e6bD9/GC9GVoY13V2786t/0XsXqyYMA3135IU4NAM///QvbQ8AXH07RiyHgx75FJ48D+M4zL1cBz/z1mID3+u+NhHzmH4R/DMC1px//aASQ4I8F+P0/VENefv3DhynKk5mVSVVe//oXR0J+6zU6eQwP1//leDIE/NJHCP9ogNff/BBF6QHvP+5Vcnjhb2d+d7gc/mCShzO/2B3h4Zl/jgGeOiLg3Oc+Owr49hhtjgrY4r8dBXz3mICLP94Y7ZTHY1U+KuDSOx8nhD3A/1KNjgj41jf2qvzl+s9ZFfAZx/NjePjV7EE1h8+t//RwHlZ5uHTrDXrlAVe+1hgh9p/PEf7RABf+9B1Kmwe8+PLJag5vfeInxwRcffWPVQ+Xf39+rPUOBHwy8xVK9UHicPkznxwRh1+fOhxtJorDldVfjtLmvcO13kTAq+FrVYFtffvGmB6eEq8U2or+Uyf+sv0Gez5NuRVG8kTa/jJbs3xTxDoJhcmZjqxQLDMSo9TKXLBAKzyxzMbcMtHLEhlIm/Tp+Zbo53gu2JW1a0xEmL4WAIbxwI1aVihAErhibbpgMm38FK4zTjdlPoSP8aBjBPnFKt4RXC47SkYy4CoQDEacuUwY/Jm6Z4+WXmqw67ortoSps7a2MTNFIqbbPBchC6VzhxspcsZVyJAyGbBUhyLJWaiZ0hawQQHfFSK0hvxXnfIcXEnJV0Qf8MwWxoU7jfTAbcCXwTbYumZtYcl/eN5RrCvhR76XWyZx3ojcIvoqdB7rIglxlxkRSQVIq+nPRASUdYEaDG1Q9W7JVJLhF0yHK5m7hC6zy4WgexIVKFReID1bqF7IFCeXBxZd0BRbyvusI9Q0w9pk6SbeLaPkiJBSoj2+CxG1C31KXPIjw1PR1WYTLl2CY2AXkpH062yeoQiKycglyYgE6GXGcyZSYTrkCyhtWMKDTdBtYMfFwVLBQRznB071WcRlQlYDnWZGxELlcksQ+8pS8CRBgVN6TowDHOyiFkQtqehWIhBfoEENdAPugYsC/NbtRIBnyAkxKi9QKKl4WzrSVaqGYnVjqgeMwr/cmiIgy+FYIshJeEE++SzCMVwSWxzkpqM8z1BQMJC8VjzpU2YftVp1NrcI+j6IZSLG/Rihro4i4hZqCIRKcTIEw4OYPZpvvTTMbcmRXH5TsKlIdHETbim21Gx62p2jzkM0sOZ6GJcGSaqzDFqhLDoQQRNjDflB5UevG66QR5/oQWFlSMcjCYuSxIP4GogGuxiGuJ4PrvI2LHjfvAwA/JVC4ggysodXpgcVHMa2T3x8+QnAp7g+FA1IC3q8K5JkeqxYpdS4TnXaI1SI6goHTEklHyOdJLpLHgNecAPjIHfu3F12/XfvxdllUhvHJT7ucipsrF03h4KEy7czIpYd12gwUU0A8ih6EvAweOfWXdQmiJUki5RJH6Z3pqQSBTcItRrVaJNOpOkFFtLvndpHY96m8ge2/9TPrmzxpIBHuDxQ6X1crAou5S7PPUXIXGjQlXsXQOR2garjzJAMJPmpRDKQACXgF7VdSebqRYF4dNqv6LkrFb5iSeMENzFLCMU3d498o6Rs6aRIHTEnhhByy9mUbICZ+xotDxJN3Zufqzv1SwTP7cAUZht6FzG6kGCCHrpyaY0ZUlAfIg1lW9O76X6WlU1CiEaQBMmUG1A5RpsJ9FTOppmsTuZ6JUTP6rxobzhH3JOyKXggTHvArVBGmJRFQpOTqDUcZmhz92EYXNDp+4Tv/Oa+b8vpI/McfPQxKGt0WIACoNUaxRPcEWg+zrKijeZEa/ItSLYr5abS3USEUAsaxAfp7KBrGiNwVGwvTuAwMYU85mBNYXTeT9sahvYo7dNAs7VDNcc8hc5SAqkogAlEZlnGDalQnV27uz7dwphU0FKB98q8ilROV4Ym/BcJDQlsUK5RaX520NmQUTfWOdgIrYQ6YC1BC/BeyVo3eIayhUKkiJa8QjfzaluOJQfFarU2K0+huTS6iBRTZ0ER9FfATZs2lBQFgU9n60hnBqbTQnF28NRvVEYnZ0FkSvmQu++T/B4ipyEKc2gyhOTYhLSOVrmL+QtZg1j2afAgULRJz2XAyx5UmPp5aPIgpXYJ9wuNY8mYV6gMqYxbBv4PVV17YJy63sMhOF22JjdoXaQVqw4xehVKDDWuyCnVrxMz5ZZjulU40a3MIDck66O81IUtVTDfg6etYLADl/uOUwkK0819FyoGNu2LPi7vJQmFWwAhMnOLz7oL87PP0tyhTcGljwhFB5FezGBsqyIPjMRwcarU84u5RmEkDcnKUklbxt72RY54pqN6mOU0bku/rO5y4zxtsNsoHu0Ah6r0SGZCjUSQbJYDHQagc7RcuK7LNKaF3wM428Rax0OiAi1k6AvaWXMJpaPhjpUPpFVaTftRSCar61gDayOmCbr0MoLrzDXnFqZnmymRHtaEeR782amd6vACbpp8G8M2Q6hX8Y3x2GwszAuLFUL0Ps3NQ7nFpi5po7AssPsKGYdK2P65xLWQbBe4kn+XPospiA1+RxFmWNIPXoBcd9w4uIl9VYRoN1E74Nxtrv254F4hJ50KHyIvJdxVbFebkw7KNcyvjNu4709H97jaQFEnHI/XioRjx1Ul9g2NBXDS4c4lnrYxd/zZ8IqRE92Ib2Na8QQld2flNckVJlmg/YVAhviP6+kg1LL3qdlmo7W0sNCc4aYntxpzC83ZxuzCc3NNtHFbbeNnrrZjnQlokehtPmi1motLS83zs3Mbbuq4Im+4Ijdnp+cWUzdmcuiwr/MJ55vZX8NNdJEuTCDum6T3+djabHmmdAKr8wz+Pzyz50wHc9X2M4pxE9KBMSbW8fIE+kPo6CYksfpYWNqLcTYBXUW42r+kC2VrFh/Z/EwJH9Cm5Z+WZFuvdssyu8jujAyzm0PZXx1MSoTkl5inGVsblcCLpXBHfvveDsn3DwbFgZFiy6tE+j8=</b:JenniData>
  </b:Source>
  <b:Source>
    <b:Tag>BrauwersG21</b:Tag>
    <b:SourceType>Misc</b:SourceType>
    <b:Guid>{8baf36cb-f198-45a4-aa51-ae05cba2c111}</b:Guid>
    <b:Title>A Survey on Aspect-Based Sentiment Classification</b:Title>
    <b:Year>2021</b:Year>
    <b:JournalName>ACM Computing Surveys</b:JournalName>
    <b:BookTitle>ACM Computing Surveys</b:BookTitle>
    <b:Volume>55</b:Volume>
    <b:Issue>4</b:Issue>
    <b:Pages>1-37</b:Pages>
    <b:Publisher>Association for Computing Machinery</b:Publisher>
    <b:URL>https://doi.org/10.1145/3503044</b:URL>
    <b:DOI>10.1145/3503044</b:DOI>
    <b:Author>
      <b:Author>
        <b:NameList>
          <b:Person>
            <b:Last>Brauwers</b:Last>
            <b:First>Gianni</b:First>
          </b:Person>
          <b:Person>
            <b:Last>Frăsincar</b:Last>
            <b:First>Flavius</b:First>
          </b:Person>
        </b:NameList>
      </b:Author>
    </b:Author>
    <b:JenniData>z:pVhLrxxHFR5HtmCXJRYgUhIkYHNn7vS87tgQ+T6ii6+IecQJFrIsqOmu7q57a6o6Vd0z02FjYtZseEjZIIsNv+FmxYIfwJIliCUbJBYs7gK+U9XzcoxEMouRu16nvvOd75xT1z+/bH0ui/NKX5wli6+NR0l8EPNBezw6GLQH0aTbHvdHg/ad4SCOBgfjwfhOlCkT89LYy9a184Jn4nvVdCIs76fGykzq69MiSe/LLFf4lQ67pD8gjXa/vGy9kkwmZnHZup7mgjZc3bv682//2Gq1EiXS8urw9k9eYxjFpSmuDgcfvfFTDMRcJmV+dfjOYniI4catr3xKg6Mv/YoGK4P5N5/vZvDgd5/H94bBb+2I8A4rycLa4OGOBu/+/m/bCG8/3c3gt19/QKStDb65I8I3//DxVpTP//4ZEB6+R6CCwXu339hCqF79/xD++n8hPPzRg79uIYxouIPBoy/8YjPK97+YUYw+ncH28+drl4/+8jGRtjT4w/9c0c4dEB5/9M8tl/O9HV0+efz1bWHf2hHhW19+sukyUu9F2Yj3K1OK+sZvTo1lYsGnhRJ7TGqWmLiaCl22lZgJxRw+JY0Z11zVTro9VuZiY166ZkkkDHXOr9KiFStbHUa30BGhY/GZLQse5ysrbC7LHHjpyPqed3OBezl+U65rZrBqmb8P1l2F89yxubEJhgW3PLO8yPGdWVMVjpl0ZR+TuNJXfz9figXsv81dqeoAtOQ2E6Vf8yN3wRJRCjuVWjg/lwJXOLzpF9iQ1pXeiAdas4lg2mx4HkzvsXkuAXkquCaDHAvLm7CLSwWCnJOZljpjfOO8iw0sA7/iE1BdmnAQLjBZOqHSDvt+oC4wlHOdwF8d0Mw5QTDsQpv5CyGxIuM2oetcIWKZyhgbCxmDLdpTyoY3TsslqF4HKRD4rmFSqcqVlpcQnKuKwjgEE0ELoYYfhTVJFdNlMynmHXaW0npiwFEJilPwi10rjoBPQr41i9FGZQJ3tjE3/DeaDDB+TCfJP3IF8o8R1YbtJfTm2BIMfdMFEJolZTq0bZdKSBPuJtKtx+Qzi7mmqObU7GtWOZFWao/EJ0syOQNOR3JBEHFEauh76h8CTAuIz3Fbe817GfOiULJ5J7DHUTR84pUelACcMAbn0trLoIGPiC4TC7NAL0MGek4AA0EBE/hwngdN2MLZ9oRTxn0yP9k3jo4fHt3qMPrHZydCpAAL6VUD95zBfwVCUsw7wS3Y9KrNYTvjCBusklohG5JYYYpKcSvLmiUVvAkq9R4Hwl5wvN+D3/fNHOls9wII8vIlQDOh8exSQEWlIJEpbqwU5ZVDNm9c1mxk0COCXAH2Vg3w9udA6BVf1gpTj6ODAXCcaXwN+k8QVOhiWliRC8hvhpQCPBIuMdSE2nNC90EnVWM2zgFQ6AxDHKYrKSjkVYcJn8BX9/7x7Bk1vwQV6+Ky9WrOJ5Q4cVlf/9kjUtlSlCXohLOoYl7Q2tf4EAdCEi4Mqb5iqz1BhLw2vA6gPLL2SExCdUsEAhHqLq9KQ+KMX0Y1Vxket2U+dYQERJF/YFcsCpyHVl6uqVhR5SIheNGTsk5uwZgyQLtsI+uLAZH8pq3wqskqKgRtVPAgrHXb2Eim1JppqHvLHgFP163I+TiiRCGfKzsTTWVHU5AJLhAzo2Yh9KhWyxiutA37BJviHHgW5C+qFLW3ki+MNtO6UQFVuSRkA1wWxNkHTZfwNqYmQY8Cdi9MKygPzqkBNZuFu+vzFNUiE4HNPWyJUV0FGhy31AOgRYQsrydWJo1FKhRAsImGx6RXrle1CjVtCil8QJ4uxbuqf1YUxpbY6u2xQljPbuiQdN0EugLFca4RTKQspuBFhZxBLkAFClIJCdxYnOEug7644XeHPSSG2yZtY0eb23KLlZDEDs3Uu73s481qkFajX8hEO0IIqfv1LU4SIYoVW8vzPihSI+PgKcV5xbM3DXBHSQJ3DCRPvX+JP/j8PumdBAuiQho39bYhTOqiasqxmHFVgYutdVOVYQN8XKvotLKUrVNUAUjSCp2Ekv0y+dHJpgNQSH3hX9JFObBVhoKNOa+9vdDx/FNlWbm9yaZ78WRGgaaAhk0VlciOgoLQokTyFomz1+0N293xlLKfUtGeIf8uWzcyZG9urHuq0J2Ru6f4wZ1ev9M9EL4OXhd4MShRHZ08YCeQZOWpeegT0aXIPSTszYNiZfjt1R/Xkl6y73AUTzyM4TaeUz/AzLUcVcV/3Xxd0TErJygh1n1I72fNp7Q9TflUqjo/tryaC+tEBqHq9DuSay0Ta5RofXL3+an90zN00hhk+/3ZqeIzWblwIJYJ/pq/ESdGmqjbiaLBcL8/7Pa7gwECMdFP6YGgP5Td/qjbxnRXRsPhQfugP4iUKYQ+8oSeJe7OcNQbjMfRuNvtRt3eKOoNc9rAlVhcPBr0MDvu9Ubjc0+gD8A5AhC1o1671wOFEyUdhBNicM17sfjqkXMmlk1FhFTXZD8IFcTWF5CVqWws3rNq8VpelsXd/X1uF3LWMTbbx/9b7Pd63X4nGvRGo8xVk7IuwM81mBQm/a7Uyb/xmEF+gDMVSxSM4/rEVLq8iY4lUjx0SUiP0MdcmP5XCP4iOmoi7vUcmsWxz+iHq4p+stUs0vDifJoQhJtfiaslYgfIiIAH/EIU/gs=</b:JenniData>
  </b:Source>
  <b:Source>
    <b:Tag>ZhangW22</b:Tag>
    <b:SourceType>JournalArticle</b:SourceType>
    <b:Guid>{6a0073e5-e177-4747-8240-1bb2562a5b70}</b:Guid>
    <b:Title>A Survey on Aspect-Based Sentiment Analysis: Tasks, Methods, and Challenges</b:Title>
    <b:Year>2022</b:Year>
    <b:JournalName>IEEE Transactions on Knowledge and Data Engineering</b:JournalName>
    <b:BookTitle>IEEE Transactions on Knowledge and Data Engineering</b:BookTitle>
    <b:Volume>35</b:Volume>
    <b:Issue>11</b:Issue>
    <b:Pages>11019-11038</b:Pages>
    <b:Publisher>IEEE Computer Society</b:Publisher>
    <b:URL>https://doi.org/10.1109/tkde.2022.3230975</b:URL>
    <b:DOI>10.1109/tkde.2022.3230975</b:DOI>
    <b:Author>
      <b:Author>
        <b:NameList>
          <b:Person>
            <b:Last>Zhang</b:Last>
            <b:First>Wenxuan</b:First>
          </b:Person>
          <b:Person>
            <b:Last>Li</b:Last>
            <b:First>Xin</b:First>
          </b:Person>
          <b:Person>
            <b:Last>Deng</b:Last>
            <b:First>Yang</b:First>
          </b:Person>
          <b:Person>
            <b:Last>Bing</b:Last>
            <b:First>Lidong</b:First>
          </b:Person>
          <b:Person>
            <b:Last>Lam</b:Last>
            <b:First>Wai</b:First>
          </b:Person>
        </b:NameList>
      </b:Author>
    </b:Author>
    <b:JenniData>z:rVjNjxxHFR8jW0QKEhzjHHABQcFipne+9mN88c6u1/Zm1wSxa8yHkKnurp4uT3VXp6p6Z8bB0iIUfEECLj6BEoEiEBckbishxJU7fwDkikSOCO0lv1c9szvjzSpO7MPO9kfVe7/3fr/36s389Kj2+UGUlvlwOx6/1mq2VqIoCRtxl3cb3SgKG73VcLkhwrAbLjfxKukNlI640+aoduFBwQfiW2UWCiNa2NtLtJEDmV/Miji5LQepwp+zWCn9Jqlz+6uj2ufiMNTjo9rFJBW04Pj6/x7/hNVqtViJxB2vX7l//xB3kdPF8fpe9z26ESMZu/R4/caTn7+H2znPtU9r8Nf/Xl8w+PjHz2nww6/8fdEg2X8Og/u7IUGaC5nsf4LB9S/99S+0bGbw8oeEojJ490p/AeG7+89i8KXwyr/mDf6X7qYG/18s5PDdfUL/SQa/sP7VxZBxMzX43T8vInzy5BkQIoeHcwa3Hz0iaVQGt97/bKSca/Dm/d8T3Bdn8Narry3q8BmFfb7Bf75PNy8O4e1fvj4fcvf6q5/e4Bt/eHwq7O3tP86HvKneJkk9B8I3Ll5dbA7vPK/Bv/2JLLw4UnYm9adq+WmE4q1SOzG5+OZNbZjMreN5JOqM50zkTroJi3AZCsaZLUQkExmxwui4jBxWM5cKttWIdJYJEwkW64zLnHbHTDpLKwthYAS2o5QbHjlhpHUyssyWUcq49SYKI7Gbdln5EBdG+MecXMKMTmAtYHsS0J5CxpXVBM+IATexiMniFCpX7IPD3wxELgxXHxz+Fne/Y/dEPi6x7wcpzwd19j3EsCu9510Z63zANiQ+CMBIupTd6N95k/UjHotsUmd9JUMecnbL6LIIEDiiVdfY25bLoQgejsZ1NpbAlg8ChWsVhLh8tM6rbQ3AD5Aqj+P7cM9uCPIF3/e4ZLs8O/W7j+g3U5kLK9jdXB5Q1ihkZOI2odzBxxyASQxLdTZSPHu0bkUQlekwEHEZpEOYkpaNtBmyFLkJhciR+jCTziFbTvtEb29tbTGcnqzQ1spQgZEyVLI6MwO2qYsJTtbUsYxPKNvO8NwmwhiYILy6dCzXoJWUk4BjNkol6HXkG+AtzPi9uWYK0LGAJBVFonIXTKlGCIJFWilcI2g1Aa9wQzBPaZ+Jq9pChIPm6oZY9qqE24JDegHrb+z1GW5dWs60psktpTIspYpBC0iA16wwIhW5hWOmC5kTZltmGTfw6eYEyZQANmD1McLegYyFZaUVSalYAtYaA4M6QHIsYc7wAVjIb+YT6jMd6xGKzQhivShmubYBu1UJVkFv5JIKClmwghs4U7BKyKuo8gOtDuCZ1gECXKE8KxdYc8CN1Ai6At3woOcACSXov62znGdINZirogN9GZ5O72BPDDBXCTyaZcWvqMr1xFyhFfw5rGM/XP1RwISNtBHH1//z9V/4uYAUeFT7YspDRI0+MLmU9skGk1mhDbqOOy9zPOdqYolRo6GVbAatEXL78Qu/Qem5inUyI3K9evCKOgswl3kMRcJjzAqhCyVehxiqyADo44g+KRzuPHYyGmE1cm44VQuKHjOoPWmJiuM6FtQ3AravYSBHd56xxmKZQNUE2UYiJ5qQ3BldjtshcKATwKrvtAiSFFPFQL7n9p+h04cIDNJANaoSVR2mIlXGPhmn0RGNT/MMGcyzXLXyMyxPAnQlhabHIEtUqQ+MGLZAGpWWHMECGjGuEPgZmHXoOkcHR9Fp8FEZqCKvVE0WslI5CX5OY0s5arNqYQ7hIDG+OJBExyaAQu5x0vDClcZbgAS9EyXcLOwzhTBXmQG66wivDeJmdmKdoOcRXBxIMZovqjnApwmH4qGCQuc+01ar0qef2g/OPKWgi2iIV7PWgWYHiZI+E3o761y2NAcCKb5D6GenbtURsGPabwAwByTHxzrX2cQHXtHgTWsz4DnOUsvEmA5cwuNThhQZnEFeBmPcISZIORJmsehOu4M/j6j7ZgXqAPBA7DTlPD6gaWFq5AyVAbs5c4VW7JPve2tymhofUdVk6eCnpXih5MOTLoam3EDR+Z6gcGiWGF3AayxURTa5m+UTrQTJoWOtcul5pZlh1jGpE/i0ofwHKM0NQTUMFE5EaS7fKik9MOoPhhMBFb7mwUBlpNIFCZVFBudlo5p6ltCbgQ7KmtW0L+JYWhQEGhWyIVHBUxanirI6g7wxPOFrKzWqgiYjEtR0W7UAQxR8pdiMY576vWY4cZXWQxSkI87gNikhevIHcirZTaMOoDo68UR8g2q83WwvN1rNDKw7SqvZhv6PapcGvMRBbuyhQhoR8E38IfpWM1jtCWltKV4WOH+VGHf8uLBPMwAlxrvK2U6uR0rEYIfwwxVnWznCEphd8kGCoi4z8crXihO/uydf5CXNo98BuQLjLcSO7vxtPLn8zZdT6qTV9ZcV7TQyLLHJvkODMB1c+J8kPJNqIvxMJwbQWD6Yznmx0Ur4oXlxbbgrq4URJsDzFsU0n1XLYprXzl1HM2O1LqmmyPNWRhjypn4x8lWrIhnjJ4pLUazl+DKyjV8yektuiJMDTLWDTrvT7K0uQw9hfohPm/9MtprdVqPb6a7K1vLyWqPd6rVku9NeaXTWVpYVqaXvGd+O7crq2mqv111dWev2VtvdZqfTTWkBB4/De91Oq91rrrV6aw88w14hD8hvo9WG3cyPgTadieSCj6f0/G+i4Esa9fZ0JIWbDNH6dIlvAXeNGrPUucJeW1riZiwPAnSjJfwms9RuNztBs9Vc7g4wg7pJQbkZcoPqUmIftxegJqGTHZAy/1g4KhysVZHE2Lox2USrcZcvXMcA5U9CnJH36Pjxz1/5x1SoO32253sp6bNfdf8NPzTsnTS6/nRouMb2qWfV2R2BMohpAIKMN0+KLqmK8zAm1C9FJYK8OgsS1PkQz2XvIw==</b:JenniData>
  </b:Source>
  <b:Source>
    <b:Tag>ZhangW21</b:Tag>
    <b:SourceType>ConferenceProceedings</b:SourceType>
    <b:Guid>{116f2e96-1976-4001-9611-7aa5958114ae}</b:Guid>
    <b:Title>Aspect Sentiment Quad Prediction as Paraphrase Generation</b:Title>
    <b:Year>2021</b:Year>
    <b:JournalName>Proceedings of the 2021 Conference on Empirical Methods in Natural Language Processing</b:JournalName>
    <b:BookTitle>Proceedings of the 2021 Conference on Empirical Methods in Natural Language Processing</b:BookTitle>
    <b:URL>https://doi.org/10.18653/v1/2021.emnlp-main.726</b:URL>
    <b:DOI>10.18653/v1/2021.emnlp-main.726</b:DOI>
    <b:Author>
      <b:Author>
        <b:NameList>
          <b:Person>
            <b:Last>Zhang</b:Last>
            <b:First>Wenxuan</b:First>
          </b:Person>
          <b:Person>
            <b:Last>Deng</b:Last>
            <b:First>Yang</b:First>
          </b:Person>
          <b:Person>
            <b:Last>Li</b:Last>
            <b:First>Xin</b:First>
          </b:Person>
          <b:Person>
            <b:Last>Yuan</b:Last>
            <b:First>Yifei</b:First>
          </b:Person>
          <b:Person>
            <b:Last>Bing</b:Last>
            <b:First>Lidong</b:First>
          </b:Person>
          <b:Person>
            <b:Last>Lam</b:Last>
            <b:First>Wai</b:First>
          </b:Person>
        </b:NameList>
      </b:Author>
    </b:Author>
    <b:JenniData>z:pVjPbxxJFZ6FiD3ASkhICCEBdQDJEZ7xjO3xjw1S4tjOxhsnceJkvUYrRE13dU/Z3V2dqmp7Bi3IuXCDZBGHPYI4cUB7c2LBgSP/AKcVEntD2j9gAV/4XnXPTLfjkR1GsjOerlffe+9733tV6acntTdDr5sl+xt+7/sLi21vdr41X2/PLy7X53m7VV/utObqc7Pe0lKntdSebYowUh63Sp/U3thLeSjuZXFHaN4KlJahTK7EqR/clmE3wq81sJJug1SJ+fjbJ7Uv+Z2O6p3UrgRdQRan1/99+vGNWq3mRyKwpzc2jj/9K755VqWnN1aXn+HvmjiUvu2e3rj54Q9oreS29pqAa2/++qdlwMfppIB//xV9GUXY+udkgOt/eE4Iowh3iYEJAG89eV5NWU0Y4TvXn1VS3l0jywkAb79VrfJjRQFPAvjpmSpvHE0GuPHHj35XBtR/mTDldw/PVHljwqLcWX9OSyPADyaUzeY3nlVSnlg2m59Vq6z/dLnW+y3V7jzAu5/8ppLyL1L2+oCffJc25YD3fl6t8gdfXI7DsYD37zyvdMrPNv8PwHLKW1/7Wznlt7/69dcHfPf3ySjCracvykVZ0f+YsChb/zo+I5vL9fJYwAf3jyu9/OEs4U8CePyyOm22LifssYAPv/OimvKldPjf/zihnAv49M+0NAJ8b0LZPPz8RRXwkqfeWMDth8fVU+8nE3K4ffKyOrF/dFY24kmmrOhf+Wyd66jPjM18KQwLlJcZphJmu4KlWtR96dFdg6mAcWZkEkaCiUjEIrHMZF6XcYOfVHiWWaFjJnpW83zL1KbMmLCMR41pNttsta+x9ysPlq5OY2/dbcaVRoRK95kvLL67/T/uqiqAs3fmBv6lC8KLuDEykPmdiHW4ET4lICRS0Iwngy1DD1MPMx8rJeCFa+x2xdMyv8pUebPLbep2xpMQT322CtZEv8iiwe4qLZgWHgV0qPS+AXcqVUYwqwaUsDiLrEzBHwJWnkQ4fimPglSwCW8g3/AYu7FGPJDbUXizLbi8hfhEj8cAnGarXYGMnQGbgkHzKvNwQZSUJ4EVWVDkKpUJEeUySrnUhxJhjsp2jW2JobcB2DCbEdYocqspK2RQKv3K9qP1q8xys08M5DV1u6dKhE5XgpkuQaYq4lraPiBycHON7aAa1ahAC8TvYC3XIS2eja2kpkcr22uDkLogeU/JxEL6uYkp5zaQylBueXxE36sxNtiaMKm0LhCp8TzN8pVpegLWVm5urzjH1FnwyK0VcQpUxVKhcdGnQmgreUQtN+g4mRgrOAoWEP0H0kfzoQc9RSWHtzy0eiQORFQOS3p1m2mIQjYE5AINYCno025KMVCZPk92Ej2eQHZdZRvskYKtNEwk/jQ7FFi0WvmZN0YBTzLEWQod5X+wlXMN1mTsfCPZ3AIljIY6GEP1xcIgnzSv0KUslAfQf7GnPmwskXiiwYTx0J2n1z//oTvqfOrPk9pbXd4xTq/9Ky9Xcirz2TFyxhMe9Q1omKIKkt4M6wjqtB6wDZwOJ6dP/BUDoC+4NqCtKzEebR8FQcJ9GByo6MDNWFQgyBIfHZ5YFP3VaqBsiRcBuCja65A1TqXrPWksAQ5mfWYyF1hlUowahnRXqPL8AEvyzCtfVtj5utqggwWEUg3OEVZeB7Y9dPeAhLV1obCqrez0db7Cx4qmoplB7TxMHI32AgOcxTTiqfm0wLCl4jumL2pHaCzzqB8bbAfUZNqdSoN5ylmiyH6La552NfQHP76IKC+Qz30ZxpSgx00+Pin/4VjlzqbYF4oErw0cS0D3hDENdj/nnuakm0VlIxo7mFPubxCmDg0z0Cd5dk7AFg3cxK9bVccHi3mCzaA9Qo44vQblTnGPQLYgSWgNZik3HubAAHEmMqWcoAIVZbTgQqMV5egYBWgE3FjpYVIGxYNX6khl6RCXJF7RSyOF4euzTp9F6Lyk0ESRqhNWPAgEdc40Io1woGa4DDkWqDWKfiY4oZ0/dwvqQA7dmOt95nOwjnOIhHyYR5aRKd7S2D4FS6IvygquhO0q3wmETD2ecq+w87Qypp6XUPPEBMj/EHeV4sZVAGQJrjT4PE8YgcbgoA5qRNyjQgt/jQYDDsV2vdWM0c+Wg229kQTqpPblkGeIRpujSMaIw97Cr9J+s9FsCittJHrvbZFi0GVJOCSerhlsVSWIj3qC2FiPU6lpmrG7Lj/XUvcKSjcHlDosXMlwVaRItOxkcGd+SVfYBJHjMwh4LKO+cBcb4Rox3BFJD9crX6tIuOtu1dZfg01u6u9i1zi7zqbMrbz35XiwXXjKzcSuDIQca3gTaeSGwab01Xi/3ia+5o53eIHnSR8v7L7i+Ur2vtdqNlpLC+25mYPWDHHbEHESpfUYlWoszi740nSSI/xrkiMv5uHeHIwWZ5fn5tqRSkWy4iq94dtWe7m9uNRqLuC94sLs0sJcc26hSxYchdzfGW3bA1aWS2OPHNab9LOvhYFUPfFYR71m19rUvD0zw3GLTlDSSIX9htLheRE28CIyNFkHJxryfgNdLFRwByR/IXCIRX1wEUHkwr/ZX1VZYr/1kdWiUI+/Q5fi/PF8IbrlC6c9jtuS/t8Zzq4A/8fBiDjyKZRvehkymRlkAq5dAhfQ/T8=</b:JenniData>
  </b:Source>
  <b:Source>
    <b:Tag>BalajiK24</b:Tag>
    <b:SourceType>BookSection</b:SourceType>
    <b:Guid>{09f49f85-5d38-4ee5-85fc-71bc047705e5}</b:Guid>
    <b:Title>Text Mining in Climate Change Communication and Corporate Sustainability Reporting</b:Title>
    <b:Year>2024</b:Year>
    <b:JournalName>Practice, progress, and proficiency in sustainability</b:JournalName>
    <b:BookTitle>Practice, progress, and proficiency in sustainability</b:BookTitle>
    <b:Pages>385-418</b:Pages>
    <b:Publisher>IGI Global</b:Publisher>
    <b:URL>https://doi.org/10.4018/979-8-3693-7230-2.ch021</b:URL>
    <b:DOI>10.4018/979-8-3693-7230-2.ch021</b:DOI>
    <b:Author>
      <b:Author>
        <b:NameList>
          <b:Person>
            <b:Last>Balaji</b:Last>
            <b:First>K.</b:First>
          </b:Person>
        </b:NameList>
      </b:Author>
    </b:Author>
    <b:JenniData>z:7VbNchtFEJZDCg7cuHHKcIIUlqyVbGRzoWxTSbkSiMp2kRyZnZnVjj07s54fS7ol8Ca8hV4nBW+QKg5c+HpXUuTEkKKKow+SVrMz3d9Pd+++WnQ+KpzXE20/UVfJRTW/PzqxLJaKCWejqmrnuZ8zw60MgteKuQJ3PC1HxUIKkWvLc210nG+zZKXyWLJS2wnDxaUqncEaq5UXqo7a2dCEMLqiANrqqHnU1yowHVjNPa9csrHHzkv8DzHJOVOz2jiPHQSL17XRAkecpUBRzSKrEAb5kJYFZaOu8IV/3MwDgkQlSquvEgVwTF1zkyj1P7FgXmE9hm0WnNDcsEpJzVntAq01OTZ4CVdVyS4BhR47glbqWnkOSYFIXnMrlGSWx+QRCzpOEp8oVnsnVAi06asfn44fApoziD8FQ10R0GSFQ6CG9CYrSSsQTwsWvYItjIcGaUSeqY7lBrNbZCZlFTgGxb0oWeFEClAGai4FAyLDPSBKHnlQMbDCu4pdc69dgiUuwUkg1VaY1PjMrU3gdruMPfYseVbopiRgMn4hFlgyCTg+AAs0aepqzZKMmnIPau9T4aJRepuVelIafGIDwSveFFbuIABqxDv43KglPLgLHarGnAr36AA0ROq3GbdbnZt6o8NaUkXaQAnoAoaUbkp219xq3BPcMmVLspeO6ndKAaEI9oS24myB6oGXuYr0s1lAyk5QD2+99VCxxx4lj6C+QtkTMlTx2rG2xyDMsiE09ShaDjia3gQjm8ipysF1NPeyM9b9QEpvACiUkjkXlygjMmVueYXSIqLOEqp/aXgoRXagHHqsJ6fOXy46n5U8J+4i3o2Su1FyN0ruRsl/HyWGC6poJb8n3oP+YK+bDSrCgwPKn9jC4cVlwlMsnQ8vYWeNw4/wcV4OeqMDFXU0arY3XgbdJiMmoLlsO/wrYKSyYg5D3oFSrxM9dXDA+UVnS9dQ9pSqa9G5pwuNyTTGyudbr0rDV9e/GTrpdZ5wKODd6p6EAnSiKKCEmRdH3PALDSuvlc2f9KR3RnWKkoexLN4ILcOic19Ip2cPsn5vt5/t7xyMDrr73eE3B8PuaDDsdwc9UfYHmdQhty/xHewvejDEjeFglK2u9l+UrlYwSc0un+/u9ofZYDDc28P2Z/zNBQ6lVtoLSLvbzfrd/i5otOMkV7aqU250QNG0Sm81NC5OHp+wx8bl3ExCyqETmG2hPpUrnqAX/1SRGzMHWyM0BsjR/JjG7xYmS6EwXTC7nuMJEZrVztKh03Mauj+0QxdOHC9b8xjdgE4+vtEH5Nzxun7ObtbPaTMjEKaIrtYi/LrofFxIV2ELIOVa8kFDw521o/issR+dUGhlZLslHw5v3YNbxXmWZdCdbs8ejkkggZymHdYtNK+pJ25gVk13/fXdHy9es06nU0K4jXxyOMz2mpDVjVP/P/Td/f0W+tcfVHi8fryuwP/+6QzYbwPf4po9oKTOuMm8jeDgCEKuUbzHp8V6NS4xRTb23WSUjZpdNSDWiWbdcldLadjfb6PMvjhcPRqbYjpcDafz9cN6ReT1l6c/30IkG/VbItNDVBANBkA6wSuLwUOhKVwq9vsieTPbKWOsw7c7O+jSnvOTnQ806iW9Ff2EKQs9t/4G</b:JenniData>
  </b:Source>
  <b:Source>
    <b:Tag>KangH22</b:Tag>
    <b:SourceType>JournalArticle</b:SourceType>
    <b:Guid>{a49eef08-9411-47d6-84d2-c8efe4019a25}</b:Guid>
    <b:Title>Analyzing and Visualizing Text Information in Corporate Sustainability Reports Using Natural Language Processing Methods</b:Title>
    <b:Year>2022</b:Year>
    <b:JournalName>Applied Sciences</b:JournalName>
    <b:BookTitle>Applied Sciences</b:BookTitle>
    <b:Volume>12</b:Volume>
    <b:Issue>11</b:Issue>
    <b:Pages>5614-5614</b:Pages>
    <b:Publisher>Multidisciplinary Digital Publishing Institute</b:Publisher>
    <b:URL>https://doi.org/10.3390/app12115614</b:URL>
    <b:DOI>10.3390/app12115614</b:DOI>
    <b:Author>
      <b:Author>
        <b:NameList>
          <b:Person>
            <b:Last>Kang</b:Last>
            <b:First>Hyewon</b:First>
          </b:Person>
          <b:Person>
            <b:Last>Kim</b:Last>
            <b:First>Jinho</b:First>
          </b:Person>
        </b:NameList>
      </b:Author>
    </b:Author>
    <b:JenniData>z:7VfbbhxFEN1wl0DiCQkkHlriBSRnb3bWCRKCkAgRcpGVC3nu7amZabune+iLx5Mnh7/gU/w78M43cKpnvOvE5h0hS17L01tdderUqarx67PJu6XzutL2Q/otuUj9B389SyFKbeVaGx17oYOQopGHzgvlbKSmdV56Pg+JRKxlFLIsScUg6Jh87yxNxWNpe5g3rbSagrCuE613RVIkpMWPTdKI8GYgT/AcdxBLWwP/iGULKgQAIgxpL2B+RLUzBXmAsgUfizatjVY7gmxqyMuobTWaV06awa6gyhNwuFJIVWvgbMhGRKykL/jCBoohGB+TcS1bTMVdE2uXqvpqsPDuc0aaWYky+wwueeQZnUjA73ENCOTIRv/n6R/hbWchAjdVzBTbtl6qqBWFnZxgoctSq2RgCPx0AmN8DdBHxCyBngZZOytK7xpRuFdkkakXNcJ7KnLWrazgvNPxUiIccJ2CthSCOJS+gqNaBlHrqjb4RFSAUVgaS9FQ9FoFzo9y3TXo6nEsQwIZbJt1Ai4QOCRVn5MFNpVymXDTc52hEdBF0quaK1rLY5AZWWI5qgM4afpXG6eKWqYciBugzSnlnP+lNpxVJY6l1y5BgzImD9UZaauEuyxIcJxtvn7y6OAbzqx2BWA+sIgI3YeYCgDtsm3rAtBBykhXyBYnkNKgfxx5lBdwGGioER2PcDxw7+k4I2B3qPFUvMhBsy1oIuQlgm60AVLAH2DkNPlrnaWamQh6lEQGJpQBdaAeAbscmnWgtvIZWsSji3ANJe3IADm3c9CV1RAVC5blRTACCM15k1hLcIRHxu6C5gJnVxbtkh8uim68s+kH5R2EtGn9qXievw3Qb2bjckpMLpxmJgeldVt+cWNbCp5FPGJQWSqTQaEiy6LUvuH8cX87cpiDLEzYDpxdJRIWGXp3BMBDY5OxblgkXU05wR6N15LXmSc0s9dA/h8AwOyiHEMBg6gQgPuUuyLzNoqp0yi9dZAqj9aaTHsB6flkXhN6z29KOeSD4bYmkSJAv4LnCy2/g7mBKprgcgV1keu86eY8bHAIwfHYKJNHFux9MBm7bOhrg8bgKcyunc0dF1LToB/G5gdFGPJZcVlFGLFbjeQJr4NKEJ5BH8XRjs/LhK7fAuN5LcO06Jw/Opt8Wss1z14Vr9fe9dq7XnvXa+967V2vvf/v2jNScetTcZ/n7nK+XN2c7zY8tpg//wD6Ppu8X8kE8nw4hdMW5fwJH4yv5XR/n/L2+5iijobauy3QgZxnKpcnlMfOYBl90m48PnIA7/zZ5IbmUfwUM4jOJu+gB7EfDnDyxWd/10Zu/jZ802sQjPi/w7KwsuEbZSkxKPriIXuoUAdb/txT5zDqnaHJZUv1EN2WDekXbaGFbKd0Ec4m76nC6bCYT3d378xn4HOxXCxurRZ7YHNtT/E72Nd6Od9f3dzdW+zXriX0LJ0cvdxb3l6sVov57d3DzEQm8hBELm/OweWiyVs5oOADlzcyqpPpY4wBzbXSYMzya8R9/M8dMZYPhgssgwc2gNcU6eh8mb7w5uSHOsY2fDubdV03bYpWT6Hg2QbcbLGcLRYzRj9ri/J7zIkAFXy3WN3am6+Wd+arKqR17Fvm5kh6TEhDz/F4A1bkyofaFhePCaBMD1ujNLbRj/09l2z8/EvM07Hbipd4dwrD8c6ghJOTu3ljcRasvl91wIuOzs/PsbmR2huT857z/DYVSbz10vV07MFhUzwZV9ej89V1sF1dj4elVUbXYiufFpzhRyqBsK/OCUORp85XsysK/Q8=</b:JenniData>
  </b:Source>
  <b:Source>
    <b:Tag>VilliersC14</b:Tag>
    <b:SourceType>JournalArticle</b:SourceType>
    <b:Guid>{3e6400e4-d84c-4f67-8daf-b8fa3ba8501b}</b:Guid>
    <b:Title>The institutionalisation of mining company sustainability disclosures</b:Title>
    <b:Year>2014</b:Year>
    <b:JournalName>Journal of Cleaner Production</b:JournalName>
    <b:BookTitle>Journal of Cleaner Production</b:BookTitle>
    <b:Volume>84</b:Volume>
    <b:Pages>51-58</b:Pages>
    <b:Publisher>Elsevier BV</b:Publisher>
    <b:URL>https://doi.org/10.1016/j.jclepro.2014.01.089</b:URL>
    <b:DOI>10.1016/j.jclepro.2014.01.089</b:DOI>
    <b:Author>
      <b:Author>
        <b:NameList>
          <b:Person>
            <b:Last>Villiers</b:Last>
            <b:First>Charl de</b:First>
          </b:Person>
          <b:Person>
            <b:Last>Low</b:Last>
            <b:First>Mary</b:First>
          </b:Person>
          <b:Person>
            <b:Last>Samkin</b:Last>
            <b:First>Grant</b:First>
          </b:Person>
        </b:NameList>
      </b:Author>
    </b:Author>
    <b:JenniData>z:pVc9bBxFFL6gENEEKSQRaSINnSOd7/bO9tkXEHESJ7HzpyR2EkVCCrOzc7fjm53ZzMza3ggkJ+mhSENBgURBQUtjBCgFJSVQhAYQHTUSkiXgm137fggOik6K45vdN+9973vfe8/3YKvycldqRp02W5V9qynt8qtZEnITtqY72oiuUPuTNOosim4s8eMszERxQ2hlH29VXorCUG9sVfZ3Yu4Ntk/9JStPKpVKJHnHbc9PNC/M48ScTrfn5758n+DA10Xk4u355SPf/IzjUNiDL+jwrZdu+Fd9h4e2/HEMh6eWnvrDAOHDT8ZzeHoxHEH42rdjpnzm9789pEHKRzbHc7jw4cfvDjkMDv3ijy/mMHj6/cDh+Q/uDTu8/tt3OI2DcLH5yHsYFOW9Mau89MOfI0UZu8qX8q98FfoOj74+ZspXjt8Z0eHh6MWLMuLw6pM/vPAGKdMxU77WXBqu8vKRT8d0eH3/2yPCPvKFnxXjOPzx4Oi0mR+zU2589tNoyk/H1OFy/vWIw6NzY6a8cmljJOXDn485bW4efzDSeoff+LdDfi/TjucHyC0ts4RbQlVEWEwNZY4bYZ1glugOiYRlUtvMeBPDiYu54dgxnAgViZ2F4g3xgogk1cZRxThJqEIwg0vOURYTp4nVTFBZBOJqTRitEq4cnghrM7gXiiBKCn8IA3NHezzWMuKGpHhRYKiR00SKRLgisI9rXRaJ4vaalmtCdQskGXzgJYs560lkY4nLU8CVMieiq4AfT2IOqx2gxOIxlQhwFbwQfNIwoI4wrRxgAjaVucW1zPog9zIqhctJwmlJzkQ/lg/FT5A1ZJ9ZwjeK6wM7QIt8ri4WtkCfn6iSXHAZAUMiJDWehkwC88Si1r2yNLeoIsuORlxVSTNoNE7UyBLyN54dkNWhTAAPBXSfPtNJSlHFkqLhGobcrXOu8KzTQSWBrLBVoLDqrwqQjZJxg6r+lyS8BgxnPnBEDPVy8Dz5dDixKWeiIxjSg0SSokY1soI3BukDDJ6WeeNfwa6/NYBH1uHXs4tiAj4NUa0S6AB4Hy6ZuIYE7hcol6G5mN/31ATtN8lFrnpiJ4E7tKfXJF+jxcsWeFswdN0HAZ5FynrW4YO3vCKk4mSi0W63UJGSxuHaA3MhC0ZTB7ARWY95kb+FDYfoLdL0SvXHiHS1jqokpBGqRBTPnIHUFV+3pGN0UvhPkRgoc2KtUGu/ciqvkfO4xTdokkpeJbQfg0TcMiNCnwBYH22kVEvBcrCYQUwhnElqLQoCNBTg+yhGbw34R3dF6C1XdJF+1j8sqYUWqsRm6Gn4LCFLSdOy4QBUZlEXMGlSfR6QLsSBrPdGcl6AdJlXR9TrI6gcNCc8EuUIgGR6ewdKtRX/E2jF63H3XjnQhtppN8Xhfuo7RX87CpyhN/ZS3fWK1GMBhuBZih6HjEGnUMy3gZ+cI4POS6TQxcQCBy+lGG9QL+EqKdRY9HrRN+sU88vhl/UorAhl4aLEx0moXexHk3LFhARE76ucVTvnQnD9id3vpl83PyIaIwucDzNeI5EneKvyqqQMCsfsWgAr3WbQnJlsBInvEDDAzRI6HsupSzMXa2M3MaRTzI3z+MGwbczUghkOUJJvHL+oM4PaeghnJae4TK4ZHWXoA606mOLYR8dW0r7ry/1vOsIvMDDT5diHqJax7hqeHJuKUb7y40np76FBMlyxj/zeVDTx9p0OxXTN41tCSoHG413woeKzGHBImUdGS1551p5d1uulaXSFmnwvs84yTVCw0pJfMChBacpEhG9fB1ikxcbxRlBrBI1WfbW2yiRmha5hlk/XgkYtmGuD9lBt4n+rHoqgPdOebM00W6IxN9uebMzOtVhCu6vNYGqqFWCSBVKnXJ0uirIU2dbs3MxcuzE13QiCqdnpqWB2OvYGFIz3bg9urRbLtigifDWmJ4PmZKOZpFmI1YVhVtZxX5Fd75y0fA1ckTO3ehAD6sb4TSM33omdS+3Jeh3zzveCNnktS2uU1e7TeiicdRB6Um82W1P16anpZrveqC/wXeLvLinsEpf5ckOYtmi5ux4MreFLa9dmod+g4LZHDZaO5Cs47oMR151L+LNj+DFHO8sctpIJTN0z+VmdKXfsMRAU+43x6DYEbMvHZ3Y0eM7vJGyIZ2B4USZC+QG4M4n3bnLbwd9a2ImbkYf7CsvAzOQuMyh3TZtu/bkV/wc=</b:JenniData>
  </b:Source>
  <b:Source>
    <b:Tag>OngK24</b:Tag>
    <b:SourceType>JournalArticle</b:SourceType>
    <b:Guid>{48a33419-b471-405c-91c3-6daae2d24116}</b:Guid>
    <b:Title>Explainable natural language processing for corporate sustainability analysis</b:Title>
    <b:Year>2024</b:Year>
    <b:JournalName>Information Fusion</b:JournalName>
    <b:BookTitle>Information Fusion</b:BookTitle>
    <b:Volume>115</b:Volume>
    <b:Pages>102726-102726</b:Pages>
    <b:Publisher>Elsevier BV</b:Publisher>
    <b:URL>https://doi.org/10.1016/j.inffus.2024.102726</b:URL>
    <b:DOI>10.1016/j.inffus.2024.102726</b:DOI>
    <b:Author>
      <b:Author>
        <b:NameList>
          <b:Person>
            <b:Last>Ong</b:Last>
            <b:First>Keane</b:First>
          </b:Person>
          <b:Person>
            <b:Last>Mao</b:Last>
            <b:First>Rui</b:First>
          </b:Person>
          <b:Person>
            <b:Last>Satapathy</b:Last>
            <b:First>Ranjan</b:First>
          </b:Person>
          <b:Person>
            <b:Last>Filho</b:Last>
            <b:First>Ricardo Shirota</b:First>
          </b:Person>
          <b:Person>
            <b:Last>Cambria</b:Last>
            <b:First>Erik</b:First>
          </b:Person>
          <b:Person>
            <b:Last>Sulaeman</b:Last>
            <b:First>Johan</b:First>
          </b:Person>
          <b:Person>
            <b:Last>Mengaldo</b:Last>
            <b:First>Gianmarco</b:First>
          </b:Person>
        </b:NameList>
      </b:Author>
    </b:Author>
    <b:JenniData>z:pVdNbCNFFk7QrIbDarVa7a7Y1a5Ul10xku3Yzo9hRwthYMLAMAyayfA3gCh3v+6uuLqqqaqObU6BA3Di78YFuCIkxDVC/Bw5ICSunIATXDgjRUJ8r9tJ7DCGjBLFcar61fe+9973Xtkv7C78IdU2ksG63YXFrUKm9HCZ98klnXa31+0l1qlUmVN5EScXVJppvIKHqapOKWv8m7sLt8T9vh3tLpxKMmKDvbt/av51AT+xpiTsrXf/ffozrKJgi731Kz+/tYMFDVUcsr31y5888yyWU64Xbwz4x1nAdw8Ar/pr30wDfvoeW/4+4BGGU4Df/4UfHTL8Yf1kDDef+pJjPGR4OxM+AcPNr16ZATwuw2nACx/uMEYNeO1bORXy3T++8Yw4FmCVqBtVuX3ui5kq/6oot9wkYPdvH8/m8L0jObxZwOXvP+Ck7QP+5/OfjoR8DMCVvZf4UA24+tE7vNgHfPiRx0/IsPfq6zM6/FTxsxMA3ilfmAXMTgh4dkWxKKeKckSHNwv4/9NPzspGHQ9w7rS56+uL04Abfz5784AzVV5/9O2ZKl/+7/GEPcvw1kPAe9b/PpPDT94/ng6PAPKqBjx35rVpYW/84yxnYBqQnittoPGp95+g0BAhU17gl0bBUU56LKJMak0Ggz8VcUkiWBiRUCYjRyaIyOaFplFThbGwCZausE4GEr70QSoj+0rzM+mFxFMTURFaYtMK0rJfWbJX2sdRQZEXQwUiRiTK5V7cTq201RAp2dTJIhs3hFfP41S/9MqQB24U1HZ18IyQJha2DF7FoArYGQhsKCdwyfWlBr+iqONTxp9pMMEhac3vBwe/23lLOBCtLrdMFTUzYaxpHnhHlAPKrI7J+YbQJOP9HNG21duct8TJnIbWDcAV/NIS7DSfFkUZRFfgZh1KV52TcewYdW4elfclDl7vdBqiu/J0S2yUDs5cnUDV5JsYLtl/LkPAA5STV1pGA65QHT4iz8EFDmKOAP+52DORo/4cgUcFeX2VvcGCRpJrhZRVWQLQWJSe6vpuk1G1LuYEUAM2Z/ICgjIAJzUq4fpbw5Uhx+dQkIKigM1k4hBVQeYclz3iVHTbTzfEMFOahM1VqMgOaHzUcaxyMp4riSPLiOWyw7FaaVKkCsxBLi21bOIjENv7SFtfOohhlugkbs+tIQDPWrMNoTiEMZjZbd6auG8e+t/H44IwDJBjlSQqKnWoco+2I2cgzkIi52xnYZGSR2uycoaZRZ6VCZS6qqmwF5w0HvZkIq7pWPRJPAeJsGZlHzm53mkj2E3ubND28FsllNsBJIasjD7pSiPQgzzMEyLCMJg0Ogriy/4WRU00G9cej4KIqSAD4VgDbkDb7xy0lQXVSQBV3NAH2GZ22BIX7JC2Cdmvxs2sU/ZZld8apJDziLpXA2IyiKglYi7F7sKfIGkIwFN8H3SWdtvd1WannUOEnHdyD5jEYk6msgyZdX5Hq7yAaDbwso46q612j4IKurZ0aBf2v4HGtiZB75Y53eaLA7iHDj4bK56fVyS4YBxDsUjqI9j558LiGxuZllMrzaed6pc46F/m4W2gJLwnicyVHkeXAVJJjy6SNBQ7q2nhBnaXpK3toiuYHnOs1FWkspAhG9e2CThuIetzzGlD6WwCa6+oCCPAiquZcjbIeWfSe2Xed0rWp+LzTg3mmWZX0UqEKTMJ8EGbzeeSXUJppY4ndNT9SppcusjWByIV45vGqSi2avSvTrvVaXfWlrZayiRJ6Vuo/Aq28CVlDWLrmx389eZF1VldW2t2V5dXVeeOXre5ttxezSwEK3HRDB5bWWkvL3fv7PW6W9VQrVS0xVhQUbPTyYuyr5WH/GshLVaUB+e1p22FuXru0QFa2ZYuomtOj0QWQuH/t7Qk3Uhtt6xLl/BFaam70u61Or2VO3op+ieMCw56wO0dadrEchFqI5tcVCae3qbAQxq2OlIY0ufG99rShNO4lhPux4jix/hCqXZvM7WOR5fOjwpdjTz0vZGhdJglGkItIUgeTNwu1eTFsJl/VSNBY698go8QKvI7MbO+NSoRZGM/SBSiCvG3avEL</b:JenniData>
  </b:Source>
  <b:Source>
    <b:Tag>OngK253</b:Tag>
    <b:SourceType>JournalArticle</b:SourceType>
    <b:Guid>{c20c5bd3-b1d4-47ac-b386-9c9950a6e933}</b:Guid>
    <b:Title>Towards Robust ESG Analysis Against Greenwashing Risks: Aspect-Action Analysis with Cross-Category Generalization</b:Title>
    <b:Year>2025</b:Year>
    <b:JournalName>ArXiv.org</b:JournalName>
    <b:BookTitle>ArXiv.org</b:BookTitle>
    <b:URL>http://arxiv.org/abs/2502.15821</b:URL>
    <b:DOI>10.48550/arxiv.2502.15821</b:DOI>
    <b:Author>
      <b:Author>
        <b:NameList>
          <b:Person>
            <b:Last>Ong</b:Last>
            <b:First>Keane</b:First>
          </b:Person>
          <b:Person>
            <b:Last>Mao</b:Last>
            <b:First>Rui</b:First>
          </b:Person>
          <b:Person>
            <b:Last>Varshney</b:Last>
            <b:First>Deeksha</b:First>
          </b:Person>
          <b:Person>
            <b:Last>Cambria</b:Last>
            <b:First>Erik</b:First>
          </b:Person>
          <b:Person>
            <b:Last>Mengaldo</b:Last>
            <b:First>Gianmarco</b:First>
          </b:Person>
        </b:NameList>
      </b:Author>
    </b:Author>
    <b:JenniData>z:7VY9kxtFEBWYj4CIzCQwVVSZouqkk3QSHE5APpsryj7sOhkbEorRTO/uWLMz65lZSevILoo/Q0p0f4GYH+AfAUVAwptZ6U5n+xICysEFpytpu3tev379Zp+ddK5k1qlcmXfpcW0DNW9fndY+cGX4TGkVGuaosi54xh2xOTUM8YwWXNc8KJMzYcuKG0X+E0ZmoZw1JZnA9Q7zViiuGTeS5XZBznAjaIfdmh6yihzKlO0PszqwUJByqGUCkpnyTBnhiHucoBtmZ17UjiSbNSx3RGbJfREP7zJ/HqzQXJUe5XhIgEvlNXGJ2B1GK57n5HgguZNQZXzmlIjfe+wHCjFC+dTUt3fuMV5VznJRkE8tR9jccN14oNNczJmzMxxuyIObHBh8OA/OKT/3O8xm6Amlg+MiFUekygswmlA6yjSJsIWURYLPsF7QIp4V5GINA34eoYRa0Ivk9th9y9CkzAmRAJ7zaoctCRiCs7IWxCZ7B4fgceIrlOhOUMYaNtk0ulShYAfOet89AJjcuoYdkgEyrZ5AANaASvTPDCasmeSBe8I4LVMl6AMioNxmymbnmeSlkimmclFUBNAxZpvIHrvRgJBKK6EC1KCVmUeaXuCFpw7WkFs9cZ80GEmM3FuDcaR+My5iEp5E7KWFUjJlqJs7FIzRUAfmZXwFEUGQG72DGoB75UCgHuNrF4GluZ5OOcowd7Y2EoWVYdgElSk+07QBdW6WC57XoMBtC8IVFLCloscmUqqYw7Vu1r1QWRVYlCdoRaRBRUWnQeXnBgUtRAUklIhtZ4LeJea2JZkIsaWy28I7mxUtIORlgY/TpWcCmJO4It8bq8D4PUVVQ5IYWMYX6EeQi6y9NLa45hEbKMqLOGfwEy0EWoEQ0WESbALxhBhyA3Vt1sWJXe4CyiFhoTzITb2AcAzvzp0jTKQ2IhpPO5MIUKsyTj2RHsNsHaCm+Dw6m1QuYo4P48ZndQBTaMoTd6LoyaV185PO+wWf+bTMl1556ZWXXnnplZde+ZJXYukFJEzyZiR42B+Ou4NhGT0risZ9YzKLV8+c16Gwzj/FWRUY/Bp/1sl+rz+mAP2Smrjv1aJnXa5jrlPwP8T/ctJ5UxpeEv5nGdZCN+IuqM3BoaHbxKFLZzV1XhF3xG0bJ45rdVFU8YA7Xxhq2tD8JtHcF/yi8PyAl3AO3kbLW07NL6x8hHJcyzUIdai4KUGZbRMyyPOezP4USvqTzltCWrX6YNDvjfbH4/4udyuwMRz3h73BeH84kMrPzFN8evNMDff2Bt390XBY2IqgAFrNH45Gg88Ge/3R3ghBd/lfjxBat0N5lIbSH3aH/UJDlzXPaUZmjhHa2gn6zukVK0Ko/PXd9cEYw24ls90zALmvZ6Gp0N8bkALZ7LYy8m/ClaYb9KxhQiRvNAfY6NAJsG+CRQiSD3GT+vbXdtCrx/ftkjvp2XG7a9H4Tp11sr4yDrevjON4ZVz/72acBVsp4X8+6byTSVviBCCeKcmHaWR22l7JU6EiZE+ZIi3bkNlglGJWH9+oce1C6DvsCFuXU1zGtC0TIWJ7AIr47P6gPxiM25xPD6zD6gMUWx9xTL7CIqn1lh8nZ0AmeQG3/efLP4a//9TpdAqQvQVCDkb9/VRyOYX/okcYBE4+A/I/dTbe+2Kdc/o2BL+e1lUFPzsooo+dldj09Nt7z5+/xj193t9rc65tctg9Z6OlsaPonFGAKXGtt01bv/44/urVba0xfLh1cnRBXCRJuNPGByq9jNt09Rre4PTqo7h955YPL55byzeP76MPyHnkX/kX</b:JenniData>
  </b:Source>
  <b:Source>
    <b:Tag>PontikiM14</b:Tag>
    <b:SourceType>JournalArticle</b:SourceType>
    <b:Guid>{12ce5e9f-c98c-4b29-a0bf-92bfa194bed7}</b:Guid>
    <b:Title>SemEval-2014 Task 4: Aspect Based Sentiment Analysis</b:Title>
    <b:Year>2014</b:Year>
    <b:Pages>27-35</b:Pages>
    <b:URL>https://doi.org/10.3115/v1/s14-2004</b:URL>
    <b:DOI>10.3115/v1/s14-2004</b:DOI>
    <b:Author>
      <b:Author>
        <b:NameList>
          <b:Person>
            <b:Last>Pontiki</b:Last>
            <b:First>Maria</b:First>
          </b:Person>
          <b:Person>
            <b:Last>Galanis</b:Last>
            <b:First>Dimitrios</b:First>
          </b:Person>
          <b:Person>
            <b:Last>Pavlopoulos</b:Last>
            <b:First>John</b:First>
          </b:Person>
          <b:Person>
            <b:Last>Papageorgiou</b:Last>
            <b:First>Harris</b:First>
          </b:Person>
          <b:Person>
            <b:Last>Androutsopoulos</b:Last>
            <b:First>Ion</b:First>
          </b:Person>
          <b:Person>
            <b:Last>Manandhar</b:Last>
            <b:First>Suresh</b:First>
          </b:Person>
        </b:NameList>
      </b:Author>
    </b:Author>
    <b:JenniData>z:zVXNbhxFEB4H8XNGHEBcGkWRQLJ3Z9ZjZ5ULchIEBiyv8EKExKW2u2amvD3dk+6eze7NCInn4DX2hrhx5UHg5BNSlOqZtbNK4kMOkSKN5qf6q66f76ueX9fJO4V1VJK5hV5ah/9/+de/UiRJop5YN18nH1Yw88GBDMu/T8ARiIk1gea0Kx5STcGRF1+DBkN+V3xrKyMmsNC2sa22bPkGXERMoIESrSvJtrvi2BpxZJSzbfDXyLPWoa/ECRgwqgI3EBNnJaIiU3phCxEqFONQiWMT0BkIZA1o8Yiz9JVtBO95hjVwblJ8tQDddgjxORvjpxilWf7FoHsMNEiJ3qN6CAHLUTo63EsPasmFARl0x6aw62SnhDZU1vmL5nrleyshWMeLFAv6AUyJ6+QWFeR8mLDl408rDZvX2zr6OZq17OJ/Z5wyUEd8UUBNelVuWoklLdBg117uisbkFdhNk3ssbXpv/U34+RYNvY+K7NwE19sM9fii5+4mD/sCg72TZG5v8qBrbjcBesp7eFGBn6jiUpLy6+RdqSz5LB3sZ9nBcJENfZbvjdI0V+Rn5oLv3lzIGsrz0eggO8zH4zRnESArApfzR8+NjDyFy3PGtz3b51EAe2nGFzNlyparnqGZcya2dRJ/dHp5pwqh8feGQ5AMYQ1oW64G3Jvh2SaNQaOK0rezsGpigXNwLDuNU/7cYdWhLb4jo7bNGEDrFWO1pIDq/uqBbU345P3T4LBAx51D1Wm5s3+EgQKXkm/Uy0GzXEzBz0V+Txz5BmUQ94EVzKJnDdV845ECvfLki2Abkv63dfJeoWzNwuWwM1Kw3xHyeFIxSvJInEmKcT0WhFr1oFl2t0M1D2zdtDxpVyheK6ZZeniYd+vLOy8HFsyuOG3IxME74QdPx+ZQ+e/pL3/woVJxz7aCqexuOuq2e3LErSpIEqcVB1xrKmPUN1HDfjrud1l+dqQWEDsvprjcqmOKsjL0uOVtr/K//PnPtyX/NB2Nu3UzjUSLE6tQb/f6n3h+v36uKqr5A9nyBNy+mgAew074rxjFefxB/ITOM9s7zwA=</b:JenniData>
  </b:Source>
  <b:Source>
    <b:Tag>PontikiM16</b:Tag>
    <b:SourceType>JournalArticle</b:SourceType>
    <b:Guid>{ae281b68-e6cb-42f3-9260-9017a7dd8a97}</b:Guid>
    <b:Title>SemEval-2016 Task 5: Aspect Based Sentiment Analysis</b:Title>
    <b:Year>2016</b:Year>
    <b:URL>https://doi.org/10.18653/v1/s16-1002</b:URL>
    <b:DOI>10.18653/v1/s16-1002</b:DOI>
    <b:Author>
      <b:Author>
        <b:NameList>
          <b:Person>
            <b:Last>Pontiki</b:Last>
            <b:First>Maria</b:First>
          </b:Person>
          <b:Person>
            <b:Last>Galanis</b:Last>
            <b:First>Dimitrios</b:First>
          </b:Person>
          <b:Person>
            <b:Last>Papageorgiou</b:Last>
            <b:First>Haris</b:First>
          </b:Person>
          <b:Person>
            <b:Last>Androutsopoulos</b:Last>
            <b:First>Ion</b:First>
          </b:Person>
          <b:Person>
            <b:Last>Manandhar</b:Last>
            <b:First>Suresh</b:First>
          </b:Person>
          <b:Person>
            <b:Last>AL-Smadi</b:Last>
            <b:First>Mohammad</b:First>
          </b:Person>
          <b:Person>
            <b:Last>Al‐Ayyoub</b:Last>
            <b:First>Mahmoud</b:First>
          </b:Person>
          <b:Person>
            <b:Last>Zhao</b:Last>
            <b:First>Yanyan</b:First>
          </b:Person>
          <b:Person>
            <b:Last>Qin</b:Last>
            <b:First>Bing</b:First>
          </b:Person>
          <b:Person>
            <b:Last>Clercq</b:Last>
            <b:First>Orphée De</b:First>
          </b:Person>
          <b:Person>
            <b:Last>Hoste</b:Last>
            <b:First>Véronique</b:First>
          </b:Person>
          <b:Person>
            <b:Last>Apidianaki</b:Last>
            <b:First>Marianna</b:First>
          </b:Person>
          <b:Person>
            <b:Last>Tannier</b:Last>
            <b:First>Xavier</b:First>
          </b:Person>
          <b:Person>
            <b:Last>Loukachevitch</b:Last>
            <b:First>Natalia</b:First>
          </b:Person>
          <b:Person>
            <b:Last>Kotelnikov</b:Last>
            <b:First>Evgeny</b:First>
          </b:Person>
          <b:Person>
            <b:Last>Bel</b:Last>
            <b:First>Núria</b:First>
          </b:Person>
          <b:Person>
            <b:Last>Jiménez-Zafra</b:Last>
            <b:First>Salud María</b:First>
          </b:Person>
          <b:Person>
            <b:Last>Eryiğit</b:Last>
            <b:First>Gülşen</b:First>
          </b:Person>
        </b:NameList>
      </b:Author>
    </b:Author>
    <b:JenniData>z:pVdNjCNHFXaShWwOHMKJICEVChJ2NPa4/TezmwPj2Rmys9nZ7K4nBIKQUu6udte4uqq3qtoecxpOHEGcOCRaQEJkDyAhDmgQQkgTkBASCC5BcEGRENIqP8ccNpHyVXc7tkfj1SQjzbj7Vb366r3vffXK/t5R6TMDoXxqlT4qPbKf0AG7kcZ9pmkzVJoPuLwQJ0F4lQ8igX9r4MWzBVxJ86Oj0qNBv68OjkoXwog5hwdfe//+u38slUqBYKF9sLFz6x//heVblTzYeOGZv/8EBhvzwEYPNjYrjzvPuV0fPQ3wg3//AV6nA/7viwuA5ddfOR/gze/8xyHMAH+w8SkA/0lmgH+pHC4A/t8FfA7AW63xIuAvPhWgwygA7/56EfC3Z0n5/fv3F6o8B3j7qa86QmdV/ryL/hwR3h7tLkb4ujPPE+F7b7i9ZhE+cc6Ue9/OcpwBPnkWHT4M8M+vLACW/3XOCPe8XzmEuQjPcvQeBvjqBycAz5nyixevLRy9ypNnkc3DAM2P52XT/GvDyfKT6fCad8dZBeCbP3V7TQG7O/Uz6HDj6Xd+PgdYvvi4O6854Je//9piP+yeKMpjp6f8tltVAD7ztydmETY/fHO+KN3xjROyeYzdSZVlkwvX9yJGLDuwhoyZZiTUKiZrJFAx5dIQKgOyTgSVgxRrzbNkWw4ENxEpM1lZIV1N+9wnZaphXIm4ZIaRsh/B2kqtD7cgxfvXNZPOCJ3b7dQYTiUpazfVS6jM8Uwl220v1cNqNmLTSo248AJqqWGIEFcRsW6giE6FRDNjaaqpxHTZGcAUNAELsN0L7Fj1uWAkiRTiI+UkkgajAW41SwXxaYxrDuPuBeMReBEw3TMPKU4NS2MMuZcK8XHjcWPd7n5qrMJyhDHibGxWyDjiAnMuSsAwX8VxWpU8vyiLwJEaE34ly2uKliVjxwxp1kiXWFV1sWFsrb52qU5iKlMqxATxSGWpZQHpbvbglyYCOWWlS7Qa8QAzGU0aG3E5yBKw4AXvz5LWWqfdIoZJi4KwqmAjJqaQ7iIn5d6mVyEIca7oGZ6TRDVjfSWDbDS9ZicTzukojQylcwKlOS0dCkv7qIk3jdqgSsiByyr84pwt/GXVBj2a99N8DCw5ta58nEUu0hkvBSUJqlIIJ1eRE0de3TwDJ46ZtDIGZyA0L+EJpnJ2QiWEGjtunQtgE+ZbPvp4uQvT+BGLISqE29uuulJ5bVK+qaTlQ06YJVTUVkij7rWh8U0GPEIRADugsYu+7RbOopmlOj0BNNsU2rVsoPSEvHX4qmF6xH329IBJ6Fm8dfiaqwCD2jyn9pSUG3iGmpSbeGrYLTzdgWjjmckEYx2XX76HI2yqWDftHli9NvNwZBYel4lXI8FY6eFR6XMR7aNk1LcHd6+oOHXy9/nxb1Br9AdpaUAJBf/Eq9uI7CA3LTPaoPiXgGAilbji90AhCPPJ9oiKNCe2jEFnVsFdB3H7OGR97RADFMjrgFjiQayM7Kdy4p7OEdv10HK2ONhCo6KCIwXJaU1QH7QaFmw5Jhv1Rrvq1WOcSYucmN6RocI33QFNbaS0ORRuJtMirOxbr0TTwDMMaczFZFBUmA2gB8l2qeY00Eqw0im+z1EcDm5yX77FYw5oZZb5i5vU9W+lB1ylxQZXscHSBaorMZVaoxKVClVs5O8oN3zqCr5LJSodQYqZb9hLUbFomXvUvV7txTQo0o12VURj2Mv8h12o8ofdyUSl/XzJYJdGsUqXrghejqgqYvkWlRMEt8TTv4V6ZY7BJo7mMrfwimDav5N77r+gk+j4HiNbbJk/u6qMZYX7N47vaSX5nXSp+3434QEuNzqVQJRJQMrlKtjDLEfzyZP8JsU9opc5x9dVOqRoLSOOy7Wg8AZamFgus/3n3X0m+VCNij22R2gRk6VEohsVjjeOf/cQ/cprPD6+J9l3qy/TUNN8jejhpAYEWR//cunKaFtP+Bt3OU5cxtFzx78Xf7qLymX+Pg/w6/KzfqC49eo1b73Tbq6OvFXjdXA26w1cB315iE8jD/2YDvYbrU770tp6c70tVMJkNzvROwEWt1rrjTWvvd5pXVpfb7Y6Xh2dhaHNsIPhS7Nl+8BCTV0L2Hfdolr38DeE9FWqffaiFgfVyNrEXF5dHY/HNeqLMevXcBJX0Z8iJdRgstorwqvhZ/LApH07SVzKQ6rRwQTbg/kIGhhT4fNcBvPDDPUTE/gKH5QEm5MrKpX2qQs/s5qFUAYaf5C1xWz8C19illtk0JrvhLhOzZC0L5NufjFs4lYL0EDRjWJ8kC6SnuB7RogvRtw3h4EL76KfIrWvTFMD4VlOp5H+EQ==</b:JenniData>
  </b:Source>
  <b:Source>
    <b:Tag>PanditT25</b:Tag>
    <b:SourceType>JournalArticle</b:SourceType>
    <b:Guid>{f0e16c98-ce7e-4a4c-9003-1c58062d782a}</b:Guid>
    <b:Title>Multi-Domain ABSA Conversation Dataset Generation via LLMs for
  Real-World Evaluation and Model Comparison</b:Title>
    <b:Year>2025</b:Year>
    <b:JournalName>arXiv (Cornell University)</b:JournalName>
    <b:BookTitle>arXiv (Cornell University)</b:BookTitle>
    <b:Publisher>Cornell University</b:Publisher>
    <b:URL>http://arxiv.org/abs/2505.24701</b:URL>
    <b:DOI>10.48550/arxiv.2505.24701</b:DOI>
    <b:Author>
      <b:Author>
        <b:NameList>
          <b:Person>
            <b:Last>Pandit</b:Last>
            <b:First>Tejul</b:First>
          </b:Person>
          <b:Person>
            <b:Last>Raval</b:Last>
            <b:First>Meet</b:First>
          </b:Person>
          <b:Person>
            <b:Last>Upadhyay</b:Last>
            <b:First>Dhvani</b:First>
          </b:Person>
        </b:NameList>
      </b:Author>
    </b:Author>
    <b:JenniData>z:pVjPbyRHFZ4lGwlx4IIUCS4UBySvmPHOeD2w5JL12pvdTezEsb1apCiSa7qqp8tTXdWpqh7PcHLEiQNCisQBCUWc+Q8sOMApF4REfnDI5oD4F+AQtBe+VzUz7sna0i5zWK+7+9X78b3vfa/kD85bLw+1zXiw7rx17aTiQ/lWXQ6k4xu5dWqozPWyEvkDNSw0/gUPKxUPKGv8h+etb4jBwE7OW9fzQpLB09f+88dfnrVaLaFlHp7eaX/42u/xlAVbPb1z/9+f/BMP8lSJUDy9886Tr47x2Ih67QUdPvjLJ3eWHH7x59UcPvz15/Rp4fDLVyjhFRy+8d5nyyWfrVjymz/6bLnknVUd/vfTpZKf/IkeV3C4+/GnbLnkFR3u/eYfSw6/fOX5Sv4VAXWZw7ey5S4/GTwfba50+Hbvc/y+cPjGyXfI8sUc9n7wAVWZHO63jpdo88MJBVshw/3h8XLJHz1fU652+LfjZR5+taLDd/p8eVI+er7Ru9rh7/hyyV+smOHBS/z/IvbVDk+OiXgvrIdXO/z7Upcf/rX6eoby/doGOX354wf2VI6la7NQSJYrqQXzamhUrjJugp4yLsbcZFKwUxWKaKVMcFbUGWk/szkbSJMVJXcjJnjgXgbPcmfLaHsoy3tjrllmy0oGFddFGx4yXQtlhvPvnY1ub5OtHXE/Yps3UignfeC1QxaMG8E0r1Ab3o6VPPXxVePwj2eH+zfa7LRQWcHkpIIN8g6WRcTgwQxrQODZuz9t9zbeW2dHhfSykTXPlFaBB5xCdMkd/CjDtnwls8COpCvZvUlwPJW+tnV0D+GaXw+lCarED7ZluJ565cnqcOvCbBveO0PrpmxHBrxIjrZ3YEElNayi0aUOt+EQNaCAw3rg0Ur6LnNsahShU8kEfuZkXNDUJPKruFY/x+dFwb5GgdynKIW1Yg5ebrPaAyicNQReZ2AdfV/AHztUgUI4iPaWtQ6q0pLRc1AEMQBOJe1t7R22mZBEq5RbVnCtpRlK5mEP9sA+Oly44RGG2VtbVdYTWcg6ghE7yOYtZFuPtw7uzatqNB6fhC05OphZcBytTw49yBqqwhoEqi4oRSmvoy2+UkEmAC2orgZ1pC2hiJcNwrSREfnVTKuSeBPNCj6WmAlpmBKUMIZKsHdvtxk1bKs5XeQ/kw6GvpmsH8lTNIIy5ayQfDxNhshl0c4FPQnheeW1pxLhgZxVaUajgZdurDI5q3QWp80qwKCyWnOHOb8YtzRcUqMDzhqVAZnbEWmkqXk2ovhCoXCvQjrnFDWLopZWSO3/dfZblvEK4wQDNHwQgdYEBJ4sDB3IWRMhk+bAsRpJKlaHIuMO9pQCCkgVxwRerx2dLK2TUa5ghYw48EAuHSe1IqEiznKWo8xndQkNmzE+FBaNjDI1U5E59Sm4zcFKZAgqZ3FiMFoUUTm0r0QhsbCkSgkPTJrunFoH+SSp03JCFjHtLWNs4gbpHhiiPHGehoQ8EGocUxxTx5wGvORONAeVwpec+qK9xdQh88UI0SggiEDs0Xnr2wVcRYGaXv9D0pLOXbggrbxESO6SkNg8RyvZEK0nKiBJUBRXfNJ5NKtSJtIaUzDDxdfpxELkPToWEVkQAw3SfAAKNcQmFDwAp5x4tYyXoSMRIfDB1NRFP+NbxStwpSK6J2ISkZzlUaMcG0qD+QtRHKYGuaBhjMqKYTEQ9GWXO4zF7kz92V6kKFvb3d3zN4iPXAj4pwQRcMirdfYYsygDVzqWNw+CBiI0ckMegFIw1JOmjKLEgHFoFz0O8F4hoTSCc/wFvl2ICs+chcOF8qXZ9LPU7+8fdTZtUrn3a8j3jHY4HH9PkjTPcIY2O6XRkOB0Hd8NcMZDzaPHKA3SRUbNKBcKJ9FE2nsdm3dg0YEwMMKHrd2XJQjAeut9tu9sm21rXgvJbuH50BojQxL5HSmrQylHnYMeGAUFuqTwTCONKH0RS9BihDa/XTvSENTvAXoJTEjmkv5ip9GKHKM8YDQr9qLRVGybRA1kii0AshgxdKVRILwJqisH1vCeEEgy9eoi7YMe8wVuQoIV4H5iXKY80myzZQRiTc+AgKVTqAHWBuol0RwiqwwTmsD5moc4cGS5dM/KOShD00cfkXhkIek+bkqEBsiGjnQGcZqXMWgylBSRjRUf0BZFbIzbRNFDKaF5ScnSvQBJRorQxzgy6IKtHfjdvrgJkdXSronIzclFAYnyFtrQ1N+4DpEmYinDMxqZmENj6pvysA4VJRspdujes9Hd6Hd63ZK2L2ZBuocmt+etl4a8Rijnz+AeuyW8jn/Wie56/xZdLVHo97j7mRqztW3rjNSaPTLzNXVDL3Y5PPyC7tOGlxL/5zkvlZ7m+6gOSQ8j247kSa2Fs1q2njWVBxzlJ0uxJ2W4yrB4VHFRTPk02eY7Ba7SKllnSuCPKNczYdXku73u+ubtfr97k7uJGq9v9Lv99Y3Nn3R7YPTAnOGnN2eFrSQEUk5Gjzc3e7C/vdHtnuBTnXA7ibh1+51b3bKqB1p5EDlBdy0m5p6FZTTv+SOnJ98vQqhevTlLwrrhTfzJ5+ZFMkNfD8K0ogJH8eag5REer4EF0uZvKiOar6GfWk9hq7EapLg73ba1Ca2ADZAILh5jZfn0dta/0R7JYGcn3YMiKbcb24GhzLgP71/wHVRPSgVif4uxA2IYHINhtNRnHI3X0EjcbSxn7pS3Jo8S5c8ElfTNrL4UAGzTBgD/Aw==</b:JenniData>
  </b:Source>
  <b:Source>
    <b:Tag>HuaY23</b:Tag>
    <b:SourceType>Misc</b:SourceType>
    <b:Guid>{e0b3feff-42bd-4f74-bcd2-c0f0d6594e45}</b:Guid>
    <b:Title>A Systematic Review of Aspect-based Sentiment Analysis: Domains, Methods, and Trends</b:Title>
    <b:Year>2023</b:Year>
    <b:JournalName>arXiv (Cornell University)</b:JournalName>
    <b:BookTitle>arXiv (Cornell University)</b:BookTitle>
    <b:Publisher>Cornell University</b:Publisher>
    <b:URL>http://arxiv.org/abs/2311.10777</b:URL>
    <b:DOI>10.48550/arxiv.2311.10777</b:DOI>
    <b:Author>
      <b:Author>
        <b:NameList>
          <b:Person>
            <b:Last>Hua</b:Last>
            <b:First>Yan Cathy</b:First>
          </b:Person>
          <b:Person>
            <b:Last>Denny</b:Last>
            <b:First>Paul</b:First>
          </b:Person>
          <b:Person>
            <b:Last>Taškova</b:Last>
            <b:First>Katerina</b:First>
          </b:Person>
          <b:Person>
            <b:Last>Wicker</b:Last>
            <b:First>Jörg</b:First>
          </b:Person>
        </b:NameList>
      </b:Author>
    </b:Author>
    <b:JenniData>z:rVdNbxxJGZ5ls1e4Eg67dQFsaWYyHzZ2VkJ47MT7EdsJnokCRJGo6a7uLru6qlNVPTN9MwixByT+ABLS/gNOCN+QEAduXLgjISHxCxZtLvu81T0fTnYPK28kZ6a7334/nvd5n7fmV9etd1JlIu6NvW69dVHwVJyV+VTYaf9HibEylfpOXsTJhzLNFP68g5kMb0ij3e+uW9+Kp1OzuG7dSTJBBq9+8v+DP7bwL1Yi8a8OfvjJb/+Nq8ib4tXBx3/5wwEuxFzGPnt1MH73B3S5EfY7X9Pho+x/dLHh8Op2Dk/u7pOHDYe/vKXDf3xCj9YOv0/PbuHwtPrXXzccHv73Lrudw7Nf/+k1DMnyFg4fD9/ezPD2XX78n3PqwjeX4ZOP/vnNdvnJp5+9VvJtHX7+3k3avIGheFkaL6o700kmWM4vMK2+YiZhPhNOMOfLWArHSidilptYKMemnC6MZpNdtnX24/vbjOuYHY7OJ3S5u83m0mf0PktKpdjEcu2gArmw7PnezgsmdARHthOL8Mm4jTLpReRLK9osMUqZOQJMq5Wl0aoi38M2O3yIMBTv3NBXzp73e4MXdQqNw5V5v80+eDLpDMhmCJs6/y4bIatp6Zmfm3Wl/f1VsXNhBdUXmbwwDqmx0eF4xDx3l64NkCT5H40nD0PU0finD7vs1FhhZsK2g9elpy1E3mmzfm+XUlTOMCVgBPjjAFAqNK68nAkW8YJPpbqB/snJqWPeMF6mudBI2CK21CmLuef0QGgrowZrqUXHlxqeBTobx7DrsiOUwC3uNT2Rjo3FywH+VrFRKC8Ka3iUIXl4Qtl5fVPJRqEppcLCPyUAbyExqZngVkm0cFlvYk0efBBIbHxyzhzPCwU0Ey80emvzUnEASjYrUBl3jLNIcedk0oREODNVIgdlhi+6DOzcYGNunEcLQMqbFAlpIQi5l/ZGxlbgygHEpiCAt0KMghvtxcKXXK3RC6HbbJ4RxAAOTokTWoOq1D+QB7fs8t2O1Bd4QrkjAytQJ0XKZNFRwCn0DQwsFQog3qwrhg9T+gKMVLwStsuO4UBq57mOMBG/yDheFR4E6rKtQW8w2GbPd4YYJEBrKqSyWWgYkNDtQ3kynpy2EehYiLgDXObcxuxMlBZlngkQ1V6yrePjs7NtWCGlo/PjLjuRm7H6iHV/90UtAG/EocaBBXUPmqqWY50Ijommqjn74Pxpl8UU77r17YxPHbxEvnrn9yNXALNOLSnUHhmIzjVXlQPmW0SSbUKf1/1Km/C+KohVX/aOz7hnMqYHwBZvhhg16DUxALuJJHgIGSswUUSIQF3OUsyiZtTPLnu21DFX2jREi3GU8QCveSt4INswkO2a0WmdoNSRFdxR/YUpwPogrEROSbk0ow4S5TAHMSA5sfBcKrwbMuWISf5BhHBkgsZwXYFYMynmrOCFsJhLXQd15TTIU3jVGVUGHubCZyY2yqSEg1hI59ssg7oGoUrgJjFRGbx4K3SMb3jCCFDisKucF7mMAL8r4aDmNApC1jRMJNybMsFiQ3MPjSQ4nPD4diOfpc4IFDOhAYQQBxnkBUkPehfKIp5RX6npdQ5wHzEARoKFLbEEYQsKs019qTFYyje1DXR5rTTKJAOSmMaZUDcGFA+heKgrqExS6pgTpdDosAI05UIahASbyPiG241SY2zRK+dJ8FYtCRWa0rJLbeZoaopJluAlYtEeqCXb4iWAuS6SK8iYWPBACrKR0Ba7yrXJM5S77gCtPloIMfprJTZbwDqyxrl1SzCqcwG88dkAAoVedQZLgoPceSNNG316jBIaEQelVRkD4b3BHnokc26rFeoOdMdGietB2t/d7WE2Q35ItFRoJvUFOlfTC6JJIoDyHJtJTjIitTazehny0iNvajo4AgDCFFkTCddk9LLkGG8Sc7JeTr42HvADwY3pXxeraVth5LCfoVGcCllSZ4VlTNwwRRAUOiKEXpV6JiQOPks2Ehd5dBkEoSZ63YMANbqAGcKpodqEvHmWS4eywsaGRuW8AiM1iSW1ejM2XCdloPqN/KBJsJMOzA77iNgKB4BnU94kurXa3HQb0OEgQzqWEk9rvcOANyFW3lEVQSziB1C2FOq/2+n3ctpvpGn2I52Y69bbKbqTGeuuFAJBxo/xZ2zc6+4OBXqixOJ73P5MztjWkbGaAHiql5hsK/IWSAoPv6HjrMas4TNJQHpVRR+WXAQRlj8HJ464z6rYGiVab9qKB0LrqraOn/BSfZVhNuF///QS5Kpts0coD5ziX2WfPJPRJQ6BwVp8/Lc/27Q2jWSMn653otjIxd1+r7tDPL/H7ULOuoNhv9/t9/b29tCgqb7C/05fZaYQoKdYXD7bGe7v3x/s9Qe9iyCoAeULoDzs9PudQT8vyqmSDkeKGui3Qlb2TRAv0TAoSySeWrVgmfeFe/9ek4Wx6T380r63zial3YBtST+5oVkmeQTGfIZVA6lBySqCrMaH1ZEptW9hWhIUjnNH/Azb2tV3m7ZORmy8luPzWglphDaX+Hi1kEfNWL7PHixF6DQspGYtTMJkJvihIiN3FVOO3303KlHTe1TTjZJwZNgo6Qs=</b:JenniData>
  </b:Source>
  <b:Source>
    <b:Tag>YangS24</b:Tag>
    <b:SourceType>JournalArticle</b:SourceType>
    <b:Guid>{dcb4270a-50d8-4182-8156-47ba4ae2edf6}</b:Guid>
    <b:Title>Evaluating Span Extraction in Generative Paradigm: A Reflection on
  Aspect-Based Sentiment Analysis</b:Title>
    <b:Year>2024</b:Year>
    <b:JournalName>arXiv (Cornell University)</b:JournalName>
    <b:BookTitle>arXiv (Cornell University)</b:BookTitle>
    <b:Publisher>Cornell University</b:Publisher>
    <b:URL>http://arxiv.org/abs/2404.11539</b:URL>
    <b:DOI>10.48550/arxiv.2404.11539</b:DOI>
    <b:Author>
      <b:Author>
        <b:NameList>
          <b:Person>
            <b:Last>Yang</b:Last>
            <b:First>Soyoung</b:First>
          </b:Person>
          <b:Person>
            <b:Last>Cho</b:Last>
            <b:First>Won Ik</b:First>
          </b:Person>
        </b:NameList>
      </b:Author>
    </b:Author>
    <b:JenniData>z:pVjPbxvHFaZtqS1aoOgpRYOinaMEkDQlUWjkHGpSUmw5tiyLEpwCNdDh7uzuiLM7m5ld/jB8UFsg9wYBmp6a3osGyKGobv0bCvRUoD+CIofcAyTxJd+bXVJc2QYk8CCJOzvz5r3vfd83I/76rLYcKu3xTJuz2rWTlIdiP4/7wvCNQBsZymQpTv3grgwjhZ/MYpZ0C6RO7Ievn9Wu+/2+Hp/VloJI0IznP//y+Ye3a7War0SQPb+999d//R1PXqbT57e7f9z5Lx7ESPpZhMdnG3iqzW17/YoBt+Od0/mA0f8+Wizgzpvb9DAN2P5tkxK+WsB7f0rYLODuD27Qq2nAzu8+occFMtz99/VKycf66hlWAr715+X5krvH9yj+FQP+JaJFRcA7T5ep/lnA984o/hUDfvz7cwzv3l2qlOx/9qvFSt57bYmId87DdxbEcO//NyolP+svmOG9T64Tk88D8gWJ/fbphS7vLVjy/f3lCob514TAAgEf/HipUvJxermAHxA3Xhrw8xuVkp/98nIYvjLg/t+qXT7ev5xSXhnw4XvfIp5MA77WMpdRytdf/YTSeFnAg/w/80rZ+mLpcm7zygwfLZ3M21f32fqCGD4anFRo8+T9BTF89A9ZVcqTBQMebslKyZc12ErAj12LyoAfyWrJP1wQw963T6olbyxYci+pdnlh6fX+KSsH/ZP3LwYU7+Y6E5Ol0VEkLevLIDfFrYL1tbaZ8Fksskj7WulGKIVlfCATlmm2v3vIeOIzzBYh7ihPi1UrPS65rbP11trmm+wg4omb9TDMk75OOL1Yb6022VEkGPeHIsnceyQobGoE91meSTWNpgPW3T08athsogRb2RFDhd0F1qim22NrlWFVZrhMkKriSZijNhZrXyjLVg7uP7CrLNA5tsiAl2F2kggTSptJD0FkmMSUwkhmEU1gHNctQUPYHQFlEghDT1yxwPBYjLQZUPLAKuIm1smE4aMYizhVMpBuiQskxkjKyxqe4tbKYFLCWGdC5Z70AdpsqkvP1YtdOtsPeyzljVQYtrLN5Vyx62sON+zH09Ro7kUIakL0xKY8aWQ8xD0xnO5M8LmybN636DKVCah8WbxSfNIQxrJPTz9oYAOFZNBH4/KiZciNM4t4wN2h2WQdz2hrKWWLsSkriBR1GjTi09M/IDfm4UoKgGlDDMfiFuM2FV6Gd2iDTmVCl1bGjUA3MC9G7R5SmExTRwqB0bEDB4UOwQ0CK82zOhtFEhlNSUd8REwrUL6kthVhyzqxqs8tfqNe7gZF4HhiASqo5XojbJNtNNfZofAo406GhFLEcdjduf+A7aK1ekLIhgLcQbLDGcHAFtbp9joFURoi8QR4YVnIDabSTmAYeOFx4jlCO2LVkYuMuZEo2TcIB7FNCvoVikBuoLKPKQNKwTIlB4LdOThqbLCVrtGjeQ1ATiUI1GRPNDLdmH6GHMW763haZU5CcxKZFgNsMuFFicQKMCkHq1BAt3N4xFbuwzjA7he2OtpkK4c8aARCVd+CJNBE6Ppep2kFGA70lENAoDrRUMcYQn5N5pOizmrfj3jfuuZPlr+3V0rIcELC8FT6TAy1gjMUnjDXiIuSL7lL6+EmKqbpCc9yA23N5iIBT0CWSVgyl0QMp5IxZFfEJUKSzRkxlFYWJmUE+h3nCuRDPlzlBXwXpAAfEx4MA80tE/F1DAgok0IIjYKVYG1BWgTnagLNsBUi01TlKScT4L5vkCt64zAhxRMXvQg7iITUD+Ua7ece0b2g0Rw+hLovQ3QDykFvqSEEFSkdGfZVboingN6XpQX1nR85cfVFNhKgJwZgFhlAoL0Ji3n6cDuAiLq5VO51nmIQahtyGDmeU2dHAHxmeFIoOOEIfKfCn4op96EStKfUdKRN5hFRQgxYq4Hp1JxKZ6AeOM2SAucaMq0ZSR1FRuchKI3mJg1fpFgsxhxR3dQ6CJ+myjl+AZ9UKiciOvBoJt6iqcg1mv7z7XYn0CFrj1CSCcg5LAzdnSkXzELnGbyrtBRNhJtlS1aC40t62MPxhryCqANKwWWBOqaUdlisdGjXsZWncgc36daVzRM7wvwkbLLHziWRNOwVazwluHH884fuSwMsI+sqHB6ExkdA7uwRLJglVUfqWK2p1n6hPlUUDIyHFMU1gqOsIhz6hbZEAgcAgoQ5nBsUQH9BBRysKGRqmOftKmkBwr+Etk3mzIDUoCHDoruQRcEeiTNCT4+Ikmfu5MbB5sDGq+Lwh3QVlEfboagAZk3ZS+RJ36YU1UtTzsCGPIMDAFI4D7JLUGxYwOZyITNy5ZNLWw8JQfaJzV3Q+cpcIDqR+mge454HH4J5lGbiMiJ+VBwN4XgfysmAdFNhDanf36ETDx672WhtxdQRMlWzlwT6rHYj5Dn4YuypgoMBhLfwo43fam5uCCCixPh1bt6RQ9woNA4mONtxgq0MEJ2sqll/EeE3dMFMcNHB3yCATtTE/wVsU4R0TIU9PQGcoW+0ErUXp3rbkS5mBo/Rqb1BMRH3HXxhteT5Wo5/tNZqtt/Y3Gzd5GYsh831dqvdXFvb3Njype0np/htk9NIpwLWIMaDx+2NrfZW+421ta0TvMoLJE6ARLvRajfWfhaneV9JC2kUYFxzOZkXCx3ARkFnTxwbNf5plGXprZtlEtqEN/H12s3zZELcmrJJSrUNuIF7KXGEx2tELh28LRN/flhkpFnMVZ6Ej3Qn23TO1TL0mK6PcObHOOVsMVp2xN8teQLK9HB/Y7vn9zZQ7s45IQ5KLdxiHdxSpjzGpea7jHWKA6XrDpTe7EDplAdKgP8C4C2nPtXyHbDvZZXj5J2r/Bs=</b:JenniData>
  </b:Source>
  <b:Source>
    <b:Tag>ZhangW24</b:Tag>
    <b:SourceType>ConferenceProceedings</b:SourceType>
    <b:Guid>{16106523-5030-42e3-8127-3a3eaa9edb41}</b:Guid>
    <b:Title>Sentiment Analysis in the Era of Large Language Models: A Reality Check</b:Title>
    <b:Year>2024</b:Year>
    <b:JournalName>Findings of the Association for Computational Linguistics: NAACL 2022</b:JournalName>
    <b:BookTitle>Findings of the Association for Computational Linguistics: NAACL 2022</b:BookTitle>
    <b:URL>https://doi.org/10.18653/v1/2024.findings-naacl.246</b:URL>
    <b:DOI>10.18653/v1/2024.findings-naacl.246</b:DOI>
    <b:Author>
      <b:Author>
        <b:NameList>
          <b:Person>
            <b:Last>Zhang</b:Last>
            <b:First>Wenxuan</b:First>
          </b:Person>
          <b:Person>
            <b:Last>Deng</b:Last>
            <b:First>Yue</b:First>
          </b:Person>
          <b:Person>
            <b:Last>Liu</b:Last>
            <b:First>Bing</b:First>
          </b:Person>
          <b:Person>
            <b:Last>Pan</b:Last>
            <b:First>Sinno Jialin</b:First>
          </b:Person>
          <b:Person>
            <b:Last>Bing</b:Last>
            <b:First>Lidong</b:First>
          </b:Person>
        </b:NameList>
      </b:Author>
    </b:Author>
    <b:JenniData>z:lVZPaBxVHN5qvFhPHrRQlScibSHZ7G42obTUZpPUJhpLMY1BUfHtm9/MvGR23vjmzWZXPETEevHood689SR4EDGgIohnDx4FEcWCIj0J1gbB7/d2N9m2G5vC/puZ33zv+77f93uz72yXHogSo6Qzdrt0aD2TEV0oWk2ysh4aqyOdjrWyIFzUUZzg7XJUaX+DNmn+wXbpvqDZNJ3t0lgYExfsnL2x8+FWqVQKEgrdzuzS5z9+gyPlTLYz+9KVq7M4oE0duHhndu7t1/lwaNX7RwDOVq9+iaoB4LHvT368C/jk4RlxC+AUVw4Bjo1iePOfx97YB/D0pZ+GGZ7Z+fo2hqMAZyuHv2IaA8BPNtiAHuCZdxXr32UYPsPX7s7wiWHAYYbnF67zwQDw0YVvDyZ5GHDq8lG+aSTg0+Uv+PDeAM/+8R37NBJQ1P7iynsDXPj9/p/3Azx66IcDNOV2Dz+d25O8+PB1PhgAPl7cPIjkGztXeN0+4PSDf+4xXDxybZjh6fdf5YDdG+AtXV68dm2Y4dxrlw/S5f8BXPrst+FJObb67+2A9GZhHHXHfr0U61wk1KZEmFDIVCbdHGfwyqR1WhUTIpE26Yq2TArZTEhsxpQKF5PIKXW6hQ/hzKa0QS4CHYZk+YzMM1IuF8YKrnKacpESocYZ0SRczwmvQOg00G0dFBMySbplcSnG/ULi7TaNAH/C0gUXBtLJnACpU5UUgU4jsSyzah2cA/Ei5a5a97fntFe6yWA6ddYEhfKLeeIr1DoHOaIxt9IQKsbKlEYkahWgHb9owHdDC4KIpDzuz57wiyhsgjp37FMiMxjtz1osLQsrIdpSW9NmPs7nWL6Gqz1NIjJYD6ZCfUCObEunkDjSRCn4Zh1q1XdR8GXswD0Bsr+Mv5NSReNCJbBTh132RLP3gjSwrchMDuvbKEkpwi7Ov9CRlApnIU5cJIuNvyWB0u+IZwKeTRgYCNPzq0XOgg3nQylIVRA1Va6Jhqc30atd2RXSGITolut7QndDdpwbcAJ6EBpvDS+WWaNAZDeNb7GqjEyW0C9bH+V7OHAKWKJl0OMQdk5EVuIrGLjmQ10WSw4JVKaVeYF+iV0CWKMtrTbFEKyghDz8uMgLFbOb/TDDu0yn/Cgc953fuyUzmJFeyI+/EksQ3ktPrXai3EtaDKioRzHXUcod5tRIhzZyf7m7lhQDdknaXo6KxPm29joBZjbipnt7/HwIRA/hxTFCv5GXxRrsMAqSfPcsEYLbykwBxp6GLxN+ztB8ILeRYM3xMOk4pluzaN3ifqwbDA8GkDrICweR2aARI9wqi1VWBG13S8Xx1V7b/ZefCQhjUqyhvxJLbhoX99rV6ydbrtF1ZSzPl8HGgao7mtCFucxTpoS+8vwFm8ZubJceSpBev+ksSEcROjM9Ua20MNWOm2KX0tBgn41k4WJj8y3CtpVQ59yzvEWlkU8L02nkuVHa2+UNnIe7hfPHmPFllBbYJbTKT4kLjcb8ss9AwstY3Szw3yt/j7fzVLYI32EoWzrpko8NRRjRNFqjtFNArjUJle6sDRZ4u/Kl6uWC9itTy7roVQVzILVv2UU45cuSFZ2mRjynZQLJ+y3OWL36cFkHZgCsdIC/i2MqMLrzVLVSrp6cmZ6abFcnob5exnx6DydSKVVSrtVnAp030y185ulWbDKCd9TZWKvXK9VKvVY7ObOOSxDHvVpnjIlKFa8NtN4UVtGqTToidi7LT01OStvR7bKx0ST+vk7WpirT5ep0pTId5UXTdTPQP8T7pwmfB4+/yfGzBpISpR0Fc915DIc70nJ+I+LpCtaQmNyfLvVjcH5EkvtDec5KzsayxGjiE/3Hc1a8YPDsQgYaeDjBUORyPia1EeK5gWxsBczrEeymSWdqIAPeeREHsO8/</b:JenniData>
  </b:Source>
  <b:Source>
    <b:Tag>DengY23</b:Tag>
    <b:SourceType>JournalArticle</b:SourceType>
    <b:Guid>{97182e56-baa9-485c-acd8-865748d0c3ca}</b:Guid>
    <b:Title>Bidirectional Generative Framework for Cross-domain Aspect-based Sentiment Analysis</b:Title>
    <b:Year>2023</b:Year>
    <b:JournalName>arXiv (Cornell University)</b:JournalName>
    <b:BookTitle>arXiv (Cornell University)</b:BookTitle>
    <b:Publisher>Cornell University</b:Publisher>
    <b:URL>http://arxiv.org/abs/2305.09509</b:URL>
    <b:DOI>10.48550/arxiv.2305.09509</b:DOI>
    <b:Author>
      <b:Author>
        <b:NameList>
          <b:Person>
            <b:Last>Deng</b:Last>
            <b:First>Yue</b:First>
          </b:Person>
          <b:Person>
            <b:Last>Zhang</b:Last>
            <b:First>Wenxuan</b:First>
          </b:Person>
          <b:Person>
            <b:Last>Pan</b:Last>
            <b:First>Sinno Jialin</b:First>
          </b:Person>
          <b:Person>
            <b:Last>Bing</b:Last>
            <b:First>Lidong</b:First>
          </b:Person>
        </b:NameList>
      </b:Author>
    </b:Author>
    <b:JenniData>z:rVhNbCRHFZ4FI0VCQkLiEi4Up3iFZzxjr+P1LhB7bGWzwbuJMnaWJdmImu7qnvJ0VzVV1fMDCzIIJE6IQ4AVEMEh7F5zQvIJTiBx4YzgwJELRyQkE4nvVc9P99grreMcvJ6ervrqve9973u1/v5J7VNxogPutDmpXTnKeCzu5mlXGN6KtJGxVEtpFkavyLiX4MdZrJJ+g9TKvntS+0TY7erRSW0p6glacPrSf0/fPa7VamEiIne6ffv3f/8jngKns9Ptzp9/R6/EUIaud7rdPnyV4bF0au2CgAeNJ4TwMQL+7PE/K4CaHi8D+L/HlZTfuk7vLgF4GDzeLgOaE3q8DOBfHuNzKeW7tPISgG+2nlRSvr97yZTffPSkkvLh9jNUeXvv9Me/nQG+9GH8Pm0qAL/67YMy4Gf//aNvPgPg8z/5zxxw+4UP2kRbAfjFT79Y0eGD5YUIr5yf8s/p3Angl8Y/mKfc+Ns6PUwBd47+QIddDPCFv16neAvA1nOPyoBnhf0sgOWU197/RaXKb3/4EQDLEV7bfq/Seg9+uqDDiwJu/OPX9DADfNhZqPJFATdHv6JXc8B3Lgm49blfVoX9ziWrfOODR5WiPDy8JIdf3v9N1bE7C718UcCv/Ou9ig6/93CRQ/GtXDsxXrr5ih6KgTArzPUES/kR5pEbMx3RsxVsqE3fMm4E63IrQqYVC6UNjEylwngaYI8ORYIlKmRKYIXjtl+3mQhkJAMWCitjZVcA3ZcqZpwFRltbD3XKpSo2TxZhL6YhThBsp93Z8UA4LAJMnjjmNOsKJkZOqHC6FDEav86y5T2CF47xpLHC1pqtzZvsHqcTEdjrXPnvrt9k+7K8aCu4yW7pysa15tUGu60YD0NJ83eFWZ0iTeF6OrQsyo0/1YBBCVooIKN4gi+szk0gkKvNgx7jlhVJzsng5utycGNtvbnRaG5tNLcGLfZWYBu7+w9Y60V2h4/p+HWmM6lwMEvESAa4ALDl+3k5wNbVFYbscbLhU/qJDp7HqVCOeMisyENdT3hXJL4mJgbAhPSQO34Gc4GZtTUcMuxJJKK4MXpoSRASh2RZIoubCbOBwEupbUEYKMAXjpgQ3GBnIpVYYZkRdUSKzyGLhcKtp6ybRPYFa++8ccCW96FXW62Er97BBlt+g0cRlFJ92ePACUUKjnCAA75McZq1hJ9B2IYh3VzJaEykDCjW3M7VZdlQoqo5QNX4XOH688+WuMHaY6K8nuYJsiH9cOTrFYu6c2ahDqECJK7r088gQnfriUg9KB7CPKCt1Hh0mkH8vmDUdCFkJBsCqZZfWyov1ZihrPQbq/B+zHC6RBtDeV3ruKo7iXCJDD0o1lHjnpP/8jd61CNlIXRX0BP3uVpQxx2uq/JosJDM4aT2mR7HoYYHbrz0p91yd3Ni09UL55jHzsHl2KLUyxQJaixTqEuzTBhwms7ijCCZejxRzjnbixSQGF8QeBfFNFzZSBhDDPeVHqINYsEio0E/OprKOFneYB1J5Zk2i28PrZIxCi8tqAMiFaGyaQUohXmRZEeUJ/UZPMpIOshXrYgm5plvT8eDPjoirjogUdBgB1Bh3Jvu4CHPXNFiU9vxUvflRDCFE6IhAuokeKu2bmLZyK7s1fxct551NvzaMw+4qfB5gsQrhkwWLAwxPxcOItY4Ed97HnBk0dkJWErywjaHPuBMY4pw34QSgF0ZQsmIW1NDlewgMjwVJCiKx1MlZkI4Q9g0iE4paHhibsowJBzqxUXPoXp2MTqYQ2NTgxZNR03pP9FX9AqJTyKldFFPEifNGy8tfEbhZ10vFcKep0mvuZ9ZCawQlltMAh4rlAruEgnuctgJZIRjSSzwEbjMNFhhYbtYQYSCebIP9AOJV2lpx0Wghet7uU6s32sGzMPVJiWeVIcHAcDclIEA7Y2aT1zZF1OqgUBoMS2ieGbyUvBTH+WkwpPrQYVsX2yMKjgarIlGtLdg6gtob+o/Ee15Si0nnojJAZ0pMWSwMSfqOqojmDo3fqrgGlD0e5JMFfAaIAsGsD9Acl7/Wd7FkIKQ+YBLcAUtoRpv5yb5Ts+5zN5YXY3BUd5tBDpd3du581r97v7r9c6t1fat3Z3vNhLwhbRFuIcgYtjdRr3VTJGgI8LMbRXpk9onY56jOY09TuC0sL+X8QPnbjY21oWTDuP7837is+VdbZRA0IcKtBgLCq8mhGZkN8cW+0O63ymQid9RxFOZjMM9oWIRUwGC+7kIjU6E/w9TdZnwBl6si+8JNcpBxFPWBrgGFSsTOJ7S7FVMCfnU5WEbZlWsj/ZliFtSsTKQIf5AsRSEWo6ebzUb165vbDRXuRnJQWN+t4HvdNUx/rXquKczXBTAR//etfXNzebaVmtr7QivkBcxfETXnnoTJG+mvnQWN6yC5Cs+KHOWwP50GB+aZMSmVS2i0CZexd9TVufRxBiMbpxRdn2ICdoQB3i8gnYROvoaSCh/LRwZCtYmgYStt8e7Oleu5ozwRhiI8B5di4tvJ6XutCvOdmtuOi/PLInatTIgd8oDsjObcDuTCRfhMi8DexxS6M+hg5PRFyjTSqIYvqVE/w8=</b:JenniData>
  </b:Source>
  <b:Source>
    <b:Tag>ZhouC24</b:Tag>
    <b:SourceType>JournalArticle</b:SourceType>
    <b:Guid>{8b592305-f18b-4218-9300-7a214749b152}</b:Guid>
    <b:Title>A Comprehensive Evaluation of Large Language Models on Aspect-Based
  Sentiment Analysis</b:Title>
    <b:Year>2024</b:Year>
    <b:JournalName>arXiv (Cornell University)</b:JournalName>
    <b:BookTitle>arXiv (Cornell University)</b:BookTitle>
    <b:Publisher>Cornell University</b:Publisher>
    <b:URL>http://arxiv.org/abs/2412.02279</b:URL>
    <b:DOI>10.48550/arxiv.2412.02279</b:DOI>
    <b:Author>
      <b:Author>
        <b:NameList>
          <b:Person>
            <b:Last>Zhou</b:Last>
            <b:First>Changzhi</b:First>
          </b:Person>
          <b:Person>
            <b:Last>Song</b:Last>
            <b:First>Dandan</b:First>
          </b:Person>
          <b:Person>
            <b:Last>Tian</b:Last>
            <b:First>Yuhang</b:First>
          </b:Person>
          <b:Person>
            <b:Last>Wu</b:Last>
            <b:First>Zhijing</b:First>
          </b:Person>
          <b:Person>
            <b:Last>Wang</b:Last>
            <b:First>Hao</b:First>
          </b:Person>
          <b:Person>
            <b:Last>Zhang</b:Last>
            <b:First>Xinyu</b:First>
          </b:Person>
          <b:Person>
            <b:Last>Yang</b:Last>
            <b:First>Jun</b:First>
          </b:Person>
          <b:Person>
            <b:Last>Yang</b:Last>
            <b:First>Ziyi</b:First>
          </b:Person>
          <b:Person>
            <b:Last>Zhang</b:Last>
            <b:First>Shuhao</b:First>
          </b:Person>
        </b:NameList>
      </b:Author>
    </b:Author>
    <b:JenniData>z:rVjLbyRHGfdmNxHiwBFBLimJQ2zhnvWTJGwEfqy9a8fOWraXfRzQ1nR/PV3r6q5OVfWMZ5WDOXLgRDggAYJ/ASEk37ghxJUjB5QTFyQ4EWkv+X3V0+OZsR0pGq/82K7+6nv9ft9j/LPzmTc72sTSG3s+c+tlKTv0cZW3ycql1FjVUcWdvEzSh6qTaXx7BykVLihTuF+ez7yRtNvm9HzmTpoRC7z+8Rdrv5vBv0RT6l+v7b79/AWeYm/K12tbnXcEHqinEp+9Xtv89DE/jli99TUVbn/nw7ObVfi3Z/8aU3j8l+kUPnjVWxtXOKWHD7//Gbs0EjK/m0bhP/84Dsq0Ie/84u/8cHMe7v7o3+OgTIvy7n/fmgBlypA/+sP3JmgzZch7h+s36+H+7Z/+/kZB2f/Tp/zq5hR+TL++2Vp+9O0/3yxtHv31HxOgTBnywYfdiVqe0sODX705nsNpaXPwn8/GQ348qZA+qYyn/u3/H1jqKlM50TP2xInZAyo6gryQuiWWFpYW7oknshg/2JRqXjxVcl7IIhHPKj5evCeeZ3Ls6hIfmWrkZGVOSJULb0RCXdKmFK6kWEmtXlEicpNEpJ3wEqPK4gCjTDgqpZWexPrG0bpwVdtLd+LmRS9TcSa0ypXHDaQEorEpSZhUyLLUqp51LXGckSVoonkYsCQsxVT4QbTSR57y0rNLVaHSvsgr7VWpL9krZE66Lz4/+40piF0lHfyTWg+lPj/7rZhFtjqXsrMy1xKbpogteWiZFxvrh8fBwOyzseQuzgm4o00/xBTEBrZYFx+VRhWerMgpRrqVy8XsT1TRlxo+bhvrqwJLQW16VyoPl5cWFlfnOMDYFF2yXtCptzLm7ASxWEvnVDpIGLKPSASMGNGhAhuFV0C1MauKhE4JiWsuNictsS9NE8lsHUoDshQbW4fHUVs6RlnGmUIKLcmENccmLy1lVESOzacWiWZwRE/5DFeTSiLD3laxrwDf7H08R/uHm8joGOGCzfa8nLs36cnSHCMFYEdpFNVxSnwJj4xETbDwobSmrSnwtPKKySm0bAMEVbAiGQ1zVyPSQ2JAO344Xq3xaontyuLAMufmxd7Wg0dRDfiDC+dq32CtNI7gx/HqIEdMRYXftU8w16WRxPhMeuGM7gKHIV0bDgqn+EwWhJoG+u0BpUO8QpO0BbLeEgmrOp/5VibbSC7o0H/rf4ehNJife9J2CD+LToWWIfY5JPSGvb19NycyCXc6UITCSpATsFo6hlJ6j/ucGwUeIRsIQiecGpCyssBRNxoRdEygHdcKGpDRSLQp1CtWU1Q5We5IiekVcI4koAixBUqEfKeVZgY53GHDgGIEP9kGaF4xKVES4LtETQGFnSJCETLaYm+QCDG7s7k3x3S3JqngEmBIQc8IhYTXUWoJzqIDJaqTo6y0Nj2+ZiofmTRCkBG6suDEMF1QCXEFll3yHDDIQmrT6Q8xCNFAD170R222xAY5lRAKGmkcdyehklBv6F+NT2iEgIHhdwDdo5cKwKmCgUR6CZeU89B1gAs52o+NtlIUu2Il26z6OKhG49/aPp5DiHXriY3zEaUpoVEAbtzMTAI1VEjUxjBgLmZUOazEpHVwDOBwkRQxK8nZT74AWWCGnjka6ENAiZY0zxZRAal0sQJV2B2P/laoTyogUndEUA1JDHYDAQvjRZsIHQNq+3AAQsoHQoYAQrUFArbExIzj+h6EAOEgyGWCPEJRFahsQSmT49GRRgqC2pIxrzx+IfvKhuaRUI4PVMh4+GDF6sAnprTjooMihpDrgVOhkf7AVVdxlgAC0KKu1NVgVu2w6woOSrzHjAOuGUyHj3CCiX3RLR2jcnGXi6wJaDx6ZhHqq8vOLC4HTjhiQrw/OeLYsx8ELS1xxHOZZwJyGxwBH1WHPWh6U+gnTV8Ng6MZoS9eDLtScInH5NVjlb0dvmkY7Vrvvhvqtu4gX0X+4BlIWtMZaDXiA8s1looBwviAk80MuqojXmVyovxhrenWyOQo9AOehP/xEXXQfjglznM/5skTdFMvchmYO2xRDXAt8ajiVoUOWkN7CgqoHGGNkoy1oPmH4JrSk6KgHuzgbdOSJKb85Tpk0FCFTYoScZTz9nKpyx+FLj9s4V8FAKY+71QqL7F6oP0wWa64OJbGQcdiKwJOQX7YZjB4+DS0edQRJ4/Xq8z0YuDGZlBYIT0llte62zFrkYYiBMkFFm6PRskqGReTT9CvpWXMU4iS+4wYxvFqtLiQY0/CCoppsoNxfz5zuyMrND/rzrBtlpiU2/g2NllorS6Tx4pFp29L+1R1xeymwVCEx48L+Gid8v05zdqsale44n7OazxvkvidpjJXup/wigy2IIJsk/eZV5lKrNE0c4XskSk6tWx6H3Hj6zrJY4UNoJZ8VrHa6yTbTwbWO88z9RJgXauSF9taNH4ozXViFJayWo6eYjOtrlWI1bdRuFtdH8qFWPJc9a9Nzqjh9ChD0AMfY5Xgz1934sSo0+8uLrRW3l9dXbgr7anqtpZWFpda2MLe+yBRrl2c4acrzjJ8jsCwptOTJysrC6sLy6vvfbD8Eq+qmikveaOPFpeiheW8rNpaoUsPyHIreGUvE+EEzDWVjemx1afvZN6XP7w7cMLYzl38se7uhTMdZmi/5OhOUMsq1nSMx1toL2TSj7Byjx6T5y4NWR3zANzob5qq8G9g/UhRaKj/5AmPvXA6M2Ds03V8HhkdJVvjo+TK/Q/v1vkDm482uI1+U4gjLkJuUmIdCes75VJ8/lSxO0vY/2/E1ZXRYuccifZL</b:JenniData>
  </b:Source>
  <b:Source>
    <b:Tag>VorakitphanV24</b:Tag>
    <b:SourceType>JournalArticle</b:SourceType>
    <b:Guid>{6297a3d2-55df-4dd1-8255-3cf48ae66796}</b:Guid>
    <b:Title>Deep Content Understanding Toward Entity and Aspect Target Sentiment
  Analysis on Foundation Models</b:Title>
    <b:Year>2024</b:Year>
    <b:JournalName>arXiv (Cornell University)</b:JournalName>
    <b:BookTitle>arXiv (Cornell University)</b:BookTitle>
    <b:Publisher>Cornell University</b:Publisher>
    <b:URL>https://arxiv.org/abs/2407.04050</b:URL>
    <b:DOI>10.48550/arxiv.2407.04050</b:DOI>
    <b:Author>
      <b:Author>
        <b:NameList>
          <b:Person>
            <b:Last>Vorakitphan</b:Last>
            <b:First>Vorakit</b:First>
          </b:Person>
          <b:Person>
            <b:Last>Basic</b:Last>
            <b:First>Milos</b:First>
          </b:Person>
          <b:Person>
            <b:Last>Meline</b:Last>
            <b:First>Guilhaume Leroy</b:First>
          </b:Person>
        </b:NameList>
      </b:Author>
    </b:Author>
    <b:JenniData>z:rVhLb1xJFXbASAOLZMNbKNQIjeQWfdsdPybDLMDt+BFn7EwUtyeIFdX31u1b6bpVd6rqdrsjIRmxmQVihYTYIGY9Ox5ClpBgDTt+wbBELBAbxCgbvlPV7e6OA2JoItnx7Vt1Ht/5zneO/f3LlU/1lUm5N/Zy5cbTivfFw7rsCcvv5MbKvtSrZZXl92W/UPjyDqdkuCCNdj++XPlE1uuZ88uV1bwQdOD5t/6587MV/MuUyP3znaPbtxmeUm+q5zv3Pv2rn+NBjGTmCzze/uKHeJzzuvJxDf7hr/RqZvDmd5czuPfDV3cWDN6id0sY3D95spDya5rsL2Hw4OaPFlLe/envlzN42OYX8wbf2FwywsO//4RCmmG48T8U5QsdokY0eP8Xf1ooyuF7S1b5yL+ykPLStHmw/c2FlHf+uCSGD/5R08Osyu8vafCt33xAOf7/Uj4+//NilW8tycOTN7+ykPKrH1DjfEyDn3+f0poYfP54IeXXfr1kyg9/+95Cys2vE4uWMPj29363KF+3lozw0VefLQrszf+mKB999Dc69lKD4/aiwc+R62Ui/PCXiyl/9kWD4t3aeDFe7e2JSuhM6j4zmvlCsNJ4ORSuybTxjCvFeO0LYx3jsmTeMHHuLU89nXWCCSVKob1jTpa18lwLUzs1brJeHY6M2cjUKmOW48Gy3KS1I08ywy2Zj8mxq0Qqc5kyV/f61tQVfOksBGOFikOQ8dLgqISnK5ejQqYF41awFCeQET5VY6YED/kgVjKRWhFMMJOzIbcS8TFnWIrURMY6u6cd8uu5G7gWu29GYihsM9xEntphQJcInNu0kF6kvrbCsbV3uBtxLZkgiFpNttG+c7fBRtIXrLIiwU2pYX2gzQhe+oKt8QFnB6bWWQzmxGRCwdDBiWs0mNS5QvQpoe88RUr+Hx4/YiEuSoWqYZGjRLqcIEsiZvOBhZTJNcutKZlLgToQgjvOFLcIIzW2ogLkDHHwWKVJachjT8B7JSwlHSpjVB3hRyHGwVDGK8+TKaAIn63tmrLkbhGOjY0Gim1ZZkbaeZQA3IkQHwqNxUcRR45DTMdc92sw8wqT42OAggLBG3JDPVgBxk/j4gRTSOkF2yHGSOQYKzKSloEs8KIRWU8q6SWV7zsFB5FnwW42mqF4JpIWt0ahyRwQIYt1BbhE1mKnNTGOMCAAKMHrYUg3JdczYU3CcCgXo8QVqCC4aTVZXNu1uDYfQ7uB8o24jcT3aDOGsAFVcMWryhrAQdETlSKK1Kmsc0Qu8EHnqNFiRxo4pJTvGL7QxuEFGJaqOrRFGVFWcgDoFS/5Blvrmnpo4eUFSMLrTXanyU4kMuSKrT2QqNaL504kacLL3m4homxk7OBy5WbBe2Qk9ePVvxxpb01WpxTQPoTAj5MOyYBnp6QL1N+sa2WlYGs/Cg6hsLbfOe3uwyNHPwyFYvFSsssd4J5d7Wiuxg6FWKP+BrBUlygXwBV651iXuOcnXpPZ1T1BzRScdTunew3WGzMnKk5gI1geo8RqLvpY3akcotVHsrkx2dferTkoNqaGRiuSEmQiD0pA9iP34vFScNVkmZV60AhqFw1fvUfEXsAq1KbQwqEfJmqX4Sgjm0mfNMaCUgQEejE1JfA6h/8mau9ZIVSFdCvjghraWiCRaZp0vogiNUkJAQd1DdVosSfQ9vNKGVIV4iMhiEuhAKQLQzKa8mrWVXirpq08IVkv1IVacSalkPJ5yQpKZWoLtAxCxfFaQ9hElijjcHbCezaUHCEOhGap4s6R9sXOCJHVIcfd/cfd64I430lol0loLnSyYweIOeluN+MPZ2qD7sS+uGoAqs+U4wIgmyAzmcxzYYOy4Lc2HWCF30JLTKKZAxKB9WsC0GSPQKkSZLNsP0cykq4foCCsCwBIIR7tH3QbV2aOzSh5zPWAdYICR4Yem8cddFg3jG2kNa+RhDNqOOSqJu2ajvdTXu7jswQT63Wom06LkttBGAcOpLECrA00Ic7gfM6hhkQtjE5HNmgDgBrQe2psKPrbqB5dIuTDnAoCjHUhDK7/pOHkIDIqVJGmEVcYzlJjA/Gyj8BhA4ck/IOjoFjM08ln6A4/rvA9dM8MlLkSTNkx57XFzhRaAIZpAI0E0W6IZYRlwnNJoi21i9If7IbgwyiEeZGYPEE4CbeElMPC43B+2nlz7cUnAtRSPEUpQOs9Ugwo4nbS/kaJfQXeQMkjnZvLlU/2JzvWhYqJHuDL2Kzd2t4UaEfY/jK335ZDtnbPWC2wlJ1pcNk6EhtF1qwEeLDwA9oUNYiF//Ocl1KNB+8YywfSVwW2sz6u6f7kk8waJcJuuXhDQE9lGs+KE/wlwv27k/mJUMgjHjWHtVQFr0sMFpB+HC+lMsPfM1bTzMjzL91pt7be2N5ur3N7Loetja323VZ7q73dzqTr6Qt8d/qiMFhJOZIePNnaare3Nrc2268/xas6wviUBkvSvpu0t8qq7inpsL9EJG+E+Ox1lAYoF1QmFWdWnbPC+8q9uT6Jwtj+Ov78sj6Lpk8bIciFRAeotUyV6OLxBvglTP6W1Nn8x2AO1hmcVSmEJ9sd38Oe51ewEgR9SEX2hBolfjqpZ7YnRMXuoXJElzOdIUxsz2FCd+MaEOdioOFkNsaZNZtzn2GzSQeuX1svc/wyIFN3kVEur6T1y1PHWJ5L/V8=</b:JenniData>
  </b:Source>
  <b:Source>
    <b:Tag>FS23</b:Tag>
    <b:SourceType>JournalArticle</b:SourceType>
    <b:Guid>{446e054f-5a70-41e3-b440-6959261ed930}</b:Guid>
    <b:Title>Large language models for aspect-based sentiment analysis</b:Title>
    <b:Year>2023</b:Year>
    <b:JournalName>arXiv (Cornell University)</b:JournalName>
    <b:BookTitle>arXiv (Cornell University)</b:BookTitle>
    <b:Publisher>Cornell University</b:Publisher>
    <b:URL>http://arxiv.org/abs/2310.18025</b:URL>
    <b:DOI>10.48550/arxiv.2310.18025</b:DOI>
    <b:Author>
      <b:Author>
        <b:NameList>
          <b:Person>
            <b:Last>F.</b:Last>
            <b:First>Simmering, Paul</b:First>
          </b:Person>
          <b:Person>
            <b:Last>Huoviala</b:Last>
            <b:First>Paavo</b:First>
          </b:Person>
        </b:NameList>
      </b:Author>
    </b:Author>
    <b:JenniData>z:7VZNjxtFEHVIBBLixAm40AcSJVI867G9WcOFbAJLIjZkpd0QJISi9kyNp7M93ZP+8EdOC/yq/SPwMzhFCHHhVY+d3ShIkZCQctiD7XF3ddWrV6+q5+fT3uXKOjVT5j16Fm2g1ZXP9qWbkdDSzKLEQ2NL0l5c399/4G8IW1XkRDSto4JKMoFKEWgZRGGbVlNQ1ohCtnKqtAqKfCZ2vZiRISf12tVNEWpawcqIKupKaS2kWKiShENMQgjhrCbYKVPoWCozwwnr005jHQnfUqGkVs8RvPOZicckpPfkPXsXLTnk1UhTpFPfHBz1x0KaMj2Nsm24Fs/JWeFrG26KihbpKZlUylA/RAPnnkJAeC+QFbuVHDn0p9KnTRNUgy+cknrlFUjavXO4e0ME6Y8zsXfmZxNVFrWiOXkk7IMM1LdVH3770gWxlwtfcHbAOxllk03Mp1ZxiBQZVLtGgG4ni0Q1422tlk4FMKrBgKpUIdMeo2Bn7OSQmq/nUveHg3wsjnhjDHqb1tk50xtb2N83PrhYBM5B/HjbF/Aqn6j1qpx6+WQ4GI5+EtOV2M52rmbinl0gG8cFRfJQAGcGkFwApzrq88FgIJgn39Uu1Uu00smGkA0OIIVQR8/VdpSYVQYiI65dYX1ItS2VL+K6uPzhjf75KoOSkvmsUKwK5qxTrs1Gcxwm1el55yCsWhClBTlngSLUHfCVaOQxZeJhdMKRjzoAofYWmEomlg/DsqQglQZUMNi0sOm4fFV4a431z5RFi+7PS11NI3bAisGiQUd5L91KwMN5FW4kfsQs0xydkrx7ANQ0l0iSD7RrTTCnCSP7rSS6FM0V6o612q7L0uEWZND6RI5FgEp6lGETmJcWNRkRPT9y+6c4LI+sXFh3fNr7sIYskhgv5sbF3LiYGxdz4w1zQ8uCwVL5FSiZQRbb/TxvCmtACxDcN5XFK8lMRjSu8yca9ADdHj7WlYNsNMSkCJqWn0j3g5qL63etM4RB8MgohgE139DszSkwBA+/nPbeKQ0kg9+qko3Sq+leRjNYG3uomialcFMcyKhLnh691w/U9yLULrXsjtGBlHPbGVe19Adl9aJQpT/tXSlKq5Yf54NsPNneHmxJt1TzbDjCQj5BqtDi1Jzg25uT2rYEVdHy+PF4NJkMRsNxPsTWQ/niKQxix9BTbpx+PugPd+rNYJ2Sado41crXG8IuJcTudTKOIUUbXUGPnF6KOoTWf7G1xmXdbKstq60zfDMfp5A3Ur/EerDVtxDvn1Cs1ivQoQuFqX1ndddGEz4IjtbNVj7GXeDTam9dns///S5gGbxhFFbBor/8r6e9d6vSNlAFIk9VKUcpx2cHNay4/w4LxcE9VYp02RlN851k1d6FSCOmxMYKe9URJspwkvbNEQcRDxgVyk9pfv795R9/udu9Xq8GDeeclvnOYJiOLXZd4DEJLWDoBVCtcEMV4Ot/wHrr1jjtL68eviRpd3Nf8FB42CrD4/oBfs7l8Pv7b08O+STvcrj2nQyRb/L9jSIOnOVBwBPiiIraqGcRvjdJ/DY5+S9JlKzej64VEWr/lNX+ithxE50T+zG/wXzPbWLN5X8A</b:JenniData>
  </b:Source>
  <b:Source>
    <b:Tag>WuC24</b:Tag>
    <b:SourceType>JournalArticle</b:SourceType>
    <b:Guid>{b4bd9ac8-68a3-405b-b2c7-e8c204ad76b9}</b:Guid>
    <b:Title>Evaluating Zero-Shot Multilingual Aspect-Based Sentiment Analysis with
  Large Language Models</b:Title>
    <b:Year>2024</b:Year>
    <b:JournalName>arXiv (Cornell University)</b:JournalName>
    <b:BookTitle>arXiv (Cornell University)</b:BookTitle>
    <b:Publisher>Cornell University</b:Publisher>
    <b:URL>http://arxiv.org/abs/2412.12564</b:URL>
    <b:DOI>10.48550/arxiv.2412.12564</b:DOI>
    <b:Author>
      <b:Author>
        <b:NameList>
          <b:Person>
            <b:Last>Wu</b:Last>
            <b:First>Chengyan</b:First>
          </b:Person>
          <b:Person>
            <b:Last>Ma</b:Last>
            <b:First>Bolei</b:First>
          </b:Person>
          <b:Person>
            <b:Last>Zhang</b:Last>
            <b:First>Zheyu</b:First>
          </b:Person>
          <b:Person>
            <b:Last>Deng</b:Last>
            <b:First>Ningyuan</b:First>
          </b:Person>
          <b:Person>
            <b:Last>He</b:Last>
            <b:First>Yanqing</b:First>
          </b:Person>
          <b:Person>
            <b:Last>Xue</b:Last>
            <b:First>Yun</b:First>
          </b:Person>
        </b:NameList>
      </b:Author>
    </b:Author>
    <b:JenniData>z:7Vc9bBxFFD5DjFCKSJRAwZS25DvfnX2JHSHFdhKUENuKHAcnRvzM7b7dnXhuZzMze/ZRICMkEKKgREggkCiQ6Cnc0SFqOpoggZSCApEGkAv43tydf5KYJL0Lr3dm33zve+997+3eezuV0VSbSHpjdyojtwqZ0nLZaZOVjcRYlar8RKeIk0sqzTT+vIOVCgeUyd2HO5Wn4nbbbO1UTiQZscHuuT9PvjVXqVRiTYnfnbs0+gkWlcibYndu8d2ZbSxoU8U+25178cK9r7A84LXyEMC52p1/vt8HbP743dt7gEsrv7GvIeDV9S8eB7Dy2U+/HAD8+7l9wJWff2e6Q8Dlb9bY9SMAz+2+ylZDwOrdLxm+D7j60SleDAEbX3/MhB8FeO+Pk8xpCPjDM4zfB7w+XxwEXJmfFk8O+P5rzGIA+Pm3jLAHeOVfjuUJAe9y3oeAf/16sCgrL9+5nyHdLo2n3uin823nrYy8mHcFRb7alo5i4Sj3qoOLkLnUPaecGJtfuDY/PiEkHt4uKY9IaNkmrfJUeOk2JkQmnZA+oAFC5ZEl6fgxNhnP5NgUnVJ7xadKqUVkck9b3tXEWqY0icJSV5nSCUuOpI2yAJqYqGRWWtqUdE8AKFE5VX2ZM7yxAk5VuO+YmLQTHItKVCQ1zNFGgslPiE0S1JW6lJ7JAwxXJoKbwcGxxcUlNy7KPCYr3iFrqi4znnnGKjSc8EbQVqGNJeFRCisKJBLRIRo88jLaQBw+Q8aiDO4pB/im8pnogGGHrZCs6pCgkLEsfOhl5ICCoxLVkLjrIBsZ5U51QbtTKMvxDAPgbJokVMMqcnzP1Dk3hzLMgQeXbgLZ75LzKsVppKorbUh1YeEp7LASPKWAY9tIl3HfLlday/1sTHBkKq+apOozU0KMYuy8WYU2HOmkqsDbdInVM9iJqQ1cSCdnZWEDUUJSSFvUw25kjXMC5SMRqyQhy7rr16MmVsghHAc+McJH3XwmvdgMagkBg9FmiEE5Yn1l8BJE+UAaJrhgPZFSjuEahIErn7ee0zeUFMUwPFSjIZdl42Vbg7JDjPqQQPpJ5DIgKmFKX5CF7jo4C6FwLTVtHUowBfjAg1mjp6sQvSltaKy+Kp3QaoPExTzVymU1sZqhLZgoF8b1VeqigRRFTugRFntSWqwtmohjCm3cl8egu2UBujICWFAzUh55iAxMZByDhNtXzbA6MZ5b+N5jVhNXqLdpbOzOiqVDme7PkYXg6dreHJkfzJEJsRgab3HYeEuc3Amucz92FsnFfY03xOXcW8NNwcvHm1ICd0fNKc52Ln0JCex3P/IRIW62GVtevDq+N3J4ZsXsJunxw6CRlIdNmHBc4T5NgDIbdocQXYnJxdMwsBWebAcLBNafGNI5g9LzlNwPoTCYSMr3xOuNN2oiRmo3diqnMjmYz70T9eMJfTyhjyf08YR+3AmtZcRDjeILHFKz3mxV67MdbmieX/YyxtdO5elUltCIddsaKcNgeAV/GOv1WmuKvPJIygvS3lBdVpDNCfW4ngdXmFXjmtGsapc44j7gr9Rcdgj/k0R2lO6110oks0t5dh59kvZQeWs0he/Z+yyXZN+SFmCgjjKjdagnHViuQyzlUZbxBW7svvNlFKNX/o/zS9S3TG/K/DaMjzKMbpQDy+gmahusIhXjN9loFBu19XyjXpueabXqk9JuqW6tOd1o1hrN1unpWLl2vo2ry7e1KSifD8W5HLupqXpzenb2zMzUzGyrXm9NNU9nbCCR+o216el6q3W62WxM3cLZsl/MWyjmdLXRrDbOdIqyzdIb1nMkMLYP1mpjqN3rVm+9lHlfnJ0csDQ2ncRPzMl9tqkr275XcOQb0noVaVrFcgQzjUxyBfI+uE2emwS2OlJ4sSz0zpsy9yMe6uZREVG8hreZC7uVgajeHL7jMQfWuUmvcZM+yZdEmNknxUO/J1yC30EqctsxR/FsVD40ZrxbD8T8Hw==</b:JenniData>
  </b:Source>
  <b:Source>
    <b:Tag>LiskowskiP26</b:Tag>
    <b:SourceType>JournalArticle</b:SourceType>
    <b:Guid>{1f174fd5-1e27-4619-ae72-63674c594db5}</b:Guid>
    <b:Title>Large-Scale Aspect-Based Sentiment Analysis with Reasoning-Infused LLMs</b:Title>
    <b:Year>2026</b:Year>
    <b:JournalName>arXiv (Cornell University)</b:JournalName>
    <b:BookTitle>arXiv (Cornell University)</b:BookTitle>
    <b:Publisher>Cornell University</b:Publisher>
    <b:URL>https://doi.org/10.48550/arxiv.2601.03940</b:URL>
    <b:DOI>10.48550/arxiv.2601.03940</b:DOI>
    <b:Author>
      <b:Author>
        <b:NameList>
          <b:Person>
            <b:Last>Liskowski</b:Last>
            <b:First>Paweł</b:First>
          </b:Person>
          <b:Person>
            <b:Last>Jankowski</b:Last>
            <b:First>Krzysztof</b:First>
          </b:Person>
        </b:NameList>
      </b:Author>
    </b:Author>
    <b:JenniData>z:7VbLbiNFFPXAaNiyBFa1GTSR0k6382aDnMxDwyRKRDyEJeXu290VV1d16hHbWYXhJ/gBPiILVojvgQWIBRtOVduTjBg2SEiMlEUcq+rWrXPPPfeUv73uvV9qIyqhPqBzrx3N7/90SkwoZ3Thc2JDkzuRJ8O9k+Eq4yzXUhJWtGK6ZK2ekim9ZI0uSFqGVMwQl4kUJTFuW4QmY26pYJaUEw0+GFdczq2w7FFIutJnR94sE3BDzHEhtcERp3Fd05DJBZdMERV2lTnDhcImAHAmuakIQab1NuLxYylyVnDHGZdaVVYU2EdWgJRzVpEiw12AM1euJlQWg1eB2nrphKpQOhKHRUuODVIWUNvuJsNczRU7oebJBZfZRp+BKpo5UgA7b0UOmKGmZTXjOXZbroqQF9cx5ZsxsgDpDR255NbihtLoJgZZhxPcIGVtiNijVlvhxAWtgoKKL795ECFXAkdlXOFFvKURM1SHBMyridJTtcy/yqa1kGiKtJqdaTQYfLSgWaCbOKgvwIyUzKGeN5oFrnzbahOjmkBSizSSq8rziuyCg5ZMd2AqXB00YLXq2DxbyAVklOhc4nzcwMp+jVYmukxGtfZV7dijfT1aQTLe4AqIAXffCJEzBYzyVm6gj2qI7FJeK3HuKWqQVI4OmEQrFLloBlqHwkSlRIlGxfJF0xrktKwAUdYhc/MGxgCgk4wUl2Beq06s67ubh0nLDW/IoZ2L22L4zt6tjYIWG3kt6IKYb0O/spSBrRxkgT+MEEq0rBZVHSNzb3g+74T27HiUbOiYd19yDymv9zfZiVaK3LKfUGnsjKJpUI6jQChklHDjFqrGaKiorNfCZWNgrhtuJn02BCmqQqbYW4nvHjKOpLEG7GIclWU728lu9vAGH8+NthZHZzdSiL3X3qHuyvAoxyfILGwdCkZfGq5yioIxJNFGuAumJYFmg7XEEUsshohu8DFeVSbKHtmy7eWExylbDCmE0oHZHaCRAbLtF1NtJte9D2s+Rl957u5s7c7W7mztztbebVuTAEqQffEYjFSDdLCVpFmT61gNmeeq1PhBV3EPwMZeSSgB3vcUf9oUaX99AGtwkmafcPO1uAjCNIowHS8Vhs1gHucrMmQzYuxxxL667r1XKLQd/8uSN0LOxYGwEz21E0EVDqnymE/p51eF0ZJ6bwn/gqvb4eKFuZzbS6fL7kRZc3tclL/lorDXvft5ocXs4yztb+xsbqZr3MzERX+wlWb9dH13Iy2EHasrfFp1VeuWYLk0m5xuZ9nu5nq2tRsCjvjvZwjwHUlnC5KSdLuJJFvosePpXoRq/s5BZf0Yvocq7mE2SJcvhCr+IAcfmaMymQtY7d58X3vlehivkgz6SsUp3hzbrS54fnYQm38Smz/s3o29+G6cvLai4fLdiBbz5dIGEoD0IfLg4NCWTsOG7XfXvQdlpwXgGIuCr8cazo9rZAg2fZKLAMVSKUgWXdA4245R7b4GBWGAF1HYK0dZurW1EfdnD98CKgzpUQszwqwdRk8ii4eJ/vz8lx9/YL1erwZZty4rsu10ENNNh/BWeFJ45J4rB4oFTCcHq/9BDelgJ+6rUSCKHYYxv4X15cH33/xfsGYQdsd3MgqPUmD4sc595B1+aG108vi4jIL9a6krgSsWtTz99cHVv6mlCJL+6FMYnZyt1M619rO1NYxbX5tq7R8nbhJ+SH0V5kKr3l8=</b:JenniData>
  </b:Source>
  <b:Source>
    <b:Tag>FehleJ26</b:Tag>
    <b:SourceType>JournalArticle</b:SourceType>
    <b:Guid>{e5c82fce-c5f5-4314-9ab5-f8b1f79c90cb}</b:Guid>
    <b:Title>Leveraging fine-tuning of large language models for aspect-based sentiment analysis in resource-scarce environments</b:Title>
    <b:Year>2026</b:Year>
    <b:JournalName>Knowledge-Based Systems</b:JournalName>
    <b:BookTitle>Knowledge-Based Systems</b:BookTitle>
    <b:Volume>336</b:Volume>
    <b:Pages>115277-115277</b:Pages>
    <b:Publisher>Elsevier BV</b:Publisher>
    <b:URL>https://doi.org/10.1016/j.knosys.2026.115277</b:URL>
    <b:DOI>10.1016/j.knosys.2026.115277</b:DOI>
    <b:Author>
      <b:Author>
        <b:NameList>
          <b:Person>
            <b:Last>Fehle</b:Last>
            <b:First>Jakob</b:First>
          </b:Person>
          <b:Person>
            <b:Last>Kruschwitz</b:Last>
            <b:First>Udo</b:First>
          </b:Person>
          <b:Person>
            <b:Last>Hellwig</b:Last>
            <b:First>Nils Constantin</b:First>
          </b:Person>
          <b:Person>
            <b:Last>Wolff</b:Last>
            <b:First>Christian</b:First>
          </b:Person>
        </b:NameList>
      </b:Author>
    </b:Author>
    <b:JenniData>z:7VhNbyNFEHUALZyROID20BekjZRxPPnyhgtyHO+ybEKijdlI3NrTPTMd93TPdvfE9p7Cxy/hX+QIvwTthSMc4MSF1z1jx/lYDkgckHKInZmprnr16lXVJN9ett5NtRGZUO/zV5V2fPbgpzcXP5KjypBUKB65SnFGDg4OSU4Vk9wSw62uTMIjm1B8EZtwRY3Qloy4c9wQB0tSGn4udGXJydGwR2hZGk2TnNs28e57ighlnakSJ7SKliNJetgjm+TxHoG94OeIqPikdlNyA7QFVQiLXxCJk17/BP4VI4ONAXHUji3RKjx5wa2L4h3CKG5zF4xunRr2TvabY/7Z04E/RStDlauhPuGTyObaISNdlE6ojOByYsO1sP4ajFTS2TV41lWW3yDOEjcrRUKlnM1TmjPVHAxAqOGk0PjgaSoSwRfxgWru0AfzHtdIolUiLG9AwQMOVrYKQWw190BECstihOOMTITLyYRLGWmkUYjXuJfPQGlJDS048KA4w1xYYl3FZoRPSwk8gA++KsTS6XJmuuSK1EogkprMf6qsovil0IxLSx55qKuB1p4teeKiEerAyAmQicLD6ykqZxYRH/X2TnqrPq0CaHyaCCrMtYIH/KiN45FOIzyPqHHkkRfGKgH+XLNQ+oHKpLB5IPUp94fnCrC1j1Qn0CUspZ5EczVfybjthRPK0ugohQHxAMHsqJZKnQ/pA0ymzYzsg74gZWTS30ciNw3uzBkahOlAsWioI/8VgjyCkHE7iNPziiO1sysfS+G8fleDIn3fuVvaq7uWSBTc4Z4zVAQZeUre0rpJZYyPcqNzASmo15+G/JCC81bLJaKJ0daSc+8TFM8bz0JroPU4aNXroagkDfB9ktc1SBqZC5XKinunSwEWHXZT/joFlkb4UEqOi+u6R1N5xtB6S70EuWtCreXAnHHFDZXiNR0JKdxsDa3iwzCMKMAkdNRArpujyRSJOFF6fhvtgyWmC3Ds6UJyfnBiSuYgP3EVxOZbLIBgAGB9hFSYoq7dMpWZ94EeRF4M1ZkBSRAjqucElQS8+lm0hqTLUpswl/xzo0eVdcqndL1fgxr0ORhegGYCrIRSL+AH0E0GbXKKaYSOG4V+Wkzh+dS6MWZDvy2Nz6uuC1UWWS7x48KZ0lBUAzORnIuG8GW48zlXzw7fFJChhL2vgCWVYkjjlqQLNJsBN2020WZ82fowpyPsGES6X2r3S+1+qd0vtfuldr/U/q9LTdIkAQGc7fv22+hs7ESduADVDpbcPFOpvmy9l9EKajL2Ao5KwHmCH23YdrsTcyec5JPnSk8kZxmP9urBNYPkC5uea1kV/OOV43Lh80ADnDaXrRVRgscX4JNftt4RKK51x7jzSWvl58Nc0qUr6U8bMapw0P4Aa6bQA/hOU1oIOeNPeC45z6Baxb+kYz1iRkveum159txUNsmh9Ne1efI1028zzr7ADpiIrLbUXwmM6j5odagZZPmWU/xUS6glnBH93KD7BeoarNOc2mOW/pEIZkFswrSYPow77bgT76yftcdK25lt+zq043h7o9tlwo7UBT6t+k50drc7UbezHYv4cXcj6m51dnO/XKjk0/FpN453t3a3Nh77Q0f0zzMcqurKnjWVjXBgLuARV0VZBcHOC70SMhkPpMXsgm72XmZ+jmPqILsxdohIJB/icgXi4jp9DhKWb3PntypsZeL1tjfr60q5ljM8NE/C2SneoWy4+1GtnKk9wJY3FP8ryK6JGhq/e1d6odPlJWkXw57OF4ZQt969uDoXRitvZ1On8Zphv79sPUjrDgbmkWB0MxDw6jiHF99yJ/7dAA3CU8Elq41GcTdYlX0M1MrP4cYKz9Jh3NnZ2QrPp5/escl8fx+VaEJMhMPQi9wmeHX46/Pfzn79pdVq5SB8KRiLu52N4G7SA8/+ZQWwnikHYUKXiHorh9pcn+hgemcGm7XN2bGdJbmWOpstsNe5TR8OCr1YO4daM8yuRGd+oqLyDeT09wcXd0De3OhsNwwMphjUgQJA8a76tQ8sl6vY/0UV4u3tTo0hGmIzhNj7eJkJ1ehjtljPZb2mhjzJlUciEKJJ7ZudN/+qGsw3ywd4LZDTtdy50n62vo4eb2uTrf9Tm4/9Hxcv8V4JQCt/Aw==</b:JenniData>
  </b:Source>
  <b:Source>
    <b:Tag>ParkerM24</b:Tag>
    <b:SourceType>JournalArticle</b:SourceType>
    <b:Guid>{9c4e8bba-981e-4edc-855b-a40ddc8d550f}</b:Guid>
    <b:Title>A Large Language Model Approach to Educational Survey Feedback Analysis</b:Title>
    <b:Year>2024</b:Year>
    <b:JournalName>International Journal of Artificial Intelligence in Education</b:JournalName>
    <b:BookTitle>International Journal of Artificial Intelligence in Education</b:BookTitle>
    <b:Publisher>Springer Science+Business Media</b:Publisher>
    <b:URL>https://doi.org/10.1007/s40593-024-00414-0</b:URL>
    <b:DOI>10.1007/s40593-024-00414-0</b:DOI>
    <b:Author>
      <b:Author>
        <b:NameList>
          <b:Person>
            <b:Last>Parker</b:Last>
            <b:First>Michael</b:First>
          </b:Person>
          <b:Person>
            <b:Last>Anderson</b:Last>
            <b:First>Caitlin</b:First>
          </b:Person>
          <b:Person>
            <b:Last>Stone</b:Last>
            <b:First>Claire</b:First>
          </b:Person>
          <b:Person>
            <b:Last>Oh</b:Last>
            <b:First>YeaRim</b:First>
          </b:Person>
        </b:NameList>
      </b:Author>
    </b:Author>
    <b:JenniData>z:pVhNbBxJFXaW7C5CghsCcWDrgBSb9YzHjp2QSKDYzs9msTcmtuNdCQlqul93V6a6q1NVPeOJhGRWXJYLEkhI3PbAiRtCHHxAQuLACS4IceHA3zEHDkgcIhDfq+6xu50NStZRbE93V71673vf+97r+e7x3KupNpH0xh7PXXhYypTeqfIhWXk1MValqriYl3HylkozjR/vsEqFDcoU7kfHc6/Ew6E5PJ67mGTEC57eeOWNrRtzc3OxpgRXl6797te4irwpn97Y+dRnBS5oomKfPb2xu3/wbVy2Tn3tZQ1+51sftg0++CavPI/Bf/4Mn1sePjmnh9+I/sUWTgwuv88InMfgn772l65BdvgcBu+//QE/Og35iCE9j8Ff/aGTlP177PA5DO4uf7FDmwd7L2bwLpv4SIM/zboe/pufncPg3ud+0aHNg3dfDMPnG/z+f47aBgdPzhny3n/vdGizf8D2z2Fw/9EPO8Te//E5Mdz/x5/54hTD916M2M81+ODdSx9PbRiZE4O/Zxu1QfHhD7q0+c0ZDF9/EWK3DH7p+t/btFm7/uTlDS5GG6chX/rjlTZt7v+8f0YPX9bDN80HnaTs//aMfL1OjyrjafrqL29SSUWsilSYQviMRGmp561UBe4tCk82d8KVFKlERcIbIesrqdVjikVsciwVrooyIaQTKs+rwmiTToWxYqhMTrGKpBZUoCsRWT4pl1NRGC8yOSYxJMJ+/hVX4enp4WwiPDGFngocMyY7FVrlyuPoR5UsvPKKXF/cZd+NIxFJRw5utwPB2tzEpPGw4GOFjBG+9ASjkSx9ZSlscJSzxcgJk9QR1dGPlRTKO0FALmaocIBMOWyVlzLyveA1n0gW7RdGImITsZkUzluSuZBlqQFDaL+1aWAVaekcwxruC1nEuFU5HNpYlD5AZdnRkB2O8NSLvrgNgOhQ5qWmRbFFeOiF1H0xvzJYGSyIWLmock5kZiKCg/VsgGxs3Lq/JybwoQ0SjkipwBChZ2mNjC2NlYB8ROJAjVSJbMrgqdgwZrSJ5xXQmGQKIWkZjRBcgogUFR7oRVkRkt/iwRhTyLDSEolkMxOLDCJY4fxUcyb3MuWEJhk7JltpEGEH1qJt7J2tHeGlG2Hfnaod/PICsoxAp48pRB8ZJLaosKVNb05SQKJrtRP1TjXcBjZCDpFKJNsFt3e2N0VSad3zdIhTLVgD74VTaRESWngmbF5aM8btMwEwL3oNMVrHhkBwODhlcSKi55TNMhL8DDRmjEiMiIkhHRNKRKEgcAYyMW0tdYE/OKpKU01ionzWpLZ3UtJaFmkFYUAUdRnUeQz87a48TR0y3uQNwI6Ra+Y1igLIaNytlAMgopQeXGb/QKVn6dfJBGPeYlIn/5aw1OGUpn44zlNucY2qRnLYgYfSpgB5kkE3QtnVWDaMrkFmIEyFxKGQ2CbMINBmSduvoCx8tMqZ0YFSTsHPdt08+7yNPiuOjCEzYkJaow4NNngGD35kBNCVF9gCthjrwZyQeQnqqYLlNopMxTeBH7MYfOuLeGLs6HjuM9mMldPX/rrefKwrqJQgHUQGaoj/tTpB8OEoYg0A4g5SibyfEKBxen5ra9stiDs7e73VgCh/utxfC+KvYk5mDB0fc9pUAcpnXiTW5ILiqpGyhCge1mpgxzRFed46LDVqKjwFtXCEqGZyzRZP92ZQpcRAt2pF8iSjjI8K5CJp69YQqIySgyp3LUPQ5VDp0Be6hk+cmmWpL3aDe6dp66xXxdhoLt/USMAyU+1E1e0ylWXYEFXWqghlwd2KxlKjswT5ZsfJgismAfBg8aNK1Q0OZOkhl64CcbkbNsJkIsTTyBLnme+C+CVWsjJyWuqW2c0mlwl0RsUoYZFoOlRD1HpOEqUCSwwfhWRhGyCvo5lVQLuX5wFpEKJBeUYIxIWgwfeqLokDAgFyeAW+eT4UbdkhaJyKgrMGZgLLGbD6tOEUXZ0aXDJCPwSewIOgiMHJQqILI5YTLrbQmIfKLzSFqwp0yAD/meY5n1faq56WQ9KLor4IS2pVGkJ27HRhEWwJRYItYUjIsTtqlTWv/ahy51zOZBxIIR5kIyDBEoPoArRclYk2kyBdkuVZ93BPY0yS8B/9CaGurA0GmIbinklAgspiX10lLP18LCjG1dTqDI77KXpHvbxxs6Ea4/+YrOm5jIVmhv+86lN/sUW6wswmhZDQABQr40yA2cMFkMUa1JSEUAXA2QIoBcCw5LQ0ZgLGes0KNrPGRljLasa7SNqI+mIDFcYoBRtJwtZAYjial8FuGTKCdMMcwgl8RduuUBg9jY+ojW4DDelFJC01r+UKiSrkkFtQKxcFMZN44AhyWlv30zJAG/hZJ1I7cJaHhW55IWVQOZRJ8JWL8G9HPxFRxq0RKeQyYgWc3zR7C01H5oWssXVZtnXyZKZLDM95rOgJCpfjCp2nBqIvto0ljA6WSQo8na9i7EEFYVZ1qD6AYsrAUa7wVgE2JDtTHfhDKbovQ+wq5YERBQ/H0ipT8dQRiAhUYH4e4zbqfVFk06FVMQTMcntEEhAbOALySZwdjABSSLU3uXocjuqLexV3bIcUsWamKbkm7KBfGI0w8bP2112ZGwlT2KLww9DcINUUQVMZoethLOFEUnyTo8GQt9YbfCXnnsht2N4tEnM894lUVkiJdUd4TeDh/DZ+jI2v9deuEt4WII9fvYsuaqE4deN/G6HzX5y9jjmOh1dc8RqN785mqbk1477mA60aVrDqvsfvZQXAwN8kkbnS02RH2hFqIkVcRbqNaUaSjq3RNPfs4my9AAJAtVm+KeEh+stzltOux9J6bbKppcKc+Jylw3tZs+49kvdVXq+LVIyvAi9GsVGHX1ge9JcHg6tLbnWwdu1yb7Cy2hsMVpfxG+8Nw+IIv13xvlpeuzLora5cW2k+XR5cyQzeGSWgHB2sXr6Gf2trq1cfYnlVJ+chkgMzV3ora3lZoR4dVKLOz4Xg5+EbuyWrEipgt9a2NzcqiD33c0zbSo7AIOQlon2rD29m3pfu+tISoBn1XbOzD7lcChNR4ZfwZefS8+Pp43HqqiHTGxCNmnl9D5cXkFIyydcBevs2eUjgFGt1GK03pps8hH0aTSxBbuFvfAB9ceHu599qiHVnXWyFiWpr1sW2w2vneqspnvAIHGumj9uzuWS9aTcJ3uHxFnoUs7+fxHyhD788gwCZ6xub/p9g/wc=</b:JenniData>
  </b:Source>
  <b:Source>
    <b:Tag>KumariN25</b:Tag>
    <b:SourceType>JournalArticle</b:SourceType>
    <b:Guid>{47593754-4557-429f-bd22-9e438dbcf9c7}</b:Guid>
    <b:Title>Aspect Based Sentiment Analysis for Product Reviews</b:Title>
    <b:Year>2025</b:Year>
    <b:JournalName>International Journal for Research in Applied Science and Engineering Technology</b:JournalName>
    <b:BookTitle>International Journal for Research in Applied Science and Engineering Technology</b:BookTitle>
    <b:Volume>13</b:Volume>
    <b:Issue>4</b:Issue>
    <b:Pages>6103-6113</b:Pages>
    <b:Publisher>International Journal for Research in Applied Science and Engineering Technology (IJRASET)</b:Publisher>
    <b:URL>https://doi.org/10.22214/ijraset.2025.69491</b:URL>
    <b:DOI>10.22214/ijraset.2025.69491</b:DOI>
    <b:Author>
      <b:Author>
        <b:NameList>
          <b:Person>
            <b:Last>Kumari</b:Last>
            <b:First>Nikita</b:First>
          </b:Person>
        </b:NameList>
      </b:Author>
    </b:Author>
    <b:JenniData>z:rVjPbyRHFZ5d7a5yQTkigoA6JNIGPN6Z8fjHcAhrJ97Eu46xbK8i7SoS1d2vp8vT3dWpqvbMwAHnH+BCLtwQEkj8BcgHJM5IbLggrsAF5cgVX/hedff8MNlIq4m0tre7q1993/e+917NfHrVujcMkzIfHUSTN6nfDUO5Ebe3o62tdl9udNs727TZDgbRttwahNTf3hqmOpROm6vWrfNCDumozAIy0Va3sxNro4Yqv5MVUfyBGiYpfpzFQuXfUTq3v7hq3Y6CQE+uWnfihHjB9Y+uv7/3j1arFaUUu+uHbzx79hNchU4X1w/f+81rfEFjFbnk+uHTz28/xOXCxndfMeD++OM/LQU8ulwt4KPjX/KjWcAXn3P8FQK+/9YXzHEe8HcrInz/+p1fLwb8i8XVKgE/+OtnHKEJ+MYf/7Mi5YPffsEcv74sP/7ZO8sB760Y8MnxEuWnL/69IuXDt5Yp/+E7KyI8vL5BOeBnKwT8cDnLb/73sxV9ePT7Py8b+7sravjjn39vydgvipuU6ZNSO5ree/0sIaFyZ3RUhtyIhI7FmZG5Rc/KyLQDaSkSmY4otWuikMapsEylSadiT0XKkH9LpmI/D7HIiBMqDFnKXdXXRGx0thjRivt7+ydnb68JYehCpyUvUz/FJrt7p7simIrC6AuEzoci1LmjiStl6heMtYkEAX/ET61wiXTCqmGuYhXK3AGTyvhtrJW2ADQh80gwGJXhlwhTaa1f7KkKGYalkeFUPO/2P14XjGuJsLBlmCCUh9bmxz7gGRq/X+UR10tlmCjinS2YU1vHbZdQG3qBpi1TZ5maoDhmxS4IWENZuNIwzxpsRAXlEeWhIivGyiUqF8wf8DYBbxe0K7HTKVKhrWs7I1XOETw2CFxBwgo9nrNwWgTkHJIjZIRN+UakM7za5o1ZkJeL5KQdIfOUJxLAsJXRQWldThacIYYhOIfvg67ICbsyDKCm3IKnSGVAKe7OoIpIOglKW6Ak2H6ZPMd8dFO23qKiicTrkYoBBfpNxZByMmwFL1loNBBUNJAolYeIVPPlrbAl0MsFy/qNLbk1jxBvOTAi+DCFJrpgOyoag2ukRa7dfD8SsnTYCHFYe5ZPYkECQav9b0ZExp2Es6BmHRR8t8H3TMPTWVsEMC7Si724VqQJEcuKijEMjNwCfp0inzJWsmHHrseiDAX88rTV+lxIo3Q51+l5dwcwPoSeKoWMqKxK8gQmh22sRn2RGfoCAkmuJ23AyrvYAwX7QoVr3p/Cb9JuIkF3VDlUSbHS5zojl+jI20cGvGwBsISRp1ZZ6Aa58/Z+PkyVTZANjjZECTzvDgD2lGuwKTLDMlg3r6NaeZg798QBg9rQGCxgiDEFVjkCgDEUJhHCuRqPZmkJSwCppFrcuNdpzCkvpIKFoVZl0ADlmWTSjBo3sU+tKFI5ZdGgCKoBIIxOubH6qkCyhpDPzgzeaAlylO1fyLTd63T74gylJvp1/0O0+RZMsnZpVXM3/QWFcQsSWzQNVAd3oTySJvKNk7BFWfkiNjIjNNLRvFvU2j7vgXPEj65arycysEhn6KZ3/vbuTdE4CxdkfLet3QGmC7JX1QjqWJLHaQnNoEIJxqBj7L8uf4VeFyrrBwR3p3KK2jCy6W9f5pIhkm1nEAqNgsZqTm2AHCr8G+YawohEj0VBuoD+MVEqZKCxICQABcqq1fpU1KnhwbcuHqncjxy+adCwLphVTBIdmvdoBgEKF1ZD+w0ho5FrPh2FUdwBcYG2TSm25CpdLE6a8FDkovbNEbOiBrImQI3XDjVoA1R1uxov/6/CmqiTti4OaaIwH5t51RRaxnMoR9ttSlAW4IibzILBRkTF/KlDilVYpdQiyY0uVTyd6iHPoplVfO8ZK1AMCKRk5vustzl4WFdGnEg0kYk3j0DC+S8ZZattACDUhk8NPACrljX1eeKJjjIlUVpYh8IkV5+UvDefH444DxDosC5RcWx0CEGZwv2jw2OcJpoMHSExEU4jjgv2hEKN44F3/v2j/ROsmw1ZHDSk4QiVLs3QqKshVSPyUxXHgqWS54QBIl4AzaquvNXnfdtHACAYkfGxH70r4NG6tNGPkQVU1DzDaM7+QyHkQ6y4cmNt00ZamC5n4Zvt68MO/OorD/XuidqpdZRxS6gS1Jh83iuYL0uPRoo3C5lzkpFFmBRVyWeTEhIZ30OaosAztHau5KZ4lEEGFcAD9El9xvHZWgFxIyicbUvuObBGFMhw9HLQ9dHmFRGnOPv5inwP2w17nd5muzPI+MDJNjAHeayvWneHGPyJNvYyBXIY+RF+cAjtrPe7pKwt6Q7BZylNjg+WRtBjXeIi9YUDaarBCay7RYH9I3GKIx73ROaEuYcdUSKAfca+56qbxnw0zugbxQzS4ezrBcUH+ROUAuFzAUY+aB/jzre++fcEFVX//58pv2kUuiMI4OuM21GO0sDfOIYt0mn8pISpFXFjzeMjNVJORjy2WqGK8OXE3TDSavLtbme91+t1+w/UueFhtM5arW8N+oNupGyQX+K3zT9VvY1etz3Y2txINQps16t7ELnu1qCDJ4PtXmd7u9sfbO70BwmvkFBt9FG/3+10ur2d7e1zr6dPx3mVjn57o5MVpR9qTUZueRKTZ1+33OL+weOT3dP9s7dHaNQIF9JTk05+kDhX2B8+eAAp1rUZPvgKNYa2DNy0YIVH/syZ0hkubwEi6fgJKnrxNjk+SmJtGuKAEu1N39Vl7lpu5tnoI0xiW92tTbaxW31O2PMt/3TWO3abGcn80Rl9sZ9UxR7745q9jBjaa/i482qk/gc=</b:JenniData>
  </b:Source>
  <b:Source>
    <b:Tag>ZhangH24</b:Tag>
    <b:SourceType>JournalArticle</b:SourceType>
    <b:Guid>{6d746342-80cb-47db-ba8f-f0bb584c4881}</b:Guid>
    <b:Title>Exploring aspect-based sentiment quadruple extraction with implicit aspects, opinions, and ChatGPT: a comprehensive survey</b:Title>
    <b:Year>2024</b:Year>
    <b:JournalName>Artificial Intelligence Review</b:JournalName>
    <b:BookTitle>Artificial Intelligence Review</b:BookTitle>
    <b:Volume>57</b:Volume>
    <b:Issue>2</b:Issue>
    <b:Publisher>Springer Science+Business Media</b:Publisher>
    <b:URL>https://doi.org/10.1007/s10462-023-10633-x</b:URL>
    <b:DOI>10.1007/s10462-023-10633-x</b:DOI>
    <b:Author>
      <b:Author>
        <b:NameList>
          <b:Person>
            <b:Last>Zhang</b:Last>
            <b:First>Hao</b:First>
          </b:Person>
          <b:Person>
            <b:Last>Cheah</b:Last>
            <b:First>Yu–N</b:First>
          </b:Person>
          <b:Person>
            <b:Last>Alyasiri</b:Last>
            <b:First>Osamah Mohammed</b:First>
          </b:Person>
          <b:Person>
            <b:Last>An</b:Last>
            <b:First>Jieyu</b:First>
          </b:Person>
        </b:NameList>
      </b:Author>
    </b:Author>
    <b:JenniData>z:pVa/bxxFFL6gBKVBQlQRBYwESA7xnu/32Wnw2XFsB5IY35EEaJjbeXs7ud2dzcys747KIAoqJERFBf8ABXTu+A9CTQNKQ0mNLBDf7F7Oa2SjSLF055ud97753vd+7Hx2VHlx5IdZMt4V0zebvBm0RMv3msO68FpBfeitdltNb3XYqq92241OtxOMIuVzq/RR5cLDlI/oThYPSQ+bnUBpOZLJxTgVwY4chRE+1sBM5h5SJebLo8oLYjhU06PKxSAkZ3C8Xv+p4v5ERAFWb9369RAr36r0eH1bXP4ZC5pIYcPj9f4vj5xl6dgrb5yB+M7x7isOY4H4/voCce94wEqIOx9n3z8D4vqF7r1PzkHc33zgFguOj/94Fo5A7P9+HuKPbqeEOHtGxHM59tnolI6Pf3OWz4X41Z9O4hPE79wBz4X49+SUjj9ce96oB+N/Tkf9wOl6CpEeZcrS7OJf21wxsoxHVbbUqDUaV5mv4pRrEmzQ69/1Nrb2B97m/s1lttfb7+3t7Pf6W2zpo5Ano6d+cKuLq8uMJ4Jt9/pn7HLsTqQNWSgNS7VKlQH+e1vbd73eRr/HluIsstKz3Iyv5jAnW2zJEOhwS8WOoBj9ZN0DZkNu8UUl81gJigxTmU1JozFjtx+Dm2EmVJOEyYSxAR9GxNaqJT9fJSLzrWE0haOMKcFvlbCcWArrISV+GHM9ZoKDJ1mzXOLiSQSc05HwO4mGBZrHNFFw434o6YAMS2jCjAV/TwUe2HlcW6bJwMk4ejyKlXHaRcxBGJbH7bJCVlp5QGXj/BAwSExAmhmfEq6lMlU2gCw8hdY4l4UIn0dGzTU4B8vXyhhPqJhjsYCah+nlcbowXYQUBOQ7/4RM7ouMi8jt5moWvPFYSBhqiMkKWBDbURPIoJddYjQxFATUkAhWKxUzpIzJGLQPyOUgD7EUyZPDb1FARWZ54sP9fNpONRZk2p3jwiSuIQXOS4gEys8qxoXAhsEReOyHkJySEVVZp9qoNthtl8Ynh1/nGoO71agQTHNms8SF6rgGNIEFZLVF5PdwOP9PQy0KnjM4BhK/ymiDOdqiUua43glqrqfLKWie2GlyMmQRSsmFQCe2eewuTyYb5nWI9JtyA7MRMufyifNBD+0QQ7FAJuQhOMBxNmgXzVQ0bokwj5xLnM6rtVztLILIRTTchLAtslDqWUd03rQLWUoABbADWNTu03JAwpxTKfcqKCIGi4Vci/y75t3f6g/q7ZxC/rOT967nmrfKhNPwqPJSxH0fNUDiBuiNkLG2V6/FmAcW9UR6NwnUUeXSiGc2VNocRqDDfXsTH6WpUa92Vkkak9ELrqMimr7W0xZJ9iV02k0sRbgOYHYQ26cDSZPgQEVZTFfWIneElsMMOOYLN+ETJBb/g4DHMppRPkVp5JrM3+FKaBVR5Qy7zZB4WNgFH2ZPDr+5c55p2Itm3EgtC2t11/CYh+y2CnkcE3rhbLdhLykc6JakWVaY+VLginPJF0pOX63XqvVarbti6rVWp+HVGk1o2Gk2vamQZpgc4tskn8tao7PmNVYbdVlvd5teF7aRSinp5RnYFaa72l1rdWrtWqfWbXfWYN8InQGHruP7reZavdZurLYaD3PF84w9RMZaXq3uNWpxmg0jadDuRdIu5HFMX++nGhWFIdD3pcvEtY3MILXo+9skJB9jBKhM+/SBjqY3QmtTc31lBcNsXDVzzyom5orLF0bSCm55K+cHXMX2CG1nZ6mTcIzhLv2IBlheQEOQCt6ViSg/Jou5M4Nt5EtLYmO2qbLEvmzR3m50+iTuo1JN/vSKmFfZp1vTNMK903WKSTGLvSFeSoIZMMzfXuxRxoXO3KuLpmi9YtYUvRynEeoTMyr3ROOrVCbumlq06yY6dHtvcB297d4UmkJKjHtXmEwf0CzAHUP65lC4EC/7GVR7+6lqqIaq0qP/0edf</b:JenniData>
  </b:Source>
  <b:Source>
    <b:Tag>MutuviS22</b:Tag>
    <b:SourceType>JournalArticle</b:SourceType>
    <b:Guid>{7c434023-c6b8-478e-93c7-48de946acab8}</b:Guid>
    <b:Title>Epidemic Event Extraction in Multilingual and Low-resource Settings</b:Title>
    <b:Year>2022</b:Year>
    <b:JournalName>HAL (Le Centre pour la Communication Scientifique Directe)</b:JournalName>
    <b:BookTitle>HAL (Le Centre pour la Communication Scientifique Directe)</b:BookTitle>
    <b:Publisher>Centre National de la Recherche Scientifique</b:Publisher>
    <b:URL>https://theses.hal.science/tel-03978917</b:URL>
    <b:Author>
      <b:Author>
        <b:NameList>
          <b:Person>
            <b:Last>Mutuvi</b:Last>
            <b:First>Stephen</b:First>
          </b:Person>
        </b:NameList>
      </b:Author>
    </b:Author>
    <b:JenniData>z:rVa/bxxFFD7nh4SEUkSiQJFQRjSxxd35zk5wHBc4cQxGcQLY+SHRkNmdt7vjm53ZzMyefamcv4CCFEikgA7RRhSmSomo4C+Akn+ABguJb3bvzF2IJSdxcfbt7Jtvvve97725R3uN06kyMffG7jWmtgqe0q0yj8jG3c5CYqxMpT6VFyJZk2mm8PEOcbLaIo12X+41TogoMjt7jVNJRiFg/4N/zt3/o9FoCEWJ319+75cvnuEp9qbYX765/iS8om0pfLa/vPHdV+Hd2Llvb70k4q0ffvt2AvExOxoiIeyFiJ+eehQgxjiGs4+AKMO2FyI+/Wb3lTgeivhZ9ONzOr4ux42zvy6/UmUOR3z252RlXpvjZnHimLO+ff6d+2OI557Ovm7Wd978PTwco453fvr7mP14d+utST8elWM81jMXpr8P5a0R3z3/13NZP8+x95KIF77+ebLWj0PkERCjwxBbZ5+EV2McgwgTiPSgNJ4Gp8/cy6Qi5sqCbF86EkwRt1rqlGXc4SOYpZzbHo+qsDgm55pM6liVIkRJzaiQgnIZM+qT9ox2vOVxGJpNBgi8wvjEkgc4on0mHXO+FIMmvhPLyWdGOMYt8L1UihXWaGLeMNMnm0jvcU6TFdy2mJdxqbhVg4DkCoolV/IhgIXJudSObWcEHMUjUmGVew7+zpQWvOsjYo7vbPoGt9JxLRnXgo0emmyuM9edabOrzA8KGXPFeAE6PM4CH5njez9kHYhDMdwbOdeAM8m4hLkRpBwo9o3q49yKTtjGhZBBGOAGam22ZrYhmq2VqNhyrY2vrpygQ1D7sFSnqZ22myP1jTJpi1WUXWn7BCEDsxmk/6CU0AB1AUEPiaTPEJMkMpahXjUe62mzDc1SarKc90ZJjtHhIQ9jW1J70k72w0uBiuTUilHhMq/2cNdj0+tcMvKMK/ALikaQdAUxoIIT1bDyroyc59ojsVoi8AdEbJwHhQFTMpe+ioSRqeUKS7AjF6ao+eB0VBM7pZJ+EGpQp4JIqIX0/mdI5gbOU+7a7C4qbkrHPMWZlqAFU8PdWXCsg5ytF3XE9DUImJEywDzIrru4xD5Rsi/Jjq123l9iG8aRRrel4+uXlnC2Zqs6hUPrJNaMwenQqbPEPs/Kau0jo0TYWu3BCVivt8800ZTQPiLsprxQZgCKMKeFxZBvpdeB4YbFzyED7A9cOBBeQN7BwNagqfMgHASSVYpD61YeqfQP+Q+76SCo9u5tQKQGtQvmP0wy9Dq4wRrAejhGjBL0TjBjNX54XWbHc/CHoVD+nbDhgNFEs0UDeCSPai6lnmj2ijgfdS/mhMvxD6VxqAGITgSL0laeHebVZmLbWAzbM4pXc47EdUytFJW51OpczuFyj0iyH+vE7DVOprzE6LJuF0IVMNiH+BgrOu3uPHnpFe1cWbu6jm4gtoICYPgUGESggF7I81KDYWXKzaoPYVjYkF1HuWJPMyqcZmVUAtLh1+sJoaEO/icJz6UaJDdLX8J0KRpRp5ueioy0sEZRI5YCv11PCukivYu/Tu9mpiBMHdrp3bs4v3hxYX5h7vLCFl6VdY5byHGu1e225rp5UUZKOszROs2p6uCd5jCFWxXnMMBCNdkG+ge/oVG88Sx6o5l7x6qdTuZ94a7MzqLEjlw7Qyu4EBzTrEfTd+YXFy4vdhdmhYnL4NQUgwEFDMn2uMXIV3Qbj1M4l0xyQ2oxvkw+1BmxKg5uvTZYMaX2U+Ca4CrAIeIeiuqq1cawLiuroytrtZoQq/9NCEzCm6XCPQRDlGH+o2nWzXZrlBHbpOpCcgmuWhm7XRGovhGXyPTCETP9Fw==</b:JenniData>
  </b:Source>
  <b:Source>
    <b:Tag>DengJ25</b:Tag>
    <b:SourceType>JournalArticle</b:SourceType>
    <b:Guid>{76710702-f5b1-4d5b-b825-8c5671712ee6}</b:Guid>
    <b:Title>Enhancing Large Language Models on Domain-specific Tasks: A Novel Training Strategy via Domain Adaptation and Preference Alignment</b:Title>
    <b:Year>2025</b:Year>
    <b:Pages>1-5</b:Pages>
    <b:URL>https://doi.org/10.1109/icassp49660.2025.10890050</b:URL>
    <b:DOI>10.1109/icassp49660.2025.10890050</b:DOI>
    <b:Author>
      <b:Author>
        <b:NameList>
          <b:Person>
            <b:Last>Deng</b:Last>
            <b:First>Jingyang</b:First>
          </b:Person>
          <b:Person>
            <b:Last>Zhang</b:Last>
            <b:First>Zeren</b:First>
          </b:Person>
          <b:Person>
            <b:Last>Cheng</b:Last>
            <b:First>Jo-Ku</b:First>
          </b:Person>
          <b:Person>
            <b:Last>Ma</b:Last>
            <b:First>Jinwen</b:First>
          </b:Person>
        </b:NameList>
      </b:Author>
    </b:Author>
    <b:JenniData>z:7VZNbxs3EJWb9ONa9A9ML0UCWPLKcRI7PRSunQCO7dithQbIjVrO7jLikmuSK2lzcoP+Kf+V/oj2klsvfaQ+GjgNiqLozRdBFodv3rx5M/TP1707hXWqVOZzvmxt4O7uwZGhShiplSkpt3Wjeb5J0tZCmb5vOFeFyikIP/Gb1AgXVN5q4XRHylCoGHdM4HkgW5APInDfzgxLEt5z8ARkYgS4xinPnu5dnO0/9fc3qWTDTmg6OTn15NuiYEeFs3XCnBg70yxLplI0JFumYJEvhqlcAY943ljfunRwk2xuXWOd2EzJI9xUaEBI5UXpmGvcx5mPRx0JYAitysh5pkJFrVFTdh7U0jVPTiDQIVqYD1JZw35AIwuB8okGm4o9JKmE1mxKhmQzpsZZkEUaMnbKmoIDRpTb41vgssNtpa0DA3QnMU4qLbMBv1LQaBWsTK5bCWKCVA3sKe4teQkpmgD6SMnrLPcO98/vU1MJUEgVCnLcaNFRzWBqlIfolmoVVIkMlAt0O4BzhQJBqOQQgDOgZ1ZrO4uQQEyVtUFp9SZW5llzvkht4RFroh9uqiWBnEr0bcNuCkOgYmW4HyB6ZHrxbARrxLYpA61EBExOQ+GxekL+/mWLfoVugZYKioo5jrkiCkAWZygqb9O1tb7QBUZjk8MOsUxYdJM0o+ECQ1EmpGNRGYCZ/ij6YNLRGTSt1RuwQVkBmhl1ubBkMg7Z1iUbD+gM35bdxgQ0+CryihjmTtqglKViyXxLlpUIhP7aIjAMpnwunMR1jBdGawqzIi3cuO4nUHOW8D6oV6qswKGKDUqQvh1jCnEHN5buiH73Ea62Eu6D8mgB6oMGqwFBJLqWfkLb1plqDpWVVttSgXFs3N/uhYGcWTe57n1ZCSR3Ig+3a+V2rdyuldu18t/WihZ5zph3eRgdup1tP+wPt+u4GBDM7sgU9rq3UYoWcM5fNeuTEwuzWYdD1YiSfxSYmeveJ4B2Ppzjl41Kw4vx26c63nJq3OKC/wVR0og6RheFqJXu5GGcuBIym+o52HcAk85q7n0Yy6/g+2Uwv4qG+GjkQbWG5ee2f9x+LHJ8KhZhBbLPVogFxu5cFu9yJf11724urZp/PcwGw2G2t6VybMlmZ+/Ro2wQVRsMs929LHuYwQVjc4VPb64q2zD6z/PJy52dbPfBw51suI2jM/HuNQLaheqvk+rZAwgPyUzZQrIxmMMPoWsizUna3ZpH+HMDlmJbHCsj3/+ZA/ZWh1idq8Dy++7AtibcCeuhkS/xfvj061ccVACrt08NtMyjXU4EdgU+F9npNNoNvjZ0eMM1o+iaJ7RPL9I+HK38drFacVMllpdoP660xehFt57/NcD7cfiiuYtgG5X7t9e9z4qFQVHCWEnxILXo8rzqPKTWdBHfDjiVC8VaLoLGw8cpqjnA29fioVpF4awYDbNsezedm1FMsigKXNnjleE/vvv91x+o1+tV0Pk9UDl8nG2na7N9yBsfLaQ/whrTIB3R/xeuw91hOp9/80IEbD68rqtmnMel4X1UebTaYHiPF0X81nyLGv59ETJa6wvsWD0fViE0/snWFgw+wJux9Y8en8T/RX7ChkVrN/4E</b:JenniData>
  </b:Source>
  <b:Source>
    <b:Tag>ChenX24</b:Tag>
    <b:SourceType>JournalArticle</b:SourceType>
    <b:Guid>{e48778d2-3a75-4982-aca5-0857a7a443e0}</b:Guid>
    <b:Title>Cognitive-Inspired Deep Learning Models for Aspect-Based Sentiment Analysis: A Retrospective Overview and Bibliometric Analysis</b:Title>
    <b:Year>2024</b:Year>
    <b:JournalName>Cognitive Computation</b:JournalName>
    <b:BookTitle>Cognitive Computation</b:BookTitle>
    <b:Volume>16</b:Volume>
    <b:Issue>6</b:Issue>
    <b:Pages>3518-3556</b:Pages>
    <b:Publisher>Springer Science+Business Media</b:Publisher>
    <b:URL>https://doi.org/10.1007/s12559-024-10331-y</b:URL>
    <b:DOI>10.1007/s12559-024-10331-y</b:DOI>
    <b:Author>
      <b:Author>
        <b:NameList>
          <b:Person>
            <b:Last>Chen</b:Last>
            <b:First>Xieling</b:First>
          </b:Person>
          <b:Person>
            <b:Last>Xie</b:Last>
            <b:First>Haoran</b:First>
          </b:Person>
          <b:Person>
            <b:Last>Qin</b:Last>
            <b:First>S. Joe</b:First>
          </b:Person>
          <b:Person>
            <b:Last>Chai</b:Last>
            <b:First>Yaping</b:First>
          </b:Person>
          <b:Person>
            <b:Last>Tao</b:Last>
            <b:First>Xiaohui</b:First>
          </b:Person>
          <b:Person>
            <b:Last>Wang</b:Last>
            <b:First>Fu Lee</b:First>
          </b:Person>
        </b:NameList>
      </b:Author>
    </b:Author>
    <b:JenniData>z:pVlLjB1HFR0H20ICBAQJAeJTkSyRhOmZ9/cbB8H8cDzJOAmZCSZEkajXXa+7PP2q2lXdM/MihQwsQEiEBSsQICFQ2LBFSIMQBJBYIPERq0ggFCI2sGCTDZaVz7lV3f3e8ydy/Ba2+1N1695zzz339vNXjxdOx2FSqL2t6PDMQPQbw3a3EfSHTR50eLMV9DttETRa3X6X9xutQbMTpzrkuTbHCycuZzwWjxSjgTBRu9vuDbWRsVQnR1k0vCDjJMWf3GKhdHukVva7Hz1euCsaDPTh8cLJYSJoxbXPvv6NR9nCwkKUimF+bfWeM2YVd2Gus2urnww+8GXciAMZ5cm11Y03XvsRbqdOvvt2DF55uTZ4/xceIwuVwc3eLtmfw2Dw3LdxPTHY+cXRfAYbu2LGw+5vXpzPYPM/JwnQGsPXvzOnwfazP5kJubVJK+cw2L17bSbkhXTOpPR++vJ0yJt9TQ7PYbD/wFfopjL48X++8PYxPPPqn2iTN7jy148RT+qkbPz2jpIyMfhA9Ct6NQn5f3dUKRODn776JbqpDb7jwu0R+yIhfzODn3n+6iyxf357Ht7S4Or7t2dC7v7yTrI8pTarf//+DG1WVinpcxhce+G/MyH3X6J3cxhcz85Nl97Ga0/eSelNGdw4981pgd2861t3Il9TBjdPvjQdcuv373r7PDzz6p/prjT4l3tnQn73i3Mm5XPfO5jJcvfpOZNyPvzDTJZbV+f08MGlD84IbPuPcyblwf+LmZA7u3MavPA7V7wTDP81Jw+3nj85E/LZgzkxfOjSzkzXe+Mfc3r48D0/ngm588j1ii2uFDoX41N/uyTzhFmhcjnCX0wcZkZYiwGI7XMzDqSKmZWxkkMZcpWnY8ZDo61lkRwOhaEtkR5xqSzjKmKhVrk4zO0iKx8zHvEsdxMVG4k80REWGsFwBp3JU4ZRjMlRZvQ+nZUngrFYKGF4Kp/x+8iw0YPC5grbmB6ytfWdNTbSkUgte6rZfnqJrY8ZS8U+tmGsgxnDlYV/eMaNoidkxLsU2EyEFA/bU/ogDUQUi0WGqLE0TISBg3LEcs0i2Et15kOQ+8Ifa3VauAGRsZBnfJAK8kgAjZAWAaEEZ6V0ZgmBTeQw9/jwMNSjAJ4jsjLaCJuMFUwJAWxgygieBgfapFieZSlwL497qtnqL7JmawXxni8MNpuRNvCdzEgVYqMlq2KUJbiCMcVeOfqBEjms7bnzKUHKOSpzpDID7BwxW5cFCu+Vox9W+cZTziyQzEUMsLAkLJzNKZwr2zaUQoWCZQZ+yCylvTguNjxLggG3AhkUxCwkvQwHAAO/vAAZgAm2HGJJ6l8mMvMGkINMqAi2nTsjTXSsyBoMkDEXcCroHlzo9ksuOHJUEEuQ0pSRi6giESceEFVrg0TbKRYXYKdUQGbkvFqsoi0DmkJPUy0wLAZ0+I6gA7U7uYDvJh27KspNEVK4PrJorPhIhs4TOBCU9ccVT8eUu5zbPfgjFBhG2ynTRJ+C8uEsuKiAaR44El5HTpRFA1hsc4ui9RSJjT4gU26jsDkuiB9uIy5BGkQaog5jGaQc6SQyJPXXkbMRGpmDkSkK0hN/Ih2167A1Y8zZogrRhsoAqwFejoiUxNeZK87I1wCLTBFTAYChFASFKZQt3KKsABIhS1AeJFl8KEBhhNlEmGwXvoEeBfyAU1X2UGacWCX2oV3EuBvdQrWSx6544FdUCFpXwYWDKEYdklLBb8lZBo4SJ4gsW4QkWEHlU9ATctg7GJLK0flEFrwB90hXif2IhSKm4yOftlyEiZJXirIQAZWkgiJMI0bwQlUigVWgCQqQyFsihlJ0xG+2upCGdgtYRMTR44X3JnxA1Rvm49M/Wysv2ZoFu1HeJFUQd5tJAyeoAItSpSe0XsSZIoPn4FxakR+ENf55La33bm7fV6lxwqGTgGgMq1B1ZJyQJ7I4XvA09RxEEhKJSiSwKd8JS4oRV0Eq97BfGFd1AMjtQieSGtpT6UQdga8SZgvsRxonz2cCAoY3snQJlAFXM47DfP2S3KFBGV3ECfogqlN5A0Qo8AFaJiOXCNcWnLjgn5Deb24HHNm1kJdSV0qRuEl5AK6Asn7fopdUMoRTpNONWsQr8EBRV+yIvO4ExJGM0inLt1XzqmhFB6L2Jzo9kKgdjQZs4K9UEZnShrTPU3vSI7yTnsk+vImU1iz1emLzIhrD2j60RMaQJfKsMBNvaKnz+FxZvJOEhK4ScJNjhojIEUd415ZDnaZ8oCF0tHcRXLmMgHHiqNRO51fpI8jq8Kas1wdHYLWXEEozYVRibwAJB02nRpqqzsGzMjETO7rIQaMqAQB8kR3QvKQ06hr6R43CyEEpuUOjR3U7nw7YAhVQeZEaRC5zv9y7H5JkGTS3ZYMu6xzemISPmOqyG+BCCHXjjkWQ2IAKRcrRaup1lKEnEAydsoFa44u+G9mQOgl+Gxsg70LFmAkdP28S/xK7OA19VWZ2jCZ+6OuqampTzLleL4itFvOmGxAqMvno60ms7MXuIU1HKcrY1/5NCgjOmFh4uCnKydFxISNi6rBwPtV5pBGC74Pwng4lcTFWEOFwzjSJIGCqEmJfZJQu4IZm7AerZ6q5YjIcTVUr9YsKoJtDUg7COtUxDvdIXD+aTk9+S+xRKuQ0pbJD/N79mnteROtpw8INB4KXpVlCV1MHOEMDt1uHDql5NOLZjSHPiAvd4yDF0TxpBqETxb5O3dyOZhpZzHNejyJDSEql9H4pWVPsmoneT8XTwaYYcujrINokbFv4QTdo9EcULQASZgsD2fHCqZgXpNX2KPWFeR5/tIlWlhp9Ia0txGmBKFJRbNQ9YWPSE4ZwuxiJ92W12e36p2JJX0mPcxULfHQhFwD0MTz58Ht+naQYpvz1v9Mafjjxdfo8A7C0YzgEwOk42kjwERPjXBV/UTrKR9QFF25cGuK9Xzm8wFH26pYLPw9P/cKdJfaQFrdaiMO5LFc+ia71Fmfvcl17yXWC+rmVzUsEibd5vkBvKU8PZYTfzU+FkZaHH2k2lpqNxtlli3Gku4If4ztBs9FuN4NxJO1AHeFvq74mm/1eL1hZ6faqq14HDVWoNZf5rciebXVWes1Oq9/q9nqtVm+l2UtoAUf337vU6TSa7d5Ku9+67FLtmHIZTOmAKUGjhzRDey0I68lywoVy+Ikd+jqJ0e53/NfKp9ap+dLXwEWa7PZAdCfUT5j0cDPJ88yeW15G5vaWbLlzCXPFsvs6UPky/utg+dYBL+F1bItBPs4IxT0n0anYxe0JKi49fBh9ePqxyFHiY6xN0RxFtD7eIKU/hQbpPrQxLF4iPXVPP/Ssp/fhczW/g61qmtuk6Wy7ms4u+sHMfeD5yWTdTSY7tbCulTp1jq2xxzEiTLSQdGdfigNXpevTM0S1Z+h78VFEcb4TXyfp4f0VdKDEkjbxW4D0Jg==</b:JenniData>
  </b:Source>
  <b:Source>
    <b:Tag>NeveditsinN25</b:Tag>
    <b:SourceType>JournalArticle</b:SourceType>
    <b:Guid>{2f85e56f-9ffc-4904-86ce-01ad395add20}</b:Guid>
    <b:Title>From Annotation to Adaptation: Metrics, Synthetic Data, and Aspect
  Extraction for Aspect-Based Sentiment Analysis with Large Language Models</b:Title>
    <b:Year>2025</b:Year>
    <b:JournalName>arXiv (Cornell University)</b:JournalName>
    <b:BookTitle>arXiv (Cornell University)</b:BookTitle>
    <b:Publisher>Cornell University</b:Publisher>
    <b:URL>http://arxiv.org/abs/2503.20715</b:URL>
    <b:DOI>10.48550/arxiv.2503.20715</b:DOI>
    <b:Author>
      <b:Author>
        <b:NameList>
          <b:Person>
            <b:Last>Neveditsin</b:Last>
            <b:First>Nikita</b:First>
          </b:Person>
          <b:Person>
            <b:Last>Lingras</b:Last>
            <b:First>Pawan</b:First>
          </b:Person>
          <b:Person>
            <b:Last>Mago</b:Last>
            <b:First>Vijay</b:First>
          </b:Person>
        </b:NameList>
      </b:Author>
    </b:Author>
    <b:JenniData>z:pVdNbyRXFe0hAaEsEBqzgQU8pITxSK6e/vTXSGTsBJNJxs4ktmeSoEh5Xe9W1XNXv1e8etV2R7MwhAUSErAAwQYp2bCErJC8iJRfwMcCNIgNvwAkVoAVKedWd890zXg0zvTC7a6uW+fec+6593X/4KT2hThMCtO/ro6ebXUba02iTrDSbHeCzlpLBWuRWgmWqdVbbax0pVpdiVMbSm/dSe3CQSZj2ikGPXKyGVmnY22eHmQqeknHSYo/nyNKlw9oa/JfntQ+p3o9e3RSezpKiANOn//v6a+v1Wo1lVLkT69d/8M/PsZV6G12em1L/e0YF3SolU9Or226DzhyJmvtHIC/SxhjDPjd1l//OQv49p/e/+yAsxW+VPu7mAW88/YTVFgB/OPdWcob39s+T4Wf/GzznUcAvvzOj2YBg399eB7A///v68zrLMBX7n7EF1PA9S+vP4GGv/8Vw48Bt5+5VNHwvd9wwY8H/AWHTQE//AQXU8C736rY5ofLfO8zAs5S3vntcxXb3FmfE/BV/xyrcQ9wP2MF5gC8+c2LFcA77SeocHZSbv54oTopf2aDzVPhvxeqs/z++SblkYCv3VqoUHYfzNmU1z5aYIT7Gr48Z1Nef/Yij8b9LluWdB7An3yl2uVzjt6jAf9T7fL+t+ekvPvmQpXy83xvHsCPFyrLYe5J2bt0sTrLD00Kfb+wnkZP/XxLG5mmoyVxSIKOstQ6EkPptC1ykXsnPcWacoGDT0glM69NLG7c2M6Ft0LZgdQmyDMKdaRDoaSXOfl8SSTTs5HD+zQSYSLTICUTA0saJWwUkeOb2uTlGVpmiApfIL+jnKQLk7poidcpRQ1K3LauLzY4lQ82kUWJXTJeD/AiNkBhlOtc7DmpNJ/CMhUyy5yVYYKEKHVjc3djCQQ9Id+Q0hGSBENNhwDSRviERKo9jviygMUd+a52gryQaX1JtBqtxlWx6WRxGJAbE9hyMtcmlK683boq3kok6Mw80u5dXhKZ08EAciJh4XWq3yXR00o70BiXSSa0ikEXX7S52JXG498MSvMsZAlkQBTOMX1DPjiEPMB4o6gUjbDYySzhkEnEW4mtxlwVtysfgMrtB/J1mEkOy6BYCrwNpu/FALWnQN2WM/HNNYSzRtCaBr0UHbDRvdA3HyRzuS5uSReUjvMUJkYDPBeJHLITQjCEeD0iAzFtZrn1aKge4AoRMoQMMoSBMwTrHKqOk+MKxubmcu8DN/ERHNqHQdltdCQHWUpLIrTGwxpCkbFAQH2Le1qaigRMqccDEXoxIGk4yhFy5iiw/Ob3gAogNi4E3yV7aDSkQHMxJRGVJjujFx1IobhPJ7UvJdNsowt/2Uvg7dwXalTWrA17Go7NyIEHYNEJKHxDupjwauICgy62J4LztF4udXjM9CyyUCj6UPtESEgUoiPgBalTHWrUWQLwFHFhTBmoUhj0IZ0sg7rYLwWUIh8Z1MiE88w6HnAi1ZNhf7omxitnKNMCjRE2IxMclqut3C+XIDfmxY+42ZOMkwKCzKYYKdzKpJ6M48QayDsg75AUT0UyZARGZ7UmqbhsiPUwl5J2TIaXAFbExLB18WqBxaSNAi24crrYRM8ivOwCFim05JWDQlI94JT8S6DsCa/KyYJheUv/1VO4lnK04UXer+h8N2isDdiGkJDcdRPZk9pTsSx8Yl1+DMwMRW7hzzrVqHfb0NWndPQ16d7QQ7H4gnWGYPZ9g8JdDmkup4zmdK/AI/l7fH4YOSD8jyI4KB0d7NCQsCzRLWz4IZloR/dRuXI2pfK8qcbHN8AfO28cTDflIdg+IlZty9hOAm/pAzkaB4Za4afS50Nl9dFXm416Z7XbbVyR7kgP6/hR1q63GivNrtJ5zxzjNTfHKbtio9TquvLNbnt1ZXm12+wsN5bxZqWz3E44QkKK/u1Op7HW6KyuthsHeLgYi3swFrcdtJYHWdFLdZ5M9b1QVu0e1q6P4bSFC2nfpUffSLzP1q9MyrQuvoKfflfulxvnRc+PMmbflw52T2kPlxdgALLRK/DN7Mfk+bBFbIp5IrU5esEWxte8IxyHvFEVn3P5+NNJk3+65ewAU2rsZM/wccZHcXm1LrZLw2On7d6bODCX4+UznvlnhPjOfaPz7nvcLiiH4cyFEuEbBtIdK2b9RSzfszTC8prR6FM=</b:JenniData>
  </b:Source>
  <b:Source>
    <b:Tag>LiskowskiP262</b:Tag>
    <b:SourceType>JournalArticle</b:SourceType>
    <b:Guid>{33affc62-9cbd-4253-a6ff-685403168457}</b:Guid>
    <b:Title>Large-Scale Aspect-Based Sentiment Analysis with Reasoning-Infused LLMs</b:Title>
    <b:Year>2026</b:Year>
    <b:JournalName>ArXiv.org</b:JournalName>
    <b:BookTitle>ArXiv.org</b:BookTitle>
    <b:URL>http://arxiv.org/abs/2601.03940</b:URL>
    <b:Author>
      <b:Author>
        <b:NameList>
          <b:Person>
            <b:Last>Liskowski</b:Last>
            <b:First>Paweł</b:First>
          </b:Person>
          <b:Person>
            <b:Last>Jankowski</b:Last>
            <b:First>Krzysztof</b:First>
          </b:Person>
        </b:NameList>
      </b:Author>
    </b:Author>
    <b:JenniData>z:7VbLbttGFFWbIu2yf9DZBEgAUyYly7K7KWTngTQ2YtRK02VH5CU51nCGmYclZZWkP9Ef6Ed40VXR72k3WXXTM0MploGsChRoAS8sS5w7d84999wzfHvVu1NqIyqhPqdXXjtaffbbS2JCOaMLnxObmNyJPJkcnU92GGe5lpLwRCumS9bqBZnSS9bogqRlSMUMcZlIURLjtkVoMuOWCmZJOdHgg3HF5coKy+6HpA/67Lk3mwTcEHNcSG2wxWkc1zRkcsElU0SF3WHOcKGwCACcSW4qQpBpvY14/EyKnBXcccalVpUVBdaRFSDlilWkyHAX4KyUqwmVxeAdoLZeOqEqlI7E4aElxwYpC6htd5JhruaKnVPz6JLLbK/PQBUtHSmAXbUiB8xQ06aa2QqrLVdFyIvjmPLNDFmA9JqOXHJrcUJpdBODrMMObpCyNkTsfqutcOKSdkBBxTffPIiQDwJHZXzCi3hKI5aoDgmYV3OlF2qTf4ctaiHRFGk1u9BoMPhoQbNAN7FRX4IZKZlDPTeaBa5822oTo5pAUos0kqvK84rsmoOWTLdhIVwdNGC16ti8WMsFZJToXOJ8XMCT4xqtTHSZTGvtq9qx+8d6+gDJeIMjIAacfS1EzhQwyq3cQB/VENmlvFbilaeoQVI5OmASrVDkuhloHQoTlRIlGhXLF01rkNOyAkRZh8zNDYwBQCcZKV6Dea06sQ4PR6dJyw1vyKGd69Ni+MHR1kJB64W8FnRJzLehX1nKwFYOssAfRgglWlaLqo6RuTc8X3VCe3I2TfZ0zHssuYeUh/0RO9dKkdv0EyqNnVG0CMpxFAiFjBJu3FrVGA0VlfVBuGwGzHXDzbzPJiBFVcgUeyvx3UPGkTTWgF2Mo7LsYJwcZveu8fHcaGuxdXkthdh77R3qrgyPcnyEzMLWoWD0peEqpygYQxJthLtgWhJoNlhLHLHEYojoGh/jVWWi7JEtG28mPE7ZekghlA7M4QCNDJBtv1hoM7/qfVnzGfrKc3dra7e2dmtrt7b2/7Y1CaAE2RcPwUg1SAf7STpsch2rIfNUlRovdBX3AGzsGwklwPse40+bIu2nI1iDkyQm5gdx2demkmGvETOPAPvuqvdpodBk/C9L3gi5EifCzvXCzgVVmEdVnvEF/f6uMFpS7yPh33K1HS6emdcr+9rpsttR1tyeFeX7XBQWQAthZ+oNPq16KwbDYZYc7A0GtW4JXkrL+ctxlh2ORuODNEXQc/7+AqG+q/6iqz5L0vEcetAe0nth5JLVzrX2691dbpZdjbttUe4O9tOsnw4P99LK+hlcLaCeQ0wilzTFz08wBqTLZ0IV24/JwT1WiJW5gMEerY61V66HoSrJoJtUvMRNY7unHbvLJyex5eex5ZPutjiKt8X5BwOabG6LaCzfbYY/QQt9iDw5ObWl0zBf+9NV727ZKQA4ZqLgw0j7q7MaGYI5n+ciQLFUCpJFFzTLxjGqPdZN68PYrqOwVk6zdH9/L64v730EVBjN5y0sCBN2Gp2ILK4j+uubP379hfV6vRokbh1WZON0ENMtJuAOThSutqfKkZQCVpOD7X+hhnRwENfVNBDFTsNwb2F9cfLzj/8VrNlolHZ8J9NwFQWGH+rcR97hgtZG/45XyjSYvpa6EjhiXcvjP++++Se1FEHqX8Dd5PKrMBk3BgMvR1uDMQ/vTN+TscBw528=</b:JenniData>
  </b:Source>
  <b:Source>
    <b:Tag>CheboluS23</b:Tag>
    <b:SourceType>Misc</b:SourceType>
    <b:Guid>{d28457fc-8885-4a1c-824a-33941c98713a}</b:Guid>
    <b:Title>A Review of Datasets for Aspect-based Sentiment Analysis</b:Title>
    <b:Year>2023</b:Year>
    <b:Pages>611-628</b:Pages>
    <b:URL>https://doi.org/10.18653/v1/2023.ijcnlp-main.41</b:URL>
    <b:DOI>10.18653/v1/2023.ijcnlp-main.41</b:DOI>
    <b:Author>
      <b:Author>
        <b:NameList>
          <b:Person>
            <b:Last>Chebolu</b:Last>
            <b:First>Siva Uday Sampreeth</b:First>
          </b:Person>
          <b:Person>
            <b:Last>Dernoncourt</b:Last>
            <b:First>Franck</b:First>
          </b:Person>
          <b:Person>
            <b:Last>Lipka</b:Last>
            <b:First>Nedim</b:First>
          </b:Person>
          <b:Person>
            <b:Last>Solorio</b:Last>
            <b:First>Thamar</b:First>
          </b:Person>
        </b:NameList>
      </b:Author>
    </b:Author>
    <b:JenniData>z:pVhNbBxJFXZWiQQXzsllqQMKf56xJ06MswiwY2eVhCjrZDz2AhJKTdeb6Yqru3qrqsceaYWMxIEz4idHVigOsLuCA0LybW9IKyRuCInLcufADZB3pf1e9czY7Y219o7kv+7q99X3vu+9V+358cHMpb6xiQzWHcxceFLIPj0osy65ZLF1s2ed7uv8Ylao3h3dTw2+g8dzOoZom/unLx/MvKS6Xbt7MHOxlxI/cfid/x3+fG9mZkYZ6oXD5bt//ud7uEqCLQ6XH/1s/zEuaEerkB4u3+rcFbg8tvHnzgv4//3l44Dfe53XpgBsP372wXHAN6/9ekrAvzzjpSPA7zP+FIAbzecs2hHg1Sk13PjFfi3lziZLOg3gh/v1lH+Iq2kAO0nd5Y6dUsPO+/tM6YjhwmdI+Y8fMUYFuNl6Xks5CVOmvPn0+fGUl/+6eLbC/hX31wjwy7+5csTw6r/ajDBh+PgRb30M8PNnAPzbEndDBfi1Kw9P9PKJTjkvYOPhazVT3FsnTDkF8JenAc6vvVsv7O4JDc8L2PrgnZqG7q0TrXdewIU3366VzY86/OQUgDcu/66ecjGlhot/+m2NYefB2crmVMCl9T/UXO7cmVLDm/9+ly+OANc/g4b3/sMsKsBv/vSdWsqDh1Nq+K0vvV0bXz9onk3Dpxz1IsBvv/f7uobF2VrvVMDl5uu1M6WTn82U0wE/3Kqbcu/EPDwv4Mr7WydSPpsppwLeerpZT3l9Sg1Xe516p5xxHp4KuHY9vsyMAW/8/R8nNaQ3ShtoeOnZ5P1M530RUhI6K6wLMk9I2J5wtlv6IHQeyDVkntvAr3xC9h1RRnkQGUlfOvKzYodEIo0hJfD+J2QuaLeQucfbHgOt3GqviC4Nba6Eo4GmHY9nlJCqoRDuEca7G51pbMGviBxFA2lKXIJbBMgopA2rsAbQ3AyFFD3aEUoG6Sn4plhFIHIDMzOMlApnG4VleCkSm2UILIwMoJhFnhF2vA0Wg8Vtj2z56cJRSkhhQJFrT2okBq7ec+7IGeiZDY2xdooGZGwRhQH7zDoS1OtREhjC47aOazKXZui1x27WgPWWDikDeMif66BBZTCRNGeNBtGQSBZqkXRJGimBHdQXOkDNojA6kV1tdIAwibPeCwUgB1gDiqX2QScxTNlM6hwpwtdd1m0r1YZAAZwAOKAhkBXJATKAMRZXLAdyh4xdZyXkdE4OJ86OHZgFFQEQICekB7IbUWUQ3mYkMkSkElJ0iXJR5lxW0MRCDniZaS6Dpni1dNDCzQpVItgKX0jkDkQfHFjzJhBmh5B3mVc7WEhvgKuICiDhIdwZURI9mCQsQ4rElYmWZpQ/s80TUyr2z1BfmlmRkjQhTaSj2UpgVVb/ssA+NJeDVrcHIB9SW/bTWGHkuJpihXExouzJRZ/ZX1BUcAANVRV47CRUYJRuQjGuSr9dpaa0Eug0RjJcQhxni0gCQTCiiyoZlVxmkTnqkJRGlXHbxHRX2hu3xdfFxkp7LYLzb1zGnyuvrd8e7+bRb0Y6Jsodi+bJWFDUEkxO0tmov2VpY7O0H643xR27gzqHP5XVElzzRnB6wMoyLgdVLCvun2DHNxFQmFgxEjpJ1yfuC3WsSwoLZrGWxxpwx4+amEycP1HijBAN5VKNruAaY/G6XB0ao2A8jqQv4CAaKlDfOqBiM1tASR4JqYMRokCDR8Q4HqR4o5TKlaDZFBtcxBpsmYiXKOYJ5xdRZqTYu7SLrosUlMYkcLH9a0w0Vf4frddZoeLUjnXbBzNfSGWXeyAJwwtX2+gu0VHIti15UGEyitWUutaUs+JVh3mxLdbIwZvEoqFmxQOYkIn7utiWs5xOBtvbFgWmbVOsO5sQHsj7ce5ykq0FIN7lcs1jA8DcexblyzM2EuUTIhcPZCgd1u5LTBgcMBWU91yg46JfcKoWVW2w4rVsrMtE9zCVVlNZ8NSdrHmLTo01z+KtYvqU1cHAe02mmRdf2UTGsKP1irhvsee6RPv5rzbFtflrC00jEyZDao3Fxq0bjdZ8xnMP/U/ubt6z+FyiL0v0s/N7xWTl/uTDDc3H5iNkRziFwRXNvI47V15KUiPHfwfDkU53S54RP+HzOkeR4HevJ9Fiw/7IG+pjIuf+Be4pZw3NfDJy+5iLVXSvsve0AIoeV49SdP20J/sj/0ewVVFUDyda4RObi4myeveLrflma2nxxsLcoDUXZdVPktwUDR6izestpX0338NPn++ltiBYRLvbW9cXbl5bXLz5jcWlJ1gqKw+ecHxjvoWvbZxkSCqhjjO782kIhX9lbk4mRuZww9j+sGld/0UbNvHBUt+X3TAskM0FFAXZ3nd1rv5LgY8SZGgSHUjdGq7aMg+XgqNR8akttJKPdy/fpqADqC6tiEfxlYSrDyRHxwYPvNipjS7uKNGetPnK6Pzu4W0LNbinmMjll5MSicyNE4Fykf+niPcx</b:JenniData>
  </b:Source>
  <b:Source>
    <b:Tag>MoodaleyW23</b:Tag>
    <b:SourceType>JournalArticle</b:SourceType>
    <b:Guid>{02a45671-c1a0-4444-9282-875eec248d0f}</b:Guid>
    <b:Title>A Conceptual Framework for Subdomain Specific Pre-Training of Large Language Models for Green Claim Detection</b:Title>
    <b:Year>2023</b:Year>
    <b:JournalName>European Journal of Sustainable Development</b:JournalName>
    <b:BookTitle>European Journal of Sustainable Development</b:BookTitle>
    <b:Volume>12</b:Volume>
    <b:Issue>4</b:Issue>
    <b:Pages>319-319</b:Pages>
    <b:Publisher>European Center of Sustainable Development</b:Publisher>
    <b:URL>https://doi.org/10.14207/ejsd.2023.v12n4p319</b:URL>
    <b:DOI>10.14207/ejsd.2023.v12n4p319</b:DOI>
    <b:Author>
      <b:Author>
        <b:NameList>
          <b:Person>
            <b:Last>Moodaley</b:Last>
            <b:First>Wayne</b:First>
          </b:Person>
          <b:Person>
            <b:Last>Telukdarie</b:Last>
            <b:First>Arnesh</b:First>
          </b:Person>
        </b:NameList>
      </b:Author>
    </b:Author>
    <b:JenniData>z:pVjPbxxJFXaQQUj8EidYCaESK1Y2zIw9Y3sT70bEjh07YZ3d4Jj1DVHT/Xq67OquSVe1PYM4eFdcOCEEEgKBxD8AXNfiAhIckLggtOxuLiBfOHFDKJIVie9Vd8/0OHYUaQ7zo7urXr33vfd97828czrz8Z42gXQmO525dtCXPXozT7qUBUudpchkqqfS2aQfRndVL9Z4OYt1ym9RJrU/Pp35WNjtmsHpzGwUEy84v/V0+e+/npmZCTVF7nztle88XsNV4Ez/fO0rb7/DF3SsQhefrz388J7AZe3c2SsMYtWlBr/65Gd81sjg4//w5RQG53/xm3/VDX50xpdTGGze/PN3awZ3/venk+kMLppk0sO/TolhZ20wYfDxT3jlFAaXP/8Ddmlk8PwvU2K4cvajSQ/X/zCdwevvfZktjAx+8LspMVz94Xzdw+0nv30Bg2vX/vk3dqM02Pxgmc0XBm++/++6h3f/O+TDpvDwG0/1BIYffn9KDNd6N/nROClPpiyb9bf+OJGUfzxl4kxh8PaN7Qm1+ejtF/PwfT73MoMbL392smzeezEMrzS4+amfTsrXZy6WDT3KjaPh7O/fcjFlggYy6WuyQqWBzkMS96W7fWd3ryH6GblMqpRCYVKBxSKRjjIltRU2UJQGJEKTYMXrYkMrfnibMuc3Nqud1dagWNDMSOMjLDc2hExD8SDvJhTy3omt2NlVBk9UIHW5QYi5u7lMe4KckLrVEJ3FztK8mNvO63fauLNPCNaq9JDqTzrzLSH2YrKV603bp0BFKpg4OjEhIcpYHpHoEqXCxuYYgRisMkcKKNm8DyhMJgQ+0dcSCTga4jjG4sAkfZnBDNb3KKVs7H5pOMIpTZcXUeqhgAGsOE6ty0gmQjhpD21pzcngUCuEXFvgn8OHIBbSCkcDB4CltRyI76MCBi2lTiV4A8hSD62yl6PXEg/hfEzfK26LOY8T+4gIYllLCnvBtVGFgXNG8FURemdC6SS7EJisbzIphop0yA6XoNUwY5DqNmvZH4FXmeFiqUF3ATUPSkt0Wist8aCWzJ2d+1zdvgxtbh3uyq7Syg0rn3fyIABoqgbA4rzIUCUyAzAMA4kcNWMi8ebOA3b5Ua6QlqFALQDlaPiMZWUDbWwOI9jJwLGNPbgotkyGsBFfSZrmbsmJLWxPA/BLbNZ2z+1tbG0iHZlM6NhkhwVn4LU18N8XBh2RNn1YkGnpn9GNyrz41jo7nBCC8+k03QMKnDoipgLbgCUYFbuG8yCLRIhjFNakAsiy0JCMHHliU6VmhKJrXMypKf33Ll5ARKU+5VydDZyYAwSkMDOJ2Nami027hCQ7DuheqpzCSrCPDd0JexJE46LqSkvIcchAnM58LpZdJF8GbviJL2yS47C49iMRQaSAcSYSZTXJkK32MmYyeKISoJpRRFlJUoR6dvJL/xxhx1h8dvKreXGsHL4XdE6fm2FQK4il1pRivO35wpQi9XrL3qA8LWZbJrQCZSul5YpgSHMEz3E+whflirhT6WC5IY6MzhN88nN2RNOAD4dRz/6aEy3AhpMCJvwQhYvjUgPENLFoIThrIeA4tqRCVHASliRQB4U5cSp1pDGWe3H3SSz5jeCGDaFl1iO8p70cDaWi7BwzbL4BuQTFIZQBklRwJpB9GZT+4hop4dJE8RhBUVRUIUhU6BOEeuAotVXa4UvGcjYGiSugUcJXUSowcDl1PpCrM9QSe5lMLVcgZU2uokIXUImliG4b09N0dvJzW8gRM19xRfk0HFMGN8ZcuCDrI2JApSCnedeiy3IiKg0ZYcPYgzhRnvnuOyGtVVK9YNW1tTil5myto3qlv0zVsDyRoF3CLQs1MJbclrhrjqEZmW/VR8qAziNHTQQ4WeyqvlJqr3ebBrHqKies6qW+KhDikcRI4Hkng8ygyDCHqMD6FI4qhS+K4i/sI2voR9CiSMTgLeoTgLIfNu+W7rfEvqcIiGoAPqLoG9SI5L0B9X1BjETRU+4qUPG9Sr0Yp76S5XqQfjrxdyGKFfoX0B17KFQLWI6uxzvqDvgwvMZy4iQ7ALVgdzmJZXbCiY5Y1UFJL1guGzgce26J+xHNKxZTp5v7rOC0KzBj5QuPiiY8bnAem8o/AKK8hJR9bjReRJNyyvnNNcYNVCQLRV1LW6+8PFjcfF28QUMcG9rXJp5C2i6XH672eqwXr+Fb2S+eeVJHRcsggPRRuAnXeujsK832YsIIMZmze+hK/J+FzF1sMnsCUkGy3BZe8LXdWmqTsjanWXLKQXy/fidHIRIa7TfRwpAWhuJhdTyA2iyaMc9dUSHen+6PTtsZ/TOieCLfBT0IAz7Cz6x7gDsvXbsVY5CrvutRJuHbu/xTIEXy8BlFMlF6GN83JpSahtSDaqa0L4cQqMxomnl28cEe6fwwBF2pWB6tZynZuFgfqBD/xMwGGCkGX2ovttrLncXrC3RgwxZPia2jdidd7i+1VwFuNz3Bu03fVZ3O0mpzZXXpRvHt1fZiOwY8wIUGh/vLSzeud5ZXFpdXDzyIPgcHbA45aC62k37e1cqCs0UarnmPB18bYbwBFIsWegXEh0ixHyW+nenBrdi5/msLCxRYjEQtk/UWzIFdwBxLg1Y/7vtoFrjcAk0LPDlqI8OF9vKrN/C23O6Bym7YZ8gOy1V7uLyGgicTvQE79dvkuCdirUaHw8+X4YbJUzeLWRSDBRdwuA+SWX/3iy+V5ZOsi40xFbcm5AttoxSSh5WQ8BiLxjVSsh3ff3cqVb1f/prA5m3Pxg1mI/ApJ6GokOKTkKP6ZJADowZjZAES8uwRel6q/w8=</b:JenniData>
  </b:Source>
  <b:Source>
    <b:Tag>ChenS23</b:Tag>
    <b:SourceType>JournalArticle</b:SourceType>
    <b:Guid>{f2cdead5-fdb5-4a83-b270-ed7915495fad}</b:Guid>
    <b:Title>Foundation Models for Weather and Climate Data Understanding: A Comprehensive Survey</b:Title>
    <b:Year>2023</b:Year>
    <b:JournalName>arXiv (Cornell University)</b:JournalName>
    <b:BookTitle>arXiv (Cornell University)</b:BookTitle>
    <b:Publisher>Cornell University</b:Publisher>
    <b:URL>http://arxiv.org/abs/2312.03014</b:URL>
    <b:DOI>10.48550/arxiv.2312.03014</b:DOI>
    <b:Author>
      <b:Author>
        <b:NameList>
          <b:Person>
            <b:Last>Chen</b:Last>
            <b:First>Shengchao</b:First>
          </b:Person>
          <b:Person>
            <b:Last>Long</b:Last>
            <b:First>Guodong</b:First>
          </b:Person>
          <b:Person>
            <b:Last>Jiang</b:Last>
            <b:First>Jing</b:First>
          </b:Person>
          <b:Person>
            <b:Last>Liu</b:Last>
            <b:First>Dikai</b:First>
          </b:Person>
          <b:Person>
            <b:Last>Zhang</b:Last>
            <b:First>Chengqi</b:First>
          </b:Person>
        </b:NameList>
      </b:Author>
    </b:Author>
    <b:JenniData>z:rVjdixxZFe+sWdwnQXxx9cH7Zga6Oz1fTiaizmR6JjNJJ1mSDlmyDOztqltVd7qqbuXeW/0RWRiFzfqgyCIsi4hrUBbxwRf3ZcAH8U/wYUHwQUFcBd99CIK/c6v6o2Zn1Gwv5GOq697z8Tu/8zun5zsntRfDWHncKn1Su3CU8VDczpOe0L3lK4HSMpTpxSTzg30ZRjH+WoNj0t2QKjXvvnxSe8Hv9dTopHYxiASdePatf711zGq1mh+LwD7bOnjjjZ/hybMqe7a19sG7+LkmhtK30bOt9jtPtvA45/fzz2nwa0s/fr1qkN4tYHDjpz/5XcXgWwsa3PzCe5TjnMEFU776vaf0MDX49nsE6XMa/K4+nhr8+r9/Qa+mBr//K3pcwOA39Pv0MIvwhwTpAil/86NfVovyZEGDW837FQzfeUIsWsTg3z88FeEnwHDe4PbPX60UZWGD1w7/WCnKwgZ3vvjwz1ViL2rwD386lfKCVW7/4PBUyv9XlX/0EeV1FrF3r3+72nq/WTDCvRdeP5Xygmqz99u/VPVwUbW5PuxVq/wmPS5gcH/5r9WUny6I4f4/RbXKi0Z48P7fKr389tMFMbzBo2rKv15QbW5++R+f7tS7+eHR/5h64lGurBi/2N4X2kSeGkgvYsIyHjeZTK1WDT/3hM8482KZcCtYJjRWiISnnmCJ8kXMPK79OvOFkWGKo0NpI2YjQfdFapkKWKa5Z6XHY8azLMYPtGYwDedSyzRkiUxhPMaNhrPtXuMPWREjeJQJLOGAETbPGE8RkDHKkwjIZ55KGlluhWYRIhlyLdhrK5sbh022zWKehjnSLUKts36qhikus53OQYPd2u7uXtu922WvLW+uH9bZEC98MRCxyiaJcBaoPPWLkGTK2gf3Gqx70OncvUM3t+vMZMKTAWUXj2coIA/EyePxY0qwBK+B3YsSoaitGNkm60bSsAGwh4N4BmjKesg8yWI1xlG45WzAcdeOCU7LTd/AcY5auYitALxzbrSIS2TSBtUA1ZHGEzqlQwYfODzJ7ukbGdc81DyLYF/6dDIYO8sqSaR1txz68Afbc36mbhBII8yliZyvEhsWaJWwFFemn5z2THjUJ6UFhufk4yhlFdghCAoURwMvK0KC1hAcoIsjjhYUtChrZxxw+LgL8Nie0qAvKrpzysOeTMFsCaq1gVisTK5h9VJ3Z6/N9nINAxqGA5kKhwVsgkhTGqGWRgjHE3I1VLpPR65zraWvGreE9qLff4Dqlh0G2m0S7SLFctRfPkYELqIuwACJW+uHlCu5a9gcGZPVgiPEL3qa4kmkIGcz0lHNJxm4/Br0aWGvTFJLMIlgTcGgCeUnne5FaB6BLkK8I+BuAGN9Pt/G7d3uw927dyiPK9P2KRsAfryYShmMkaBwyHEWygHwoVq7YnKJwnCWAo/HQqOqhC4Ux3Wb5ToU6JGbiDJCxBPUpn1Rgd5BLvXkw9udVyA76gh5EasmmGR5D/oz1wNWQTB8YFBJmuXGIcgtQuYUO7U0cbgLiEhqiKh73BM9pfqo1DrJjU8FP6l9LuI9Y0nyxp99ZRv5aXSRdHiTJMb4xiVIPS9tHyw5FGSao0QADI0nfaiIGKh4IOoljXmcUGF3YQf9Tg1iE2UyBEWZeFAUD9fBPZl6OE2Rwwb3VeZEgZJo+NoB77iD1s7U0KXUGxNIIRhi8H6ifQQMWcOzyFgseCEcl9qdpSa7Nyd3ddbuoJhelMpHlAJJb0kVGBrPSI3cfLSjXzAYGCuMA5cLNCEGvTkQJSrD7zRVMzZWJIiWzsEC930KdL5UcSxQLSio5AwqDR21OEzBDoUrm7s7uUBINNlObgmXhvBR5/lpBspVusm4dgAMKfqXAMNr0hJIapIpTeMIKMB7BN73qO+5F0lA6JP2AEMgYCOt8jACTqT1qKY0Trdi4va0HJURUryqDi5IUKdzyyzVnS+R8l5MhCx1wRFbK7DAEI8ibtlYipjCSLju02Gmcgs5pBp5WgFEGicqR79iHoKsgieTseLYXhAjI7KSZiBy7g8IpYnsgcKCINg+aLJ9gIMZBgHAMVAAMyCOgdpAoncm9zHiLbUAKkQVgwlP88C9ntlysnZG6ZrsgPqb9DXXAwHiwZUKAncKlIt4DqeuZdDWAFEhnoEUQ/IDjzR6gwasNsAs8pNAkJSvYhXS1KjgD0YB16Ljz47GEQkhFPuBu4zoA+UBT9IthACFKeYRUZfUruDeHUyrDNsM12N0PmKkCqN/VZJBKnG+mGcaULltqWiJq8yOswKz86OBWWh6hlvFgOCYNZIWA9L/evmh8VDTIqq5TaxsMbKDBYuCOKcI5QRMlAbSaAw3VZxUq6KxwSP3fMpBOakna1RJ6f+GbrWbXblxBxIFBS18BcTwr2LcazHgkBlaF6aCUC/J4em81F1MJfyaq0iUmK3Qh1iccJO2W2gj6RdFFOSEGFIzECUvKlc0qpAWUaFslJpWaHZGG2xGMdBCRLkh5tkC7BZcgyK4tROOUGxEn/A++JFjRnBoP6KbSHAxxODNVwkmY0GXgvBEEp6ZnLYUanHSBWNLnWE94N4vpcZZmURPdHR6gtXsY2PguQoAyYP0SDdEteqh3eYqCly9XGu3Hc5kgubMWYs/nS7rgjhBeAjXtDCO8YTxLIUMYksqZ9FQzZh7Tuf8Ni19K62V9cZyKyl3CaEP0kCd1D4T8hz9rc0xMsoQAiY1fhfqt5rrqwKFisXoS1y/Kgfs0o7SKVSO3U/hVKNY46WYrGnZy3HFvElfuVKeCPwfBDyR8djfAQ+E22TkPfwY0jzztYpF7YzDHQVCusPh9RySk4bnHRU3JO0e7qx/A0Cfd9DryLw4Jtqyz+W5Bh+6ZaZwTkGHj8qznvTxK9+Lnq/k6OXlVnPtyvp66zLXIzlorqwurzRbq63lNSyQvfQY/5r0OIJwYIsSo/6DtdUrm2sbrY3N9SO8yotSHKEUq43llUZrI3FLlgGrimpccGHpjyPdn5T/vo5HLLI2M1cvl1EoHV7Gb6gvz6IJ0TKkg8ivTyuVF4suHi9Q16ngpkz9+Y/R2hBznI09NKB/bbwDttqXMOmgC7Qx+Q+wrBn3aa3kRHdvplG3Zi3yYK5Fyu8LDClzZDLXIlfxbXOnohL3XOcG+CYuPXPsU+wvoU3i0Vco1UqmWBjnMv0P</b:JenniData>
  </b:Source>
  <b:Source>
    <b:Tag>SchimanskiT24</b:Tag>
    <b:SourceType>JournalArticle</b:SourceType>
    <b:Guid>{31bd8db7-679d-442f-a60d-3a12df0a960c}</b:Guid>
    <b:Title>Exploring Nature: Datasets and Models for Analyzing Nature-Related Disclosures</b:Title>
    <b:Year>2024</b:Year>
    <b:JournalName>SSRN Electronic Journal</b:JournalName>
    <b:BookTitle>SSRN Electronic Journal</b:BookTitle>
    <b:Publisher>RELX Group (Netherlands)</b:Publisher>
    <b:URL>https://doi.org/10.2139/ssrn.4665715</b:URL>
    <b:DOI>10.2139/ssrn.4665715</b:DOI>
    <b:Author>
      <b:Author>
        <b:NameList>
          <b:Person>
            <b:Last>Schimanski</b:Last>
            <b:First>Tobias</b:First>
          </b:Person>
          <b:Person>
            <b:Last>Senni</b:Last>
            <b:First>Chiara Colesanti</b:First>
          </b:Person>
          <b:Person>
            <b:Last>Gostlow</b:Last>
            <b:First>Glen</b:First>
          </b:Person>
          <b:Person>
            <b:Last>Ni</b:Last>
            <b:First>Jingwei</b:First>
          </b:Person>
          <b:Person>
            <b:Last>Yu</b:Last>
            <b:First>Tingyu</b:First>
          </b:Person>
          <b:Person>
            <b:Last>Leippold</b:Last>
            <b:First>Markus</b:First>
          </b:Person>
        </b:NameList>
      </b:Author>
    </b:Author>
    <b:JenniData>z:rVhNbCRHFfZmF8QBIZAAIZCgkFbKWvKMZzz2eJ094Hhtb3bj9e7aY5bAAaq7XneXp7qqqar2zEQcHKHAkRMHJIIioQiJHDlZKFI45co9EkJ7QeKeKNJe8lX32J7xxlJWs5btme559X6+73vvtf3WydxX0zgrdf+uGF6Pllu81Y7XGq2otdxYXqO4wSNOjU4iEuryZXxRqkzMvbEnc1cOC57SbplHZPlSYqxMpb6WFyJ5TaaZwo93sJLVAWm0++PJ3EsiiszwZO5aklEwePqTz9b/MocvoSjxT9d//N577+Iq9qZ4ur77+48ZLmgghc+ert/+TS98NhH1ynM6fHDzs3Ax4fC/Mzr8/3fDR6cOf/jaJ796bofX//fy+pnDh49+O+lw4/1PP5wtw4d//9Z0yQch2AwOH730bqhxAsMZM3z0i8ULLM9IyqN/fBA8TJQc/M/gcO/rOy8Wwz3x8QUMZyx574PDaQxnLXn/O59OYzhrhvv67eMXiuH+R98OHl6cw96P/jrZerOX3Bu2L8hmRlJ6//7wAobPP22mHB7MP5iUzcY/o2A5w/g6ePujKYfv/2tGUg7+c3Chl7/cCngnpDF2eO/7Pw841Q5/8Lc/hHk1wfJFDOnXpfE0uvbLbWMZDXleKFpgPiPmyebsyfGfNW/40tKT43eY9I5UwmKumdSxKgUxrmCnsfF0ynLiGq+OCSpIi3DL6MpXbLSnoW+yPYpJezYwts8y7hiP+9oMFImURLB0xFxmrI9NXnniWiCU88QFK71U8k1yLOdxJjUxRdyGgIxb3PAUhzwdU7KP7C3XDls6J9uIuIP3ja29HsuNIOWarFeFqq9YYU0iPUusyc99Kq7TEjixgvtQomO1G1TE8aHFJ7qCkJkEWA09cxV4dc4pl8HOUc61lzErtSDrPD6qUKlPOHZjk44ULMkDyCZbarXX5pvsoZUgA6UglzircCosNVASqp4qJGQTK5lzT40qLukjaY3OATJX4yDe4HbGdQxUwAVONnD0yfGfzmucTg+wnXJRUCwT5C9MjuBI+DE1ULOTGhifZb3UvsX2QQGKdX05cb8zv8CQ/YCUCq8J8oeYQhHj/EMoYQZg2BLPmeeuD3aCFgPrIeeFqXozfkQsItKsDGSgNEGB+DMULCm8iHPWgG7Fzo19z/M8gnQm8lu6xXbKOMbjmkQcPlLGImHguFnGGUFisGmhhhTvLQCdgneBORPL8Foxbo5CIwSUb2zt35lnQrq4dC48CiL4l0AHEXkBCFS/cligL6EdRE0tCh5wB9Gn54Xd2MClgv4myoF4oGxLTEKGyhlIMLVmEM4BYDhVhCw5nlxTtlNpeOdUAvdrgG/s7Nx38wHYgtuggBI0SM0j9J4fncErTFwGFHBgd6qkW+ynPM0oma6zyURo+ZO5b2Q8Atc89qOrr+/y0LBVrmiW3NgiMyVwMACxwLB4g/wCZk4wIOfGYIzFyQqIl/zLNXzQZFWjmVAyy8ygsiQ4NPkISgBwiIwj0mdwDLCAkBDoNHQJLE+xEqFtRRVK6jBEqif6qtmQpLGAgGHmheQDy8o4vF1AJmGUHEmMRcEhZUKo4CdWHDpIJBKbUOzYASZdXmpZ/9HAolG4UWCOEvrgcZUSSmKmtIwX8B70GyQdsi0RCdMDIycMFNzpoX2QLiQIVzW6Z4xtg0Qd5Mo2z1IGe73d7c0wcrjFmCox19SoKiQBwdV4CX7Px4AE6bWkEXIAx+gXRCQHpkKpkTRCQmIOYqn7mELGZ+cq3zF6HQiCdBoWZH2Da218rasat5qhpYWlVuvZ2VrNwQlQz4b6dmmRrYWQajKwSYIC+CVYQ1bBNMzWI67CWoLbzHiHzsNKobCeEE5IC7rUiFGS4A2SlFqgKywoqncNT23ArgoRTlSLylcMPpjirVZZIiHQIATAVphQkMFKVWg+vEFRQY3P6Gw69Ykl5HCUmorHcegRsYkzKXpupdFu5WHthp1h70LFJ3NXU156bFd3jGFZoBO28WOsaDU7q+SlVzTY39/bZVsKdWLMgfB7EJ5GbsGTlVEJc/e78BCieU54TRKeSzU6PJ9vlIJ/nfRMJLkT1iiae9ae9klD4pVpcTuT3HJ2G6YubMvLDqV3jPPKDOpj4g4ou8w02h07T++hnwd0qc/ojfI0YRiOysvssh2SRWGUGFvf57ZfjsuLpcBf/l+JhZG+3WoutTtri85Z3VzudldW2ysYEZE+xm+n35LtlZVuY6XVvakMnpFerVi7K1xnubvaXlvrdFvLnbVuZ6212s2CAbgd9h/jXnupu9a92TqEl7Jm+RAsLzdabXznRRkp6aD9mugrVfbD7+1t7fyM3cEEKTCmKfQGhqZw830oD8TGdGDVkGXeF+6VxUVuh/KoaWy6iH9qLC512kvN9mqns5q6MvKjIqDRr8aEoh4ur0CIZJLX0Q2TtwkLTI1gq2I8komN0W0MMH8V6yfBYsJkF4+xCVx195u16oa7W8MCqzeM3npqvcJQ4fkAHe+mMI9fBSSjN88tG3vj+TYx1RI8+8rYHYuQ9dfiEkVePy0SJFUlfhFRnwM=</b:JenniData>
  </b:Source>
  <b:Source>
    <b:Tag>VinellaA23</b:Tag>
    <b:SourceType>JournalArticle</b:SourceType>
    <b:Guid>{f39dda60-22ce-4e5b-94f3-2c07a32880a2}</b:Guid>
    <b:Title>Leveraging Language Models to Detect Greenwashing</b:Title>
    <b:Year>2023</b:Year>
    <b:JournalName>arXiv (Cornell University)</b:JournalName>
    <b:BookTitle>arXiv (Cornell University)</b:BookTitle>
    <b:Publisher>Cornell University</b:Publisher>
    <b:URL>http://arxiv.org/abs/2311.01469</b:URL>
    <b:DOI>10.48550/arxiv.2311.01469</b:DOI>
    <b:Author>
      <b:Author>
        <b:NameList>
          <b:Person>
            <b:Last>Vinella</b:Last>
            <b:First>Avalon</b:First>
          </b:Person>
          <b:Person>
            <b:Last>Capetz</b:Last>
            <b:First>Margaret</b:First>
          </b:Person>
          <b:Person>
            <b:Last>Pattichis</b:Last>
            <b:First>Rebecca</b:First>
          </b:Person>
          <b:Person>
            <b:Last>Chance</b:Last>
            <b:First>Christina</b:First>
          </b:Person>
          <b:Person>
            <b:Last>Ghosh</b:Last>
            <b:First>Reshmi</b:First>
          </b:Person>
          <b:Person>
            <b:Last>Kai-Wei</b:Last>
            <b:First>Chang,</b:First>
          </b:Person>
        </b:NameList>
      </b:Author>
    </b:Author>
    <b:JenniData>z:7VVNb9tGEJWbAu2p9/bSvRRoAYmWLNl1cmuUJgiSoIWR1O1xuBySGy13mf2QxFzqXvqf/O/ylmRiG47PuRjQB8SdnffmzZvRf5eTB6V1qlLmG34XbeDuwb/PjXAs2QTRMTk/FVKrhgILWZOpGIctOxm9V9Z4UdOWhTLSMXllKt0JSW2IjgvRxlwricPAjn3IxBoXAIPUukNa61rrKPRpyLHgpq2R5D3SiFCzcoLNVjlrGtwgLbgE1+CRUPjoAylDudIqdIlSfxKsyK32wBsTfKTQUMWZ+IfDNB0Iyj0bycKWwgcHvFSt4yrqkQ4gHG8V7/qQKOtPEKS13XnRQisTFFhVjtnsyNdIkwmIF2rlkTYWqHGXtAnOFhFoJIzdshatYygK9q4TDYfaFlbbqkvsg0NVCNRQOoKzaGyBG9YIUGSIBVk15ay9gBY3sIVTfpOJPyKqdigYyaUFtsrjUBMqtk1L3j8SBYOHbdMtukmHIA8+lERlQGhGRRK3d5FQcdndRp0iS6kMz0I0ILge/PL497PXI//EtZeldTbX3OCCKXCpJ5QsAA+RId15xEBx2CXq4FFNEiPAPMJz6MOBl2D7tnzOA1NhoUCergzYJGuFcgGHXFtoCFVJyuhIdsLDhL0NTk+y5eqnntbTxdXjeXby6xRyNRAQvQmDNSn0ICjGljO8oLPkFoDXmunrZJOkrm0GyoXCWPViIjHvWz2a/0qdQOhgsbNuczn5roZJASnD/Ujej+T9SH7JkdQgx95z8QQaVkfzo+PZYtGkVqJYds9NafFHWlEElvMX0LrF3D7F27pini2XHFTQvP+B3N9qK35eW2dYa/HGQGXnIdUv+pMxkOH/y8lXhaGG8V2W1CjdVX8BSWviCldM+duWtDWFs5ont4PLNbUc3g+x9StyFWY53BWt/qQAd6Ha4UJ1xjlLSXdnx9KRPASrdY32owl3hvOz2vp65H3Gvm7UXaHVC1Kzc1ZjcMKppkOwVIW/nHwtC6v23y/m2er0+Hh+SG6vttnRcrHI5ovVycNC+dxc4NObi9q2DP/yfnO+Wp6erlarh6ujtziKQx/foo/L2WI+W86bfieB5NjKg56Xu92mDaYANpP8xum9qENo/aPDkYV11WFblIdXbCof89C1qcANOUis+TV+HsBgbMsXyhTXHzP2qe4Qq6XCTnncrW004SA4LrGrIXhxjj8G3z+djIZavMQYYXySl19+3E+v0oz1i/cJB9hbPLu2HMqAHSP9RZGIfYuR0/sfUx03ysAuvlbGBw==</b:JenniData>
  </b:Source>
  <b:Source>
    <b:Tag>WilsonB26</b:Tag>
    <b:SourceType>JournalArticle</b:SourceType>
    <b:Guid>{aeb828e4-4fc9-4fc8-873b-e20c8d9b4683}</b:Guid>
    <b:Title>Artificial Intelligence Models for Detecting Greenwashing in UK ESG and Green Finance Projects</b:Title>
    <b:Year>2026</b:Year>
    <b:JournalName>World Journal of Advanced Research and Reviews</b:JournalName>
    <b:BookTitle>World Journal of Advanced Research and Reviews</b:BookTitle>
    <b:Volume>29</b:Volume>
    <b:Issue>1</b:Issue>
    <b:Pages>1261-1270</b:Pages>
    <b:Publisher>GSC Online Press</b:Publisher>
    <b:URL>https://doi.org/10.30574/wjarr.2026.29.1.0177</b:URL>
    <b:DOI>10.30574/wjarr.2026.29.1.0177</b:DOI>
    <b:Author>
      <b:Author>
        <b:NameList>
          <b:Person>
            <b:Last>Wilson</b:Last>
            <b:First>Bernard</b:First>
          </b:Person>
          <b:Person>
            <b:Last>Shallangwa</b:Last>
            <b:First>Godiya Mallum</b:First>
          </b:Person>
          <b:Person>
            <b:Last>Mela</b:Last>
            <b:First>Samson Lamela</b:First>
          </b:Person>
        </b:NameList>
      </b:Author>
    </b:Author>
    <b:JenniData>z:7VY9cyS3EV3asuzUke1AVahyuVRWcfd29pYfp8Q+8ng0fXc61pHyOXIVdtAzAxIDzAGY3R1Fkp36Xzhy6oypf4Ez586d2UqU6DVmlh+nj0CRAgZc7s4AjX79Xr/GZ1ejHxbO61LbH9Ob1kXq3v3reaWDCLFVnaC1rLWlIGJFQjaN0bmM2lnhCiF91IXOtTRC20jG6JJsTqJ2ikwQCCsURcqjtqUoPZFdyVDxj8ZLPM0RVlvx8TNxZJfaO1uTjdJsizPHQbeFtEocuyV5Kzlu490FooX0PMUThe5faaujRmJLChNxjlQ9BZI+r4RUCt/DgKD0bsUJ5A67PFAguKh1MCQVPw9tiBIxF9ro2IncSF2nJIGtigyaoyDjp+lghn7orGrzKB63sUIhY/c+Jxj1+A5i3xpkWTeGGCQpjvlCdmI2nc0n4ggvXMfrJLJZkxrXhGgKkRqglnm1jYOvSVG0JOMavAWQuvFUkQ3ALgova1o5f5kIKT0qgpgfydh6ZPpc2rKVJYlT71D7wO9AT2X1m5bCtggN5UyoNKYT0UsbQGFNfryQARkPtGqbmzYV6+Do1Xni4tDoWkbi39tipWMlaqQM2QjU1duEy5RcnArVDC3TEsQfjw+cCzFFeIUPV4unDlzFpJw3LRcxJk7BPCkNxUB3vBq0IHvOlB/1hPcFc8aVHafofOMAH7RLoWQEgMTex88GMFw3aTWF99/m3BN2RpTj6OxYKB1y40KLtHo53pWdcnmbRJtSKzwgzKbZvoguEbvd06NTpef7e9jnUQCZexeCqFsTNQQhAkTt/CDcO7illaYL4L2NSO6THk0LKjey+BAErmN6slkaK+/ashIfPT/dUMZk0JKT2N+dPJz/Cg9yKCLnSgmtAEAXSX13JavDpWhkjGiUAX2PG6of98VB9/Qtf5NowuqaqGvkC9G8LYQhpaSSV//8h1hKA/ExN9PJo71H04l4Rh0fxBILYGNJQBcriQ472ezOpRVUFGwt6ATAGDAkvkAgJ4mgC4orpusukyJAHVxKAIINcfHotv+IhjwLnxke5My8iQBA26K88aMQPRofEd8qDrsL3kFT8Cr0u4e5ogOgfF3aJFsbN5IG74z9TuEXVMmldq3vFdH3PGJGrxctSxryYhuCXAkaZ0iLjt1xqVNfSuHdAqJGR6OX5QISu90d3F2eytZInN6JhVNcK0agLfwzpYQTyFYJZTKCRnrwnPRy3S4Iu+mDWvpL4p5hSbMVgJPQNtxIyWSSZ8IX0Q61jlxmPuFGlpbi+BPyOBReHNBLyEBCWjFMFNvZ1einlVxwTfN4P5/u59P9fLqfT/fz6X4+fQ/mk4FW2b/VE4Qt0VW742lWczWQBPkTW7ir0Y9Kmdw3fAonakDqU/w5r7LJfEqI2NIWoakMrSevnTdK/B7VhWS59I/VkjHAg65HBhsSEqNVKJbOoMN//l5zfeJzB9tx/mq0pRuYKZyrpKvRD8CrD/EUT37xzn8rGNTw/XNzzRzy+wtWKguTxv+iwGg1XfFam+AslZCyLQ9YXB4zyxkafXXxxVkFd8aRK9lvqI9BXycxSwwS/aZt6gWZzYYzWeM4DIMaz/oNRSXDqSr+l2sVrkbv5Mrp9XvZdPJwurM3f7C6kN5PuPKT2aNJNplme3vopoX9FJ/BfqZnO/vZ+NFutlO5hlBVWl++3stmO7tZNpvuYNFL+f+LxEIi8WIgcTyb1027MDpUGx63Ut7N8dmheGkN+8YpD+8ytIvYNQzoki8duaFz/NyCUMgVz+AVtx8Teth0WGtyNIg66A5da+MoeiqIVUwKGrgM/dNBFn96fHOXObl9l3lxc5d5cn2XOb7drcMNBhaTritpPvS3gzRo042liK7RObP/boE5Bx0hvYVWcpYAu/7CI87gWtgWqNBkVL9kMZumNetfHkFIrkYYjKb0lSCrvO/c4UCsL86zh9l8d9hzdqtZN0ndpHmAqwtuRmyHX/zm3//5829Ho1GFWt86Xs2m04cpWDns/y4YsvmQzwHPBzC6DcFa9EeyAk7ocZ4zHyhoj2GaZTv9nl8fbmb5cC/kRm1gEXoY2K/SwMbODZJ//e5nAPIVJNl8up9Crs7gaTCTLp18k8h3QtaHfPMEVyc2rutVPYz5bHegLztJxpQc5yQdfKBLgX6QArs2dUkv+DyK3QbO3/7+wdcRk+0PxKw/uFXL4fgU5yUGWbqZhGtvU9xGP8HwN+txFWMTPnzwAN0+cb588K0Nf8m3yj+QZ4xbXwI=</b:JenniData>
  </b:Source>
  <b:Source>
    <b:Tag>CalamaiT25</b:Tag>
    <b:SourceType>JournalArticle</b:SourceType>
    <b:Guid>{a25875ac-41f4-401d-a5fe-45cd102ef364}</b:Guid>
    <b:Title>Corporate Greenwashing Detection in Text - a Survey</b:Title>
    <b:Year>2025</b:Year>
    <b:JournalName>arXiv (Cornell University)</b:JournalName>
    <b:BookTitle>arXiv (Cornell University)</b:BookTitle>
    <b:Publisher>Cornell University</b:Publisher>
    <b:URL>http://arxiv.org/abs/2502.07541</b:URL>
    <b:DOI>10.48550/arxiv.2502.07541</b:DOI>
    <b:Author>
      <b:Author>
        <b:NameList>
          <b:Person>
            <b:Last>Calamai</b:Last>
            <b:First>Tom</b:First>
          </b:Person>
          <b:Person>
            <b:Last>Balalau</b:Last>
            <b:First>Oana</b:First>
          </b:Person>
          <b:Person>
            <b:Last>Guenedal</b:Last>
            <b:First>Théo Le</b:First>
          </b:Person>
          <b:Person>
            <b:Last>Suchanek</b:Last>
            <b:First>Fabian M.</b:First>
          </b:Person>
        </b:NameList>
      </b:Author>
    </b:Author>
    <b:JenniData>z:pVdNbBvHFaadGEl7aI9FiwKdUyoDIk1SomW7LWL9OEpQJ/2RUhcIDHS4M7s75uzMZmaWFHuR2ubSQ4uivrU95FqgPfRU6JYguQUIECDn/JxzcxIEiREk35tdkZRsAQpsgCZ3d+Z73/vee9+s/nDYupBpm/Bg3WHr3J2SZ/KFqhhKxy+n1qlMmceLUqTPqizX+ASPVSpuUNb4vx62zovh0O4dth5Pc0kL7j/9+ZN/b+Gf0DIN96/3W99+DVdJsCUuvvU6w4WcKBHy+9d/dfAYPVuIeuEbAq68+cqri4B/NB88GuBg/5fHAcvrjwa4du2HhDAD3L9HKx8B8Mon7y8y3Li7dXAGwC+e+BdBNIArr75Fm2rAn/xv6XeLDL/3ziOm/LPRR1SFecqfng3wbwuAvXs/njN8+qn/H2P4J3+WlL/658e07GEMr//0qUUNX3jv/Fna5osn/nGahutvf0iP5hq+e7Yq/4XizhnOATf+s32sD/c/O9uknACcp7z55/8eB7x3tqKcCriVffdYUfa/PNvonQp4Y6s6Zg77nxDhRUD5cmWDnF64u65DbqssZ5k0sCrdLitXWi9ZYYXUnvkqyRn3bOPGr3fZS/3V24wbwW7e5M+vs5d6ve5tlvOxZEIWMLHgeJCC4duajJXSwfgKbhLJlGFj7pStPAvcj/wyC7mcMu7oUS6dNEFPmVaFIoDhlB6zkbETLUUmY8wxrHJYae6mrHTSYwehYp1yDIGVUYiZWLB3vMN2c+VrvOivLOGGackFCxY5DW0ZVME1A1Clg2eTXEaseeJEjZelVuCDPTnZ9pT5UiaKa/V73BW2QFTsVSFnlVEvV5IF6QplrLYZkgPpxCL7MvgOe1bi13KzqR1xUpUsRqt8xTVixGSAD9aBu0ySIoJDNgmioKKK0lloXqd+QmWjEigHOI6Yu5CabUmfOIV8remwdaa5ySo0Qh2ZQSWouRAygWioYttJHYsZ5F5YnnEjTsBPNPdeJRAwVpPZlBX4EaUaQUlACpVE4UkFAwxGFSMNFh5SmSTLLHDAA6khMVFhCX9AJ2xqH7E8kULIeUARtGZDSbX1aO66n1Isb4eK9lDZj7Ai5xibaoxPmFiqtbMc4vlrbKl3cd5SvAkTy/wgMeo4dHXqbMEgNA9JvsysY0v9iyytHNRyNXFg9bG/mTPlw6LwdQiS65QAKJ0xFs2MxVtNMxylECdwKKG7l2MCZzJFT9TdkqAVAil6srBHuLckDMErM5JMBsZ1B3NNc55x4k4LT2w0ckING1SiJQaZZpE7cokhGUAScK9u/TiKiO0kfhDd3/Asl6max+mt3UbTwi6o6khMypJt1uHYZo4yY2KgSJ0vEAuyJrRpOg8WLxoydRUavqiGQhtA6IbQsFIagY8qNm8HiNRsmeVCXQ/CO0mOB8aP5pyvXjlGec4utmFqk8qDCM0JNf1siiy7YcYKvliQce1YcpHIahuj7Ewc36UbO9sXO0xMrBsdtr6TH+U4PX9326G8E+5z6kjMCtysrjEhF8rX1oZhKquhRk58aCuihJrOw9KYFSUAo2ZAgDphujzzeA7nJhXQvSQ1N1PqDhrKsRKxhXDXSVilV+g4X7kxPBxYFKdRmwTVMHEUvqLpEgKaorsyZugOKMymF7hJ86yQOIVE7W4iwsDkcUDhV7SdJsPo8A9p47rNwK6ADTcv1MuoEmwGF6AKjtmCgjGtIQZjFKkLWGxtVifWUaHBCL7lCngWBWlOL6qck2MlJ3XypFvbpm1ctNGNC26ClnBM4mcjVBGDC+XRKH7m68tHEhxBx2MJFzheJJwN3/PDjMqPISgx8EkOfSTmJA4yOtRHE63rhXzQW5EkYud2wlKOsxJ8UyW1gG94Eg0rqfaT3GoaN0CXFjkz6qC0imWczYVQrpbKdzRPqHxSwI5k1u/2B+1et8CBF8jS3HMmtYetxzJeIS/nD0CfWu8ZfKwT3c5gRaL7tNz7AXe/VWO2tGmdoVRfNKgYDClML2pCc2pYYYt/hV6CDC8kvtOUF0pPs02uOdxSZthikl1bCIckWg9ZuYGVmlf1SvELbvhpS/NtnB5ScF2vzXfzN/5t2U156vodjA83clSvV8/woYL0z3fqDYkS+EvvQiKs2vt+r9tZvTIYdC9xt6fGnf6g2+901warPfTD0Bzgf28ONFV2PYr7nPCD3pXLl3tXeysr/ZX+6mq3f7Wf0wLw2xvdwo211f5grde7g71VXYw7sRjdfrvXK6IfeBh5XY9zkbx7UOsRSmwrl8gXnd77UR5Cee1Sw9K67BL+cL00Z5vhlA3TkkQYNd67i8tz6Atp059j8BZvSxiPnmKtTujtbmO6aSsTzgUnU3rxg4veguH5eLfVNMUKGDZjfcz6tmajinedXXLYNlp3JzpRindflfgDQdSeTKqHJgJPXUjkaw==</b:JenniData>
  </b:Source>
  <b:Source>
    <b:Tag>ZiemsC23</b:Tag>
    <b:SourceType>JournalArticle</b:SourceType>
    <b:Guid>{cacc3776-99d6-482a-a6f1-a7e235fc361e}</b:Guid>
    <b:Title>Can Large Language Models Transform Computational Social Science?</b:Title>
    <b:Year>2023</b:Year>
    <b:JournalName>Computational Linguistics</b:JournalName>
    <b:BookTitle>Computational Linguistics</b:BookTitle>
    <b:Volume>50</b:Volume>
    <b:Issue>1</b:Issue>
    <b:Pages>237-291</b:Pages>
    <b:Publisher>Association for Computational Linguistics</b:Publisher>
    <b:URL>https://doi.org/10.1162/coli_a_00502</b:URL>
    <b:DOI>10.1162/coli_a_00502</b:DOI>
    <b:Author>
      <b:Author>
        <b:NameList>
          <b:Person>
            <b:Last>Ziems</b:Last>
            <b:First>Caleb</b:First>
          </b:Person>
          <b:Person>
            <b:Last>Held</b:Last>
            <b:First>William A.</b:First>
          </b:Person>
          <b:Person>
            <b:Last>Shaikh</b:Last>
            <b:First>Omar Ahmed</b:First>
          </b:Person>
          <b:Person>
            <b:Last>Chen</b:Last>
            <b:First>Jiaao</b:First>
          </b:Person>
          <b:Person>
            <b:Last>Zhang</b:Last>
            <b:First>Zhehao</b:First>
          </b:Person>
          <b:Person>
            <b:Last>Yang</b:Last>
            <b:First>Diyi</b:First>
          </b:Person>
        </b:NameList>
      </b:Author>
    </b:Author>
    <b:JenniData>z:pVhNbCRHFbbRrsQNbYQgmwuF2CBb2mnPz47X3gVljWMTg5NdYYdV9hJqul93l13d1amq9sxEHAwHDpwREjc45cSRg28cOHLjxgElCE5ABOeVUL5X3fbMOHYSJbv2rqf79Vfvfe97X1X7Z2dLNzNtYumNPVtaPqpkRm/UxYhs3B9upsaqTJU3iipJX1NZrvHtHeJUeESZ0v3ybOlLyWhkJmdLN9KcOOD5K8/vTJfwJ9GU+uePvv3Sd97Hp9ib6vmjg1894Vs0VonP8fH375/i49y6X7sS8HcrDHEl4P9//dsFwH+KzwPIGA3gYf5XvjUD/MdPPg/goxngX77BKc0AP/iCgG9+N2aEOQ753hcBfO+9RQ7/xh8/FfByl2eAP771r0UOP/hMTfkEwJ/2WSdzJTP+pwA++uqtP3MhLeCd+E8M3wB+8+V//3EB8MNLHH79KsCX/vDhXIYLgGsv/JcR5jJk/HlAeqc2nqY3/ve4FD4nR6IyxgqZWaKCSi+8dMfurtjff13IkTO69gghiyksZBmTUE6UxgunslKlKpal11MxIu/JAlCWwsoyMYXIanJOldkD4YjEcD3aFLs9ceLEsCt+1ISYUhwQUL2KxTYezeihGAwvAgeDaDAXulNU0ufTh2I4uBorNuUJWRcsoaPphLR4gs+1dLjwUCBODIfRvasePTQTFSs/jcSBKUiYtOVGm3FnvvhAjtDqmMTOCbO1ZbM60LYz8VbGvLSQloTzto59baUGO7EpKk2TkEEhp8KiCQpBMkkUPyG1oBIWR2RBmKAU63kXicdIwp4v11QfMA6tqciJXJ6QiHMsEZ7Owj1Xj44IeeAWTTh37ujElKZQeGScG1TlWtKdSFSaom+pBQ0JpaoM+WBJkrakRKhSFCYBkZUl1If7ZRaJwxwiwBcIT5UtEDeaClNbQdayllDQ1HFIKXZVVqPSPlYm/P/9J4eDaAh+PZW8oKy1d8IbpluUVGMNfRdLIjQ2WhvwFBi0FBvo7V050miKHCEjB8GR8dOKxMr6vZe5Z2F5twoFMnGNGmvUKxvElodpx1UUs3ZbpMDvOFcQemYVnXCnI7HH4mwaOox60eCuGAOCnBcqFSmNOy7HGFRgrvJMPiYBaSY1VFIoJ7FLlSwMx7MxJpTbEMk9yqypy6QDifh8nvYorNQXz8iazgHD7wRCt1pCI7HL9GIZtMMBHFJHn9FyR54JiLXEzPFUhrzbUUbe6BQy81h91h3EuxxaTVrehIytcU6AAF1Lj+shY6z6lERq4tqJc+JCT3gBdG3ElLQzwjw0ZaL1sklHrFCURXdnsSfSKsiP19/d33qjXUWgsouQxxWVW3vNnVVUrZCznt5dFBRiLcljkZhxk0mjPlaEQ75WZJXvQG0djOHIRCIZG3t8tvSVHLYWZnV684Wt9kexL23GyiqzGl55ntMKXBB64oGOZRXEx6zVcQxvS2tmYb5yWU5nEFAGR/GNxjXe5a4G0ayMlc9NjclsR0ok0ksUupfORfHaQVVSO4Oea4UEYCZNjxsnoEmlASGciTEoosoJAqdSNppGbsH94FTIJDxQGQ2toYFCJWS0ycAquCvb1UytEyHrrNkJwClbV806Cy7VLuNiReyGK9sHB6uiUhVyK7EzlEIVFayLuzuWUygnOAXzznScYElkIayR7INVaFIdGAqrSycACDcwLLpDM5Y2gTkwBJXJuY69VSPekyRsLIhoNoKNFIMNg/pQL+ijCcyGSThXNo/GRdLwnoKkY01xvTP6520fq/QGH1MHYPrDy8O4U2ZauTxUMgJLeSHtMXs5j2Pjw63vzJSxsji3q2H3hYal0pwflNImM5sQeAZB2OzRbTYgBZ6oNCwmzuFimFmpLJwc+2AY9tkWz/ITeY3amsRS3OgE/Ngkc2ll0A28dC4lcB0cLuiubA7f7LPcCLZ0msSElDjNd2p4oIdNwJasGYfpgx7/fvobkRmozBJ2HpZRYzDobKzrhLsANAa41ABvEjnF025uMOaEynxzH6SN8wVJ+rEJYnwgVnqr0Iw9CVvl/Dzy9EEpONbwG0hobGDn/FrwUpIFvJQ1tdJfFSNjPFtHVQXvn9uEY5hSUMKMvXM+GyNsZzbwjMSxE5DV05CUb8Xd9AtrTjy7Aua7LqAjzGozKBBrhY0cRAf1MlbrRtJC+wpHhVD7pXmd35g5Evm5XFULetAymBslrwIj63f7w053o+C5Q85k98rU8NuaxNYFqk41Jh7ztotvbLG9XnR/nZRzNS2TVx6HntvbCw6yj1RrBZ3GLj3B4bKgF/vVBfr+xTsgSsgI57OMcALGZFjnn+DKi//JMSrhx9vL39IXdoBUfsFH5VIW/ECaykLpKT1TVDjKggFuS02jxBpNSx+PTF4jnTSBR08xQ0oWYiu6Ljo9yKU6ztv4x+iM2MpxDLoWfRsO26bxAyWluS6QnoVTcIhMn+WUXx+avHURmbyqpqqJi1WCN+ObcWKU73WjXm+9v4aDlHpbvt3tDrv9RLlReYp/Xflz1d3Y7HX63d591RsOup3NQa+vcbAst4IC9hK3uXF/fXhvMLg37A2Hm5uD+937OQeAycnx03uDjc31Af52j0LHg2KOoJhBp9fHF9o+Yis8F81yqGCyuuWCLMNg8A5wrUCOMc84Vcb0ptWTt3LvK/dgbS3ByTn2UaF8hNNWqG4tqF5TB78hWEPpa1eVvtbvbfY2NtYXLkZ4IsP5iQ8N4Pa4BTrEx2XkQyb9oSqT+cvk+SiCWI33BUq+N93GWc7fXl72F4aWPIXVufb6rXYOtrbhJ80pY/98H3m9ce5DvDG5YL+LVBw003vQTO8rKd7wwMppwsl+Oa5Byp0LUoyKjM2uLPwj</b:JenniData>
  </b:Source>
  <b:Source>
    <b:Tag>MughalN24</b:Tag>
    <b:SourceType>JournalArticle</b:SourceType>
    <b:Guid>{ddccfbe8-1788-4838-ad86-5d6df6ca69d5}</b:Guid>
    <b:Title>Comparative Analysis of Deep Natural Networks and Large Language Models for Aspect-Based Sentiment Analysis</b:Title>
    <b:Year>2024</b:Year>
    <b:JournalName>IEEE Access</b:JournalName>
    <b:BookTitle>IEEE Access</b:BookTitle>
    <b:Volume>12</b:Volume>
    <b:Pages>60943-60959</b:Pages>
    <b:Publisher>Institute of Electrical and Electronics Engineers</b:Publisher>
    <b:URL>https://doi.org/10.1109/access.2024.3386969</b:URL>
    <b:DOI>10.1109/access.2024.3386969</b:DOI>
    <b:Author>
      <b:Author>
        <b:NameList>
          <b:Person>
            <b:Last>Mughal</b:Last>
            <b:First>Nimra</b:First>
          </b:Person>
          <b:Person>
            <b:Last>Mujtaba</b:Last>
            <b:First>Ghulam</b:First>
          </b:Person>
          <b:Person>
            <b:Last>Shaikh</b:Last>
            <b:First>Sarang</b:First>
          </b:Person>
          <b:Person>
            <b:Last>kumar</b:Last>
            <b:First>A.Hemanth</b:First>
          </b:Person>
          <b:Person>
            <b:Last>Daudpota</b:Last>
            <b:First>Sher Muhammad</b:First>
          </b:Person>
        </b:NameList>
      </b:Author>
    </b:Author>
    <b:JenniData>z:7VZNbyNFEPUCAg5IHLiAONB7QNoVtmPHiZNwAHk3YQnESYQNK449MzWeXvdMz3b3JPYti8SP4F9wzd/hDpz2xIVX3XY2+4XEgQNSJMcZz9RUvXr1qqqfXLbezI1VM1W9Q48b42n59q8Tqrwq8SVkJfXSKSfwIef4vtQCL4jUlLWlgqpMVTNRN4lWqTC1qpSp2qKW1qu00dLqpTiHFewrpzKybE0dvF2STQkBMuELErSoJQxMJUwuTKVVRSJpHP4hquuKg+BJ1rU1Mi3ICW9JespEwPQ8VomPyEzahNvAyjZUpdTRdEZapFo6p3KVSs8B4TLRVLaFlumc4TEemSit/FJ4I1JZ+8aSqBoJH9k6SQRJTOOFqyllZwiLKw+s0wIgtCqVjwHOGVCWWU4lEwmcIkDGUEwdIearlzuJZJNX5HRndG8yutsGlyot4Lyau2tmQPkiDASReB+42QIw4Bcko0rKg0mwosqrX6oKmCydKTrvCo7FFbekkQFwgnlR0bnIFWkQkL+S9atKKueZxtJkpF0QS3CYS9TbF5YASSJiWkitqZqRawNAqpugpMzww846HdSgzTgUcw9hoEgJaeSSSS/bIagMhWNUnJ+xkXRVgRTGU0PTUbawQBJkYW9nhO9q1khcrIDeOToau7vCNSAYFXtwOm2LU3k0jlGm211xhJpZiVaZscBAjHUEKkIBGQ8un8tl/2Q6GbXFeDSeRCcTKg/OpO4PUUgwhcsGIo4wyYKpMqaZsyhLiB8Er9CtYY2mo4PO0WQKWDky6PjtTkinIxMHQvYpIcvMPEOORDqD7nZn2tjEdMVJY1HH0LZc4TMCM2tpO3RVNfNFrOY5yXnsP0YEkMh2hUam1jgHDvKc8IpflQ3ZnytfrFEIQpNHulwcAI5rATkValZ0VimH5wjHiNEWJew8FxG3LZXSziXaM8wb8orlyJiCrKLUhSdbvrpnQP9dgbrM0ZWHFTchHPB8YsZfiIcsr8V4rh4hltaxb2Oisb0gJhINt+yqg6BAjDiGgZF5pYPYW87LxsrKt0UBSeq2SIyZg7FUG1/ALFarNOjBVScC9bHxSB89EIbSOrOmwiR1qYHT8CBW5beLX1bwmA3HeYT2cQUhceDQYB1iDVCVFWfSLsM4znkWpsuQZwIwEBn6ldGM7uNiReA0CAC5s5dQT29V0rB+DfcDEXJfQfN4mV1DNwEbT24Mm/VUZdcsgQjoWYdiXEEpDAPDyZoz6AcFRT5hgCBbkpbbAK9fm5/d7NzY+WXrgwI9gFKm/maH3eywmx12s8NudtjNDvuf7DD0fxqG6z7KONvsbQ47vUHJAMEF2cMqN5ett2ay8YWx7gKjucai+wp/xmZb3e1tLrqm+eHBwYEYBV/5mdHYH+/VV16ODPaFsZetW6rG1PgO04MuW29gSCHdU9z56I/3C2yW1fUn+oogxPwZllklS34jz2Wp9DIfNzNMQJoFRR+r0srMGk2tl01n4+YRZCCjbf6gwGItX2ecTwqp5sXKdiIhudnrbGneoMGiqRp1v0a7Vb54nXWxL5sMxVrhKCcF6j1uClmWvN74pbyQ7jTLn6Yqc6A8zYxafNzvdfv93t5GrFIX9dnqDga7w73hXqZcUl3g21VP1GZ/uNcZbA+GhakJUqfF/OHWYG9rd2+nt7kLoxP59BFMm1joR+yo0+vjA97jLE8AK5xFoPlV3W+FLBb9Q7S58ixXiPJAY3BYCBKag5jiT1Op1ImDChOLoOE59GYaHFK+t3rxReF97T7f2FBEcc1Qly+7xs5wTy92NoabuzvDwd7GcLsPyHsb/d52b2un3+/WWT5zTeKXNZM5D0cjTVP8vMV72eTfYhxfv00e02YJW439R9m95X3TVP7DDUznMG4xqh/i1Obi7R+jehfz+xhfKHcYX6P1qECy++hMcSxxiEG6x+T5xBcn/FFYhEfrRTi+trHjeeReOI88Ow+u3eYep6DU/XTZejuPIwdoE5XJQWD78WkBK2Z3kirG6ygcHaJR0t8JVjUDRkHs2grP8mm/NxxuxZp9+nLgAPsknsDEGP/4/MCD8K8v/7zduWi1WgWovhYs60M8wd35CAzzkQKwDnEg1Jg+HPW/yGHQ241eFrdH2VlcrlNaXMtjSmlRqccN3K7w//7NU8D/9/gzFta7aQOVfrZWKfouKPMfWm/OMvgBOgeTt/4G</b:JenniData>
  </b:Source>
  <b:Source>
    <b:Tag>PavlovaM24</b:Tag>
    <b:SourceType>JournalArticle</b:SourceType>
    <b:Guid>{be477b9b-e8ee-457e-87a0-6197a6d52102}</b:Guid>
    <b:Title>ESG-FTSE: A corpus of news articles with ESG relevance labels and use
  cases</b:Title>
    <b:Year>2024</b:Year>
    <b:JournalName>arXiv (Cornell University)</b:JournalName>
    <b:BookTitle>arXiv (Cornell University)</b:BookTitle>
    <b:Publisher>Cornell University</b:Publisher>
    <b:URL>https://arxiv.org/abs/2405.20218</b:URL>
    <b:DOI>10.48550/arxiv.2405.20218</b:DOI>
    <b:Author>
      <b:Author>
        <b:NameList>
          <b:Person>
            <b:Last>Pavlova</b:Last>
            <b:First>Mariya</b:First>
          </b:Person>
          <b:Person>
            <b:Last>Casey</b:Last>
            <b:First>Bernard</b:First>
          </b:Person>
          <b:Person>
            <b:Last>Wang</b:Last>
            <b:First>M.-Z.</b:First>
          </b:Person>
        </b:NameList>
      </b:Author>
    </b:Author>
    <b:JenniData>z:pVfPjxxHFZ4ltoSCxIlLIIeSIsGumBnPrnfstaUIr39ks3FsbNarDRYS1HRVd5enuqpdVT0znQOaCA7cEQcuCCJxQPwBaLkAJwQXBCe4IMQxvy45RatI+V53z+xM7FWczGF3p2teffXe977vVe9bx63zibYRD9Ydt9Ye5TyRd4tsIB3fjK1TiTLnslzEr6ok1fgJHlGq2qCs8T8/bn1JDAZ2ctw6F6eSAk6+c/LiR79utVpCyzicXNv/xxY9RcHmJ9f24r9cw4McKxHSk2vXy5emeFw4tfU5AV998aeEMAc8/MGPVgT81x49rJbh3/7N5oD7P3v+z4uAD6f/Wy3D117+5xLg4TeJ0lUAP/wFPi9mSPgrAN7+3RtLgJN3VwR8/YffWJLN5L0Vu3zna/8lhDmge58S/mzAj2nXDPCvb9JTA/j33yzJZvr2s8lmCXAxw7vTdEnYD/+wIuB3L337Cwn7bMB3PyAlzwH9S1+Aw0XAe/f+sySb7689W5fPBvz9H5dKfkbZjI7Oks3985cWrffym78in3++DF/7bUK0NYBiY1GHu2+/s2JT7v/pK8tefmtFwO+98N4Shz9+wsvycWGDLJ9Ldo2xgYeOMgkzcuwZd0FFWno2ViFltw72WGRNkJPAuBHMSS1H3ESSBcs4vspybkqWW48dXo5wBWkWpVxraRLpuxUAberUu4QMMqJbiCnPUrqfSqzl0ghpAsOyNfL/01/6ap+wGVeGDY0daykSWWVgx4bl0vmccEaS9oxTHihLH1QoAhKZHfpkpl32IJVM82jIbIzlwgDDeSRNe3xknWSx45kcWzdkceFCKh1t7uRa4f4EeEgV6to3jAuhqJQ2oy8SXLyeWGwo6wSq6LTKhsWC6y7bw6EGQNLLBbLabIwSXVIgZaood3akBEHW6TuZSuOpZo6mddA14tFHqcw4HRS5IlKoBPUirnC0k1hRHqlEZcVeYq0g+vCakFXkgAXDQ0Ft09wkBSRCB3ci6atq1u++fm+DBe6HKPqBpe8yKIf5ADjuhPJVGm1mCzfLZcw9U8bnyknBBiUVym4dAmRijc1KhsOZL4CgDB9oiVjwCJgR2KUkKf4Qa9h9t35lYQeFR8FN/E3oTNs8I4L3LNeerR/c3PMb3U22xXZ1kA4lEU+CB97GUVHKkNKSvNv4JEG41h1ho4KwcByiOMQ8BkEFEWl1lSyEpAtAgg8fLLSTcTeU6NACkZS4MighVHnZPLcuQF5BkQ0E6em49dWUD3xwPArlufERMQ0JIBqa6bzy4OBWu6o9Vs6ToF1eoKvUeeWRHLXqKQ41I+WsoUO5brMDW2mAstmzkLapklvHARsLliAB1fqppexkRGmUkjswU5dhXd0NJ5NC06smpMxBKpJKkQ3JvA4kWqA5ypz8ivokz5ggGderhUsqAaKASKsMZiHVQ/LkRnIIaIfBZ+FULcXOHQnPQdJ1Dyj3BZ6/RbKXNDxQNfLFEKoIgOGwLyf1QzFddpQqCEdAnaiIWroA3ni04l459hgWVaFkI+7QOpCshcbcuF9wHEKkgQMMsdSoxwW+j5DPAFnlGBB1DQoNA/ULRxB0gd8LKZ1yV9mKpoNTA0wvQkAc7IQ+DQqcTvzOUq7Shw1M7XQayxnsY5JqeORoqMS8qgzXSKrRESiAsJp5NpPdqdhAtwqeDRXw63NmAmlMDZmEqlEhdRITlCzor8ItA2TjMN40x8CIaUbSpvVGa4HReIWMlZuvLIl4o10PzE9tp+yxAf0WT8RXIwJzEgacT/XrFlbwBQw5qrxCMQWG4HxBQ9rEE5MTrCnSjp+zemqM0/sJMwAytUYUESWBrkA9dMc4EmE1oIm+mUtrFRR0FK4soeIY+1Gsl4GaXElY4GCa3lGEeQsQOhqtEKo6ES26LUvMCQFeG9jTNtQ0aT4A7UTBp9rTXmIJT0+Z6c1Ix+VHn6S4SbfWVm+r3+ntZCRAmFe6fRPb49ZzCS9CCs9PYdgc8+oV/CC1Xrd/UcIGWk6+zt0basTWb1hnMEZpYlOvYZ0NPZczEH5CLy8GVyr+xjHPlC6Te3yk7YjLhC7C+A6cVnLhrJbVm85ysLzBvSzr0OQ6TTQnzooVRzRWqlB5p9t52K0DIyXwL/D5SFg1eWGz193e6fd7F7ibqFF3a7vX74KFzR3cZQMzxW9vprhepNmtiNoXYXMbAVs72zubO70rm5cu9S9f7qcUwcHD8Gj74pUrW5d7/d7mI2wuamYfYct2p9fvXOxleTHQClOzIXetyto9SdxwZvxDpycsDSH3Vy80eVqXXMD/9BdO8018MQhlTuUPm8Y/wOMaDQEb34aVF5clrgddIlZHdLNeL2/YwoQ1DOtKqZEUR7iifLXaalp8ZzZErrLdmSTPuIWWXFTLtDahl88z2APvhzHeTVXkp4KS/jI88NQacUEu1PgJ</b:JenniData>
  </b:Source>
  <b:Source>
    <b:Tag>HeC25</b:Tag>
    <b:SourceType>JournalArticle</b:SourceType>
    <b:Guid>{20061176-8ea2-49c1-bcad-d10c3e76283c}</b:Guid>
    <b:Title>ESGenius: Benchmarking LLMs on Environmental, Social, and Governance (ESG) and Sustainability Knowledge</b:Title>
    <b:Year>2025</b:Year>
    <b:JournalName>arXiv (Cornell University)</b:JournalName>
    <b:BookTitle>arXiv (Cornell University)</b:BookTitle>
    <b:Publisher>Cornell University</b:Publisher>
    <b:URL>http://arxiv.org/abs/2506.01646</b:URL>
    <b:DOI>10.48550/arxiv.2506.01646</b:DOI>
    <b:Author>
      <b:Author>
        <b:NameList>
          <b:Person>
            <b:Last>He</b:Last>
            <b:First>Chuan</b:First>
          </b:Person>
          <b:Person>
            <b:Last>Zhou</b:Last>
            <b:First>Xin</b:First>
          </b:Person>
          <b:Person>
            <b:Last>Wu</b:Last>
            <b:First>Yi</b:First>
          </b:Person>
          <b:Person>
            <b:Last>Yu</b:Last>
            <b:First>Xiaoye</b:First>
          </b:Person>
          <b:Person>
            <b:Last>Zhang</b:Last>
            <b:First>Yan</b:First>
          </b:Person>
          <b:Person>
            <b:Last>Zhang</b:Last>
            <b:First>Lei</b:First>
          </b:Person>
          <b:Person>
            <b:Last>Wang</b:Last>
            <b:First>Di</b:First>
          </b:Person>
          <b:Person>
            <b:Last>Lyu</b:Last>
            <b:First>Shuxia</b:First>
          </b:Person>
          <b:Person>
            <b:Last>Xu</b:Last>
            <b:First>Hong‐Xi</b:First>
          </b:Person>
          <b:Person>
            <b:Last>Wang</b:Last>
            <b:First>Xiao‐Qiao</b:First>
          </b:Person>
          <b:Person>
            <b:Last>Liu</b:Last>
            <b:First>Wei</b:First>
          </b:Person>
          <b:Person>
            <b:Last>Miao</b:Last>
            <b:First>Chunyan</b:First>
          </b:Person>
        </b:NameList>
      </b:Author>
    </b:Author>
    <b:JenniData>z:pVhNbCNJFfYwOwsSEncQYovDCEe4HduxneysWGIn85PdCSKTGWVmDohyd7m7xu2u3qpqO16NUBZWnDiwAiH2BuKM4AREcIAzB8QNiQNo7hxYZiXYERLfq/ZfZxNmsznESbeqXr3ve9/7XjlvHZeuhLHyuVX6uHTpUcpD8bVs2BOaN/pKy1AmLwzToH9LhlGMH2uwSroNUiXmnePSJ4JeTx0el17oR4IWPPvqv5/96JulUimIRd8+2/zSnzZ+giffqvTZ5iuDF/+OBzGWgY2ebXbvvYan0tKpl84Z8CufvLJZCNihx+cH/DEtOy3gqz+7/LEyLAT8ZZc25QE3X3qrkKG49vuLZbj5j7fpYR7wcYMezxnw54OjecDOb79TgPzdv5w/wy9Pvk2b8oDdd9+jh1nAzju/o8MuAHkrfI8VIK/R4wUCbrfeLxTl8drHqPJywOuXny5D7n7r5gWrfP3PTymlRYabVKPnBNxs/u0PSwF3fvEF4ikP+MVPtwscvv35j8LhB/9xIaYBX/tpsgj46q//SWVdVPk352+9nV/9dSGbzdWnBR0+/sZFA/63yOG99PxFKQTs/PFfZETnlE2Rw0LA7g8+KAq7cRKyeCNTVkyurO5nfsQGiRrHIggFk4b5KpB9KQImE2aFHyXS5zHraz4UY6UHhvEkYMbik+vAPDn64ZA/UpqpRBhs8eMskEnIbt7ZYeWdRFoJSx+JCmvUGmsrFbbf2e+ycldh7/zd3a0b20vv6ut4t7NP63YSK3TihgJy2M9wrEx4T8bSTtj+LAdWDEf5bW1/nZXp40DpOPBAxCwFJMzjmKk+G0cS2LkWgJwQIBtPmBipeAQAVXYQyViw27d3DTORGrNUq6E0oCihP31hDOH01dBLY3HIru/fZIHys6FIbM4RVo2kI0OLWIwQH689MxbaMKtYZoRmb2RCS2EqzKKsmvk8zdHhneM/QkFk4oGFQBpfpjHg6wkOGoIIxHW/Yq5DgdyzBKfEGbciqLItYAJqTecjOIugGirbwEUmlAKUjSMB/Cib0h7C+RYfJsVWrOI9lVmHS0MuEoc5aKj1UFgtfZJKFgcsFjwgQMAjVUZvh8iTJ75gI6nifKS7bdJ4YYakoJ9iKeVcKI4KgOYGKRg6kYU8JV2mXFvpZwALqOC2FwM93lTZLTUWI6EdiYQGKWRaYysWJsrlo0UkwMdIEOOGMvJ4QqUgesp7nRXWE4kfDbkeMJMKHx0A1WN/IIwME2QMgMSuR/Qy0sNYQEZOHlkCnl1HuLprwY1KluiDvHyRWlNl1w8lDseRe53FgYYJSZkz6CvfgCYmeoEArCMJcMeDAJWBcCIxRK/hpclSoZGmpDyr7C6xRlShHKCR6ii49hF3pkbuW7CMPsWbMU6k9DhpU3JwycZ8QiCHyD4Di7RHgjgFzgjlk6N3XW4Lr1jileBi/SnczuWMDFGKWKGDXIGRKuQnkBcSRZURWyQyQ/05yudpUvFSUWzELbMkdEhwN4stekF4W5GSkNkezvVymZV3t/bMCrKZJ+A4Q7LANG0PStdyM2C4ijpMztGKilzALN+QoUeM1FeqLCALPC59JuI9Y4nRyYvvH1ADWa2CDKkUYBSEt8BCx85SoQxxukgiNMysV8E6FRYbUPs+u02w8ZmEGRyc7apAxEBKVVkhl7iejKRWCTULj2GxijSR++BNlA8GSr1YRmpEzEmoXh+uZUD2rHoL8iDYKZwcC+wPbI4VG4iJewMxwRKusbJcmS/19jo5+DiGn1A8QKhX6mvtU+tWKFsooM688pO8t1xDyVBpOAtED9ZkMFswdUFxiEawYNwnsI5R1tMKpqRBmaDjqcipjOEd0/FVLHbeb0DLMRDmNECkZmJs7jLODOC+g9wKJFQISeVm6TzeqEwDkhWHtoJyoqVcNZGCgXORwpfUl+eQpgqWhlV3yE+du3SykMqIQ0AmUUGry3c6qBxMN1KBecVtLstlxreUTnPJYRF5ZE4WXNBRpUWqjMRXMaemxlodCoRnzcbqYrRXFnO94nY5WnNPQ7mRWb5padD1MRXZOuMZktPSOg+fcgFCd9F1VBRYs2L9jDjMjT3vyeVp59wz4CmFwAkpriewP6RHDQAlOLOAIcH1iUwY11QVJEgPeaPSSwyjhayCBpnnsYdCK28/UjR/AwYyyYgR3rWlU4+cTm1fK+TWquXaK9eqrS5l3l6vd1cwCoZ0TyBOczvCoVZ4qu8BjIfpxIZ5Z0JFqCaERzZN79wWcmulh64Xodo3KSlcLBBGWFIBIYQrYzfVDd2PQMCHjFstz1uvXa24Ge6+Lucip8nkBhX4WPgVzQByGAdhdodwMw298yYNfbjVqfeJpUk6RSLAt5o4iXZwvVkiYPnsArJ8ZDg+K8WZTUmZIRoJoy6PX2U3yAoPOZW1wraFSPeFGHh36t42Dco49vbGIvHqze4s8FRx7bXqRuMqK89ZXKE6bdSqzfbVnEZX5rsRhguNQhiPOVFAwRLhbnEwAGgsdFznt7XZDQjsnSrs3MGdZaO9yFwWVwBnmxh1dEAPTkKxsWtRoMrCVFEYWtaX2HpiWixfEAqXkCUznN328lJD9M+bZSjI/E4KhwYsd7e3Cn2C0DzAJZU8TGM/DMFGE9bZmWtoBBbimVRiyBTkiWAbCYS4Wbe8em2Imw4dLPRO0lfHpcthTp85ilE+TMsb+FE6QF+twags7s2f4/q+HOGurnRCF6p7CdBrKspKTNG07GXYYr5HX4ESGBV+9/t8KONJ75YQIVYnYivKAFurWJQ+vCx4iJtOvtC/L89c1juYLuo9kGeueTBd078vuZqIs9aJh5BGOD3zwdmpFdbdFmeeGxzMl/W2z1zl357M0tuPskPJz4Rxf7pO3lJJ+OTo+/c/yskDwozFe/h1dgpyRvXB/4GzixD5shClSyYzhnwZ4B+BV/xAycPP1tHMG61WbZXrQzmqNlq1drVWbzfbcK5ecoRPkxzFKhVJx0lxJzDtZqPe2KjVNtob7dbL7fVmcz2iBRxCGxw0m/XmxsvrrWbzEfZmuXQfOenW2l6tMUwzDG2DG3Ou3ksubf1hZQ7gEM4I7un48KXI2vTa6jRLpcNV/F9zdZFtaLKenaQEf+DcMBZ38XiJLuKq/zoEufxaoMXiCdbGvsTo7k624Eq2ZLXo46sN2Q2+0A5M/nbaQuHMT66x7swyqMPnrnDO6+GJr9mvz9yjn1+TjgKC8ykMqdPA4168BP5/</b:JenniData>
  </b:Source>
  <b:Source>
    <b:Tag>GeorgeS25</b:Tag>
    <b:SourceType>JournalArticle</b:SourceType>
    <b:Guid>{8ec72236-9939-464b-aed7-a6acfe74a754}</b:Guid>
    <b:Title>ESGBench: A Benchmark for Explainable ESG Question Answering in Corporate Sustainability Reports</b:Title>
    <b:Year>2025</b:Year>
    <b:JournalName>ArXiv.org</b:JournalName>
    <b:BookTitle>ArXiv.org</b:BookTitle>
    <b:URL>http://arxiv.org/abs/2511.16438</b:URL>
    <b:DOI>10.48550/arxiv.2511.16438</b:DOI>
    <b:Author>
      <b:Author>
        <b:NameList>
          <b:Person>
            <b:Last>George</b:Last>
            <b:First>S.S.</b:First>
          </b:Person>
          <b:Person>
            <b:Last>Saji</b:Last>
            <b:First>Nithish</b:First>
          </b:Person>
        </b:NameList>
      </b:Author>
    </b:Author>
    <b:JenniData>z:7VW9chxFED5sClJCiDwR2FW60+3p9FNOXGdhXCokEJywHBAwN9O7O9LszGp6VrojoGRIeRReQAkhb8CbQBGQ8M3unThDOXSVAwd7t7vTP1/393Xvi5ve3dwHUxj3Pl00PtLizrenJOpATC6KJ9Onj8mpckNIMUs3lQznQssomaKQTgu6lLaR0Xgn8iAruvLJgNgUjrSIXkhmYhY0r600Ts4spajioiFuvaTjKwrGFYIXHKli0XB6Uj7UPshIghuOrauxJi5EILyPPBAnJa2BUt6x4cjC50L7Cg79IvjGacBYJWMhVfBAUzU2mnoJJZZUEW+IWpoA4ysTS1E2lXR91SQAeokR3iiYmzrlTxDp0mjkp1QmdaXlxhHyIjvc1noDUJXXZIFesnfwHgj0WTppF98jAEqpKYAKpEVAmKPmSH2f93HWlyGKw8MjFOfWOClNUVpcLZhzWghVSmvJFcTCgA+pYiPtqjPwWWyIGKSiZSvBKgrqmiUkIrkKpA9uMwhpQEfiUCmy1JKRhCEDzuCCWI5rGZJSUiSYoeFxxXE/96ph9GFysOJ2oJM+bnoflHLGCUp8q7e3enuNerMpFBShP0WwYjQcbfezrALCxDCFA5d7rMBCNrH0ga+tqWpU8RkuH/RwMNymaKIlMwnPzeXAh8Im32BmDQz4x5veHe2gQvznuayMXeRPCVZEhbkkp6eD6UAHb6n3f0s9lWemsyu+gAYMl51pXko+1vkfymi+6b2rtDfzj7LhYLy3vT3clGEOJKPtLBtkO+OtPW145q7xy+6FGW1tZf298WhU+hoKsTQ/Px2Psx047uwMYfSl/PMMpk3XkLNlQ/qj4Tka7Zug6Jtg56KMseaHm8tkKGiz1vnmv0kLbmZxUaOad6A28vnnxum/KEIOC1RolYGMHy/2Ez29GCgnkKZIn2JauXvbNXb+3Yr8h2Ii2pt2uqBM8eQ/I/zVaoQntyMMUezfzu305bn9upvbPPraKP7ppvde3kkPAGdGy62Wj4vjcsFGQbZTZRJGptyQ1Z3RLNttrep9X9VNpLCywll+kg2Ho7323J2kJOIojRxwEWOb0N+Pfv/5B9Hr9Up0ay2oznaHo9btaoLBzo0ySH/gIlnMRIr+OrCC6p32fP5gvbGvQCDuP58cPFjV8au6d/2m1JHtZuOujvtHaatizSHQkVQlBlocYlmkbScmdW2Rot3CqzJ++e3RK+joMs4/uU35zHD3sdDiWEa8cdCT8oUzKaJO2v/wY6xrO7+XZuWlUcGnbW1UztMX6hm2Ofzu/gM=</b:JenniData>
  </b:Source>
  <b:Source>
    <b:Tag>SchimanskiT242</b:Tag>
    <b:SourceType>JournalArticle</b:SourceType>
    <b:Guid>{da069986-6960-4a4a-9adf-2ab363c0cd5e}</b:Guid>
    <b:Title>Bridging the gap in ESG measurement: Using NLP to quantify environmental, social, and governance communication</b:Title>
    <b:Year>2024</b:Year>
    <b:JournalName>Finance research letters</b:JournalName>
    <b:BookTitle>Finance research letters</b:BookTitle>
    <b:Volume>61</b:Volume>
    <b:Pages>104979-104979</b:Pages>
    <b:Publisher>Elsevier BV</b:Publisher>
    <b:URL>https://doi.org/10.1016/j.frl.2024.104979</b:URL>
    <b:DOI>10.1016/j.frl.2024.104979</b:DOI>
    <b:Author>
      <b:Author>
        <b:NameList>
          <b:Person>
            <b:Last>Schimanski</b:Last>
            <b:First>Tobias</b:First>
          </b:Person>
          <b:Person>
            <b:Last>Reding</b:Last>
            <b:First>Andrin</b:First>
          </b:Person>
          <b:Person>
            <b:Last>Reding</b:Last>
            <b:First>Nico</b:First>
          </b:Person>
          <b:Person>
            <b:Last>Bingler</b:Last>
            <b:First>Julia</b:First>
          </b:Person>
          <b:Person>
            <b:Last>Kraus</b:Last>
            <b:First>Mathias</b:First>
          </b:Person>
          <b:Person>
            <b:Last>Leippold</b:Last>
            <b:First>Markus</b:First>
          </b:Person>
        </b:NameList>
      </b:Author>
    </b:Author>
    <b:JenniData>z:7VbNbltFGHUKAtZ0U1iNhJASKXFsx3GcSgg5Ia1KkzSKQ7vteOa79048d+ZmZq5/dgEkHoKXYIn8FjwB4glgAys2nLm2k5Q2KCsWVReJPXe+n3O+n3P97az2XmKdSpX5kC5KG2h675cDM1LOmpxM4HqdeStU/ORGstSOyBluBLHVg/7jNSacCuQUZ4EPiXEm4OS4Zs5qYsqwxPp4b1LmSx+4MnyAC0kj0raIGaIRCWtsrsjX2VmmPCt4QQ4XwVlZCvIxrubeM5swAwSaHfNQxjSH3KQlT4mdOAtDHxOtHh+erLHcStKeBcvgiBsmrCus4wHZlRfa+tIhMrKHjBi4AOBA2hwQAeObKlIky5pb9S7LldbKwpYmwbPE2Zw5QjgcYlkMjT0KVZBQiRLsYJ315/V6vMQxJkescITiKEOyznpSqoCQXOvpOjA4ItYaMskD94SwlcOiTiQjj6oEKplGsBuONKjgeQQUy0bLTJQkJIKC45TRpNDIx0YcLYrZKsKRLAoBhhF0ZseCV3Q5ujZAl1hOIbMSvXOMTIZux1sgN77gjoyYVty4EOgBDrGDI67LKuSNOl91XGkVpove8qJwlouMcSnRALSmakDKixgHFRLKEwpylS1UeHPisWFxYlBZOVqAutNQybF1w1nt44wPPOKK8G7G3834WzbjGkhjJvkVUKWtRquz0djKcR1dyT0xiZ3V3k95CdbOX2qVF1iER/izTrbrOy0KKmiaPHiETHH0gZu4AwdNAdPtk5HVZU4Pviiugh5aweE+q62oAvN5ijmlWe0exsP5cIInn9ZWfryfoaXXJx29nRqUcPQ/wFoankevJOEYwOl5X2QqR12GilI02CRndqC4l3HZaq/bJ6ckUaSFbc9I7OGdbOWxEvY2y3QPdhrTWZnS16VW/DZbeup46eeW6REP2X+gzQ5JFYXVcoH3iLthubBOMu5PZPKnUNKjVUJaNfmk2ag3G83O5nk9cbqOtrZxbu/u7GK/B+YS/735TjW32+2NTrO1tfy21cywUdg7mgxftLd2Gzut7u52F+bP+F/ncCrng3IeI240mhuNXbRpLjMDMnlRDrTy2XJuVioawwPtaaQgF3vPUwhJmBaR2pC7oISmMxxXsH5kk6fowc3HBI3VU9hqASWVe9N9W5rwoB4cJSgyxk2+gET76vH9xSSaPackfpdgK693519r8nAhYlDDqB4XJTchqgfdSd2FzfPSKAwxYCfBFkr472e1D5K5RALvQEneqsjbfhWD9YWKeD0lirScmwya7cpm8tleCThYw3V2xA1qWe1pzNoTInIDVtgnZ+hpc3vus7Z/pSWLFKfkC6iYmksKjlGD49x6yA79/eUfP/38W61Wy9CCGyBks93oViHHfQgLRGCuYNdAXmO2VZlfnGRTjyLcxm2nsir2LaYCQrC0WvDodBbcP+8jhaoI9zB4CDl/bTwrlIlvlSN83ODwsnf5Jg47jXm5xz1Qxmsm1uOJCYQ3Uxqz/k/d6XYbc5/VV34nsP4rah8HchlzSez3i19fvrk5nSqiiiuPCTepjPvzEV4verKWhVD4h5ub2Pm6denmrWs/jD9lnkOOUdKVfwA=</b:JenniData>
  </b:Source>
  <b:Source>
    <b:Tag>AhmedS25</b:Tag>
    <b:SourceType>JournalArticle</b:SourceType>
    <b:Guid>{b293a3fe-ec4c-4c28-9d19-c1ad6e1e2585}</b:Guid>
    <b:Title>Enhancing Retrieval for ESGLLM via ESG-CID -- A Disclosure Content Index Finetuning Dataset for Mapping GRI and ESRS</b:Title>
    <b:Year>2025</b:Year>
    <b:JournalName>ArXiv.org</b:JournalName>
    <b:BookTitle>ArXiv.org</b:BookTitle>
    <b:URL>http://arxiv.org/abs/2503.10674</b:URL>
    <b:DOI>10.48550/arxiv.2503.10674</b:DOI>
    <b:Author>
      <b:Author>
        <b:NameList>
          <b:Person>
            <b:Last>Ahmed</b:Last>
            <b:First>Shafiuddin Rehan</b:First>
          </b:Person>
          <b:Person>
            <b:Last>Shah</b:Last>
            <b:First>Ankit</b:First>
          </b:Person>
          <b:Person>
            <b:Last>Tran</b:Last>
            <b:First>Quan H.</b:First>
          </b:Person>
          <b:Person>
            <b:Last>Khetan</b:Last>
            <b:First>Vivek</b:First>
          </b:Person>
          <b:Person>
            <b:Last>Kang</b:Last>
            <b:First>Sung‐Ho</b:First>
          </b:Person>
          <b:Person>
            <b:Last>Mehta</b:Last>
            <b:First>Ankit I.</b:First>
          </b:Person>
          <b:Person>
            <b:Last>Bao</b:Last>
            <b:First>Yujia</b:First>
          </b:Person>
          <b:Person>
            <b:Last>Wei</b:Last>
            <b:First>Wei</b:First>
          </b:Person>
        </b:NameList>
      </b:Author>
    </b:Author>
    <b:JenniData>z:7VbLbhxFFB0IjzU7EAtKQkAizXtsErKBseM4o9hK8JgYVlF19+3p8lRXdaqq55FVIhawQWLHjj/gA/wxSAiJPwCxYMOpqrHHTuINGza2ZPdM+z7OvffcU/X8pHEt10ZMhHqbntTa0fLN77alKLkjlhZcTYgV3DKhHCkrckEZcwUxRfgAR+YMV7bihlS6ZFxljKeprpXjiZDCLeHItJlwJZ5yJ7TiklWGp06kZJus5FOhJmxHzYTRqiS4ySYb61T4p4+2q2dkFFcpses7490bzFCljfNeQqWGuMVHuWSpqb1Tm901vKS5NlPLpJhSALsrdYLEB2euIyWcAJ4Zou4ejG6EVLGsOdupja6IKzaureNCnVaydh872HOTWY/pYAx3UTKnGczDe/GUGMCusTbZkhybkCKDrIiQ6rIyVPiWAkO0s3iWyGd936UkhZlMWFajBh3ApRrmGUIkkpj/vyuYzkOmTKe1b58Nlcy4Eef675NxtTzXOuuWkmybHWqW89Qb+nGvITNeOw0KYGBN1O2MoBmXrWE98Ukw+d1VKVqx6wdDjMUuraMS0NG3hBiVldRLyposqZ0HLwzLaEZSVz4CE5YVQqEWxErAGyZ5OvXFSJ6QxMuMO85sDWC+2BXRhPLgzSkeVuqMJMoYKaRAyIpXZJps7rsD2nBwF3Bqn6d2qPIpAltdG5AJqebEp0gBl5mwvpJWK7Q5EzaV2tYmdBy0B1yEWAAFQvmGVty6c92ywVODg+TbyF+Yri/Fkmt6j9b26E4zlJNoTA/cCwPzLDpjDwraWjJaoGDsCQoueVXhadFYNydSzFaUYhXT81ANtleAQGckSLUxZCutsti0MFdLCAkaxeUylMeWouyS1X6VgH6PGzRuD6tf+w7u+yYzSABnx3U2odDfFZV9sUYn2JP1eHxgP5060gOVt9kRAbtKi5KbKat0VUtuwJGEsgAuzpHBOoxx1bAQyRZ6jrfcMUCllqtDjq2dg8NWAqPs1NfzTtcOw0RzSz+BkoxXhHWa2BZJPOSs6kSig9G9CcToa2AKA4/RK3hGDlbYDhtGlhptbeu0k36FovrlcMqNLsM4wQM/zTa7A+/brHCusrc7naKe+HXGtlE71Z1VibbDMTNfmVl2yE4epyJ7fMbvzMvYSeOdgic2kOFKmq+k+Uqar6T5Spr/b2nGTkAlUSRC0aTf7W+2ev3ScxKtJjNSucbFeoJdLbSxzyDaFRhzF7/aZN12d5OccJLE0HwtZm2osPS+RmAlYf/9SeP1TEEs8cxzXgq5pGFRUkYTsFZV44LnovadgwLgIMiMltR42SmDYRF9aKimwl1qeIhmRcPJlzXmda99mWl+vyBswyrqI/ydXhr1vj+jgqEY12ry+7Mf7+nLjGmfCsejdRHAstGlINItrlcIvqmPBb/U7ohEtPOfolWOM/Nhlv+JedqTxhtppsXivV63vXFrc7Pb4WaBgfQ3u4N2r/vpzQ2scaKe4a9Vz0V/MOi1bm30+wVOIZyXtJgebWz0bvZvdTdvdmH0gP91DNM68uI48KI7aPW6hVztLHZtit0PSveVkYszFsbEYEKnyvLOGsDE1olbVijqNews6fw+FO9vjEDKJQqVqYDoby23/cHecGAshBtHcnbkz9n4NnJt4XYUuJL6DTs7N8LyQPz29vbZTPBTHfSqOWR31hK2vVLbUVDbu+D4at39KnlB8HH2oxhekM7c6Uqk9tuTxlt5hnNLKIBORMb7YVQ6XijYOBUetcXCkcyiSdLbCDaLD7e8/mHdmkih0MRwTvkMw3ihQVLY54e9bq+3GX1ubGvjpQI6uEpxEBTXihevDGQhx/TP57/yPxr4KdDvcyCy3kb3Vgg5H0NRsOzxKrUG8l8qGwxeaROLGHzW68YiPtnGaVXjAhBvZz7vIebIhvi2tJDjfYK+ZPa0hJ/FL1+8ooTBoBsDzuPdAAkv5n2phAjvycMCWdLLiujHQqc7/jZEZM6m0O8PYssW7+8afyiODgP2i5e2U9A//fDgt1eA7vdXfV98tCNxNJoAJNAqfNUKR8S51Jlfknc/Tmss1Qd+qS7sFG7Q53Zq6i+hj8j4q8W1fwE=</b:JenniData>
  </b:Source>
  <b:Source>
    <b:Tag>ZhaoY26</b:Tag>
    <b:SourceType>JournalArticle</b:SourceType>
    <b:Guid>{103c0fc5-ccfc-4b00-a5c7-91eafb4f6ba1}</b:Guid>
    <b:Title>Advancing ESG Intelligence: An Expert-level Agent and Comprehensive Benchmark for Sustainable Finance</b:Title>
    <b:Year>2026</b:Year>
    <b:JournalName>arXiv (Cornell University)</b:JournalName>
    <b:BookTitle>arXiv (Cornell University)</b:BookTitle>
    <b:Publisher>Cornell University</b:Publisher>
    <b:URL>https://doi.org/10.48550/arxiv.2601.08676</b:URL>
    <b:DOI>10.48550/arxiv.2601.08676</b:DOI>
    <b:Author>
      <b:Author>
        <b:NameList>
          <b:Person>
            <b:Last>Zhao</b:Last>
            <b:First>Yilei</b:First>
          </b:Person>
          <b:Person>
            <b:Last>Zhang</b:Last>
            <b:First>Wentao</b:First>
          </b:Person>
          <b:Person>
            <b:Last>Xiao</b:Last>
            <b:First>Lei</b:First>
          </b:Person>
          <b:Person>
            <b:Last>Zheng</b:Last>
            <b:First>Yandan</b:First>
          </b:Person>
          <b:Person>
            <b:Last>Liu</b:Last>
            <b:First>Mengpu</b:First>
          </b:Person>
          <b:Person>
            <b:Last>Bryan</b:Last>
            <b:First>Lim, Wei Yang</b:First>
          </b:Person>
        </b:NameList>
      </b:Author>
    </b:Author>
    <b:JenniData>z:7VbNblw1FJ7yu2XJj4SMUKtGykzmTn7VBZCUFCpSUZpAWnYe+9x73fjat7bvZIZVERJvwguwywvwFDwADwBiwYbP9p0kVRt27CJNZiZzj4+/853vfPaPZ4PXS+tUpczb9KyzgRZvfrBvZspZ05AJXK8yb4WKn9xIVtkZOcONIHZ7//CLFSacCuQUZ9wRI++xBsEMORnNuO54UKZiwrrWOh6I+c4HrgyfKq3CIuWkUCuBNS05LGti8hH70p4StlplrbMl8iprEIItsYTrhVee4VUrI8mRZNMFkzxwVjpeJdwBCxgXznrPOuOD60ToYqS3nRPkczk0Vz4B1NxVhHdTdRxfGitJe3b74OCBX2G2DGRYzFFVmtipCjULNaGqptU0X2VNp4Ma+kAtO7XupNT21DMHPlXcMXIBhq2znWe8kyruOGJHlnEpHWqLyTx2V43KwIHulJgywVnZgWqUvVuhKoBGyeS4E5myvDEQm8D8AgAaRk0L6npOOPMtxe6pH/BDsFZ7QhZlhAYO1O0oOBUbBWAXxMXtp8xT3CfxJG2Dpg1TslIJVnZG9ECDZdgemNBchEhqwc7lPo3Y3cRTzB63RLdBQ4SMRBl0KrcFFbEOnnh1VJPxakaId0RDDTVoNiUj6oa7E4a24yHIdbZh68X4aok5wu8BSCV5VZnEw1Kb6CFvc6AitAz9jxBTUh5sA4QA01iUDjTEnnUEvaDumCNKoC89is2WsWNURQwyctxzccHDftMql/q2HI2YSRLyQ1wRTah5OO82s13oZ8JDfXg+tOUQuw65C0xo60kOs5xZFGoWJofsMThRxVyIznGxiNB2NkbF5k0WhyLXtSxlyI2HXlJnuD85HwwRB0CZF+cvc3m5aohsWXXSk4JiRA2A6DHyAAkEw6cYG0clZInhBhNHSfAlpheLPDg2pXJNYlQqXhkLaIJFkiiCR40XrV+FzQRkVB7TXzEFxWAvNsPsaBbwbNrPHIcbAThiMl5oHIi4nEWHwZdegi8oAAXXqqoxy/wE/wI+QrAyD4AfyTjfZ4N3aj6NLRPh2i6v7fLaLq/t8touX2WXGpxGl5Ofox3VZDzZGo6LBvij4sjdN6XFBbTiXait888x0i089R7+rJPj0fqEggrwjPe5e6xm7PZd6wxpzb41ULPz0OuKjtmcmnZY4n8+G7wmDW8In2XJG6UX8vuaW6oQb+iJ0qSks5oGLwcSAk2VI8vjONv2qlD5WC1zioP/zEjnGZ+ATbyuCBUHqusDH2BN212Zc88tuMmhzYGCFxyTYkhe5RVlzf1DWf4plPRngzeEtGr+XjEebexsbo7XuJur2WiyNS5G452t7S2p/NQ8x7s3z2vbEkRL85Pj7WKyUWxOxuMJHn3N/3qKgC438WnfxGGx3rRdktWyjzcSVPdyjyrfTcOiRRU3MANky6+g5L8JAtQLVKYFzkS5t7hrOxMG4Vz48hiHg8+/9jqg3STHKNLomfcxSlorKFPQHbZr2P4cDhB698uuEEUcHfXCIffOXTHK/nBpf5i5e/hEqjLYVgn/09ngrTIrGSinSvL1VOGzhzUMKsr8UKg0oVQq0jIHTYvtFNXGTTsc9ssoPCuPivXJ9kZ6Pv8wg12OdQL6za3d3uMxi7Bo+ufTsz8++WwwGNTg8NIustguximPj+TjGpDs5TCv/V+Aj3dylvlHuQnwhCOaB9DeXzCOSNRGRaNcYv+1u/lq7BBWTHW6C7/AARmvQJd7+RL+HG4P09XqCvQ9rR/vdTAxmM4qe4CzpEoHaSJ3V4ioJXCdKxoXxWZeswLN9qdhv8Uj8i2OGdUfio+SkWPlsrJffv/tlZVtjHdyZYfphKryle0CiIxz8O4tHDR6vlKH0Po7a2uY0ZF11dqVY3oSr0nfxWGyZvAv</b:JenniData>
  </b:Source>
  <b:Source>
    <b:Tag>ZhaoY262</b:Tag>
    <b:SourceType>JournalArticle</b:SourceType>
    <b:Guid>{6c7106d0-ecd7-4ddd-aa88-1aca20b5ce76}</b:Guid>
    <b:Title>Advancing ESG Intelligence: An Expert-level Agent and Comprehensive Benchmark for Sustainable Finance</b:Title>
    <b:Year>2026</b:Year>
    <b:JournalName>ArXiv.org</b:JournalName>
    <b:BookTitle>ArXiv.org</b:BookTitle>
    <b:URL>http://arxiv.org/abs/2601.08676</b:URL>
    <b:Author>
      <b:Author>
        <b:NameList>
          <b:Person>
            <b:Last>Zhao</b:Last>
            <b:First>Yilei</b:First>
          </b:Person>
          <b:Person>
            <b:Last>Zhang</b:Last>
            <b:First>Wentao</b:First>
          </b:Person>
          <b:Person>
            <b:Last>Xiao</b:Last>
            <b:First>Lei</b:First>
          </b:Person>
          <b:Person>
            <b:Last>Zheng</b:Last>
            <b:First>Yandan</b:First>
          </b:Person>
          <b:Person>
            <b:Last>Liu</b:Last>
            <b:First>Mengpu</b:First>
          </b:Person>
          <b:Person>
            <b:Last>Bryan</b:Last>
            <b:First>Lim, Wei Yang</b:First>
          </b:Person>
        </b:NameList>
      </b:Author>
    </b:Author>
    <b:JenniData>z:7VbLbhxFFB2IeCzZI0EhFJRInvHM+KksADs4EOGIEBucsKuput19M91Vnarq8QyrREj8CT/Azj/AV/ABfACs2HCqasZ2lJhddpbm2X3r1rnnnnOrX5z1bhTWccnmPXrW2UCLdz48MDN21jRkgqzXhLeK47c0WpR2Rs5Io0jcOjj6+rZQjgM5lkI6EuQ91iBYIKegmaw7GdiUQlnXWicDCd/5INnICdccFiknhYoV1rTksKyJyQfiG3tK2GpNtM4WyMvWIARbYomsF569wKtio8mRFpOF0DJIUThZJtwBC4RUznovOuOD61ToYqS3nVPkczk0Z58A1tKVhE9TdhI/Gqup9uLW4eEDf1vYIpARMUdZ1iROOVQiVISqmram+Zpoujpw3wdqxal106K2p1448Mlxx8gFGLbOdl7ITnPccSCOrZBaO9QWk3nszg1n4EB3SoJNcFZ3oBpl75WoCqBRMjnpVKYsbwzEJgi/AIBGUNOCuiUnUviWYvf4Z1wI1taekIWNqoEDdTsKjmOjAOyCuLj9RHiK+ySetG3QtH5KVrASRWfUEmiwAtsDE5qLEE0t2Lncp4G4m3iK2eOW6DZoiJCRKINO5bagItYhE6+OKjKeZ4R4R9SvoYZaTMioqpFuKtB23AS5zjZiYzS8WmKOcD0AqSbPpUk8rLSJHso2BzKhZeh/hJiSymAbIASYxqJ0oCHxrCPoBXXHHFECy9Kj2GwRO0ZlxKAjx0suLng4aFp2qW8ra8RMmpAf4opoQiXDebeF7cLSEx7qw/2+LfrYtS9dEKq2nnQ/y1lEoWZhSsgexokqlkp1TqpFhLa7ORht3RTRFLmuVSl9aTz0kjoj/fTcGCoagM3L/stcXq4aIltVnfTEUIyqABA9Rh4ggWDkBLZxVECWMDeYOE6CL+BeLPLg2BTsmsSoZlkaC2hKRJIogkeNF61fw5gJyMge7i8FQzHYS8zgnVoE3JssPScxjQAcMRkvNA5EUs/ihMGPpQRfUgAKrris4GU5xV/ARwhWZgP4gY7+Put9UMlJbJkK1+Pyelxej8vrcXk9Ll83LmtwGqec/grtKMfD8XZ/OG6APyqO3H1TWDyAlrILlXX+OSzdYqbew9s6PRwMtyhwqIn33GOeDawr67jW8aRDgP/1rPe2NrIhfBeFbLhe6J8qaamE1g09YazUztbUezWQEGjKHFmcRCfbq0L1Y17lVIf/m5HOMz4Bd3hdEaoOuVsGPsCatrsy575bSJNDm0OG80+IBZKXeUVRSf9QF38r1h5EavYT8xyf3rzg8cbGqL+7OR5XtiWokebTk53ReHNja3dnexNB38l/niK0y915mrsz6o82phgtySc/uHouqhBaf2d9Xbp57sF6q4v18fZwNBjubu9sl76bhEUbUU8hZFY1HePvW5A72eJbiPbyZYLs6gVia4WTUO8v7trOhF44l7s+wZHg89Xc/TntJRFGacZJeR8GqmuGHhXdEXtGHMzh+7CceXkWROnGOXoxF/fPZ2EU+9Fq6MFp9/CNVEWwLSv/y1nv3SLrFygnrOVGasqzhxXGUhT3keLkSyqYap2DJqOdFNXGTTsc8aso3CuORxvjnc10f/5RBrsycwL6/Wd7y8kOB2Iw079fnP31+Ze9Xq8Ct5d20aOd0TDl8dE6OPzTUDnKa98I8OFuzjL/JDcBk+CY5gG0Lx8rjklVhuN4XGH/vbv5euzDcUp1ugc54FiMDz6Xe/kK/hxuj9ID1RXol7R+ut9hdGHUrIkHOEHKdHwmcveUiloC17mi4Wi0ldfcvnt+Bi63eES+xeHCy6PwURrfWLmq7Lc//3htZZvD3VzZUTqXyvygdgFER3+8j9Olnn8c7fSSm/AkeclN0/hE9CO5eILc+A8=</b:JenniData>
  </b:Source>
  <b:Source>
    <b:Tag>SchimanskiT243</b:Tag>
    <b:SourceType>JournalArticle</b:SourceType>
    <b:Guid>{e7eb196a-c3d4-433a-a6d0-28469b4442ff}</b:Guid>
    <b:Title>ClimRetrieve: A Benchmarking Dataset for Information Retrieval from Corporate Climate Disclosures</b:Title>
    <b:Year>2024</b:Year>
    <b:Pages>17509-17524</b:Pages>
    <b:URL>https://doi.org/10.18653/v1/2024.emnlp-main.969</b:URL>
    <b:DOI>10.18653/v1/2024.emnlp-main.969</b:DOI>
    <b:Author>
      <b:Author>
        <b:NameList>
          <b:Person>
            <b:Last>Schimanski</b:Last>
            <b:First>Tobias</b:First>
          </b:Person>
          <b:Person>
            <b:Last>Ni</b:Last>
            <b:First>Jingwei</b:First>
          </b:Person>
          <b:Person>
            <b:Last>Martin</b:Last>
            <b:First>Ryan</b:First>
          </b:Person>
          <b:Person>
            <b:Last>Ranger</b:Last>
            <b:First>Nicola</b:First>
          </b:Person>
          <b:Person>
            <b:Last>Leippold</b:Last>
            <b:First>Markus</b:First>
          </b:Person>
        </b:NameList>
      </b:Author>
    </b:Author>
    <b:JenniData>z:7VbNcuQ0EJ6w/J25cUJHoDKT8SQbsnuh8lMsIftXSWCLoyy1bWVkyZHkzPgWDjwJT5H34RX2xIWv7ckQ2E1x3UNSqXHG3er++vu6W/ntZvSo8MGUxn1Gl61P1D3649yLSjptSaSKxJWMScjaty5F4Qtx2UprkkzmioSWSYomeN0q0sI4oXxofJCJhLKm7p++rltnFA54tyliknOqvNUUIg6oQDIaV9pOBMKHd+KUUjB0Ja3Yb8uaXELkZ+QIURFBfH26/+wbEbuYqI6TH/2CrihsCimiKZ0pkMglUcoG8WppHCcRHK3FcVcK7fntODak2BlWlA+gHDqsM4+58BzIooBZSBcXFES5RjEBRVLrQDGCI3ipSlpLrqTN4fvChzkQ1a0FB+wDLrsG4KxIMs57IgG5BR3GydyA0Q5ppEVdIu8ELWVtHAPenv7XLRAohhYLkyqR7QpNsFqwtKJ8DCbx0FCKIqONk/2IbEDb2rQpFiR8zgHxjgWMlIZYHkyKvcnjEwHBcHgdYBx9GxSNVzw00kA8K3PirECrTVFQgFTCQg3bVwcQoNIpmvzQBtQfah/ADpJr9vENsrcR/YH8Q3om6RZP8lDmirOX3ERsMuiEctUEiE/LhkISc+cXQFH2dj70Pjn78FTnpDUoBR02Vb4tK0YTK79AfJm4G1fdy7y/E58ljX0B0kYvfJuscQM0FUzqtYUA/WiA8x7jOiV34TrUmEtxsR8gv3AxYQjqVWeCVzO/Mz0YROT+1xBNRDbTjOZm9EUlcxyXKj2M7cPYPozthz62ViqF5iN9BK9yNp3tjqfbtfKOdaVwDBpuRhulbFFoiNfN2vLcI4gPMJpGlnTK4W9GH2EWQkyv8ebLI6osRn74O1k+GUze4lD8HZ7ayZpPFAU61HYXZ6oCVBfnhkpU5IpznxsZdfCWRu/65y9XfuVP4GVB5j7H4oUMEGJw1qcdFtJ9nn0RYZX+pVHeyvt8q+dkmobXz+CNJPN2BbaoZHyti7fK6Hgz+lhpb5ZfZdNJtrf7eHvrKtsCzTsTqp1txizV5MnuE21i7q7xGd115RvCBNNy/mZnZ7rz3d4sm2UwvZJvL+DQDmJdcJTxNMMveHZlC55zcnNMZz9kPwe7nFYpNfHp1pZUcIGE1pfdxIfyfRAmjS7K2ObYL1zonGlTls7xdQPdQr44MU7ffY19YW0HX6sM9sRBd8jL/RO0YT/FWOVvuNf7tyNKJqEmeYiOXK1meir2xQEcqxr08bCgsH5seVly792O4D+7vAi+Fofr24Gj8fPIRGV9bFF9kTwWZMQ/kp8WwywAYW60nPUa+jOvDAKdKcMQIxWGrB5c8myv97k8wlaPnPjWC8biPNuZ7U57h2V2XDe45Hg494+xcLU4MAN8vnoOWtxFvNPZwPkodRSxFeiv7//89WSEnwpM38mss73p9hD62xfY3yXxjXWbvo/zCntktRJOAVsGVWnW6nPVQuqtW6nRbb3C/9Nwc15Dv+DyRMCNvwE=</b:JenniData>
  </b:Source>
  <b:Source>
    <b:Tag>ChenQ26</b:Tag>
    <b:SourceType>JournalArticle</b:SourceType>
    <b:Guid>{56b50da8-7afd-415d-b586-dcce878b5e18}</b:Guid>
    <b:Title>From Text Analysis to Metrics: AI Approaches to ESG Assessment</b:Title>
    <b:Year>2026</b:Year>
    <b:JournalName>Academic Journal of Science and Technology</b:JournalName>
    <b:BookTitle>Academic Journal of Science and Technology</b:BookTitle>
    <b:Volume>19</b:Volume>
    <b:Issue>2</b:Issue>
    <b:Pages>23-28</b:Pages>
    <b:URL>https://doi.org/10.54097/wr1teh04</b:URL>
    <b:DOI>10.54097/wr1teh04</b:DOI>
    <b:Author>
      <b:Author>
        <b:NameList>
          <b:Person>
            <b:Last>Chen</b:Last>
            <b:First>Qianxing</b:First>
          </b:Person>
        </b:NameList>
      </b:Author>
    </b:Author>
    <b:JenniData>z:7VY7cx01FL4J4dEyKaCgEKFgYHyf69hxCsBxHmMgkxAb0qKVzu7KVyttJO19UCXDDD+AX0BJT+U/ARUVHf8hFQ2ftJtrA6lSMi7su9Iencd3vvNpn50OXiusU6Uyb9KT1gZaX/nj0LA7R/cY9568r8kEv8Wk8kJb3zoaCuw4JZgX1pHgTnrGHbGclCmZo0ZzQZLla7Z/OMy5x7PHCTKChpoWpJlf+0A1nC4rJSpmi4Ics67kRn0Ha16Wjkoe4DKdtoY1CKQ8MeFUIKf4iB1XxHylisAKZ2sWbIOMaitJIxsjWdXW3DDfNuQWyiv4CJZJW3NlhlzyJqgFsWPHjUf5NeILjXpVoch1DmihZMq5S0JzU7a8pBcxlipUKBZA0IJrJnjDc6VVUOSZ8iy4BIJC2ArLpXXzEQOu1knEQirCUawwuNYHvA3VmgVahRa+6uhV+K4wQ0sARdwZoOsRR2usY4JAGuciisDFIlN0JbpEqXWrgxpqngPspnIoACeMDTxEINAZYetcRY/MWDOMzYaH4Gz0rYxETm7NangD1ihq3UUslOFGYCc1VEVmdI2IELSd88DnQKDrF9bjyBCtUcEKzgyOwlTJjUsEakVoXXqBYNEH8K9tpBJW+AHoCBphNcCNC2HbGPd2H2FY83kyaxqtRO8AuKP1jUalFTrOIgVSexBWmQX5EJMHhB7IiqrL5YzikfrICZgmZgu7IEcSVugkaR1/y7gX4UD1mtKQMK3mBI6JNi5TJqjbkCvXrPXUBUm8HAL/pgUgsSYCVaLtiD3uGqlbCeqvmW2D7prUYC4BOEDiCzItsABpWdECONoU0dUQB8w2MYEtQBB3QRpnvR/CFxismbM5+msw2lvnCOxDx18AlAPvquZuDm9elSgietZ2OcSw5+jx/uGIPWgd/JcloATPr0Xusj9/+HFD3vhMqMb2G9dig5zlyCgW/wIy0TqXOpF6DXgrpYmpGqaLWHmIYw4GbZKLtEMlKfvoiLvNq5glb8GtfgfCknSsJh6bmugq4ySeDt6ueA7qAfgLubuQuwu5u5C7/6fcQZsEzpK8DXKXs8lsZzjJ6kh+0ITcoSns6eD1krehss4/1cgE3bmLP0zuZLRzgxSoQZcpqKBp9fG+4JJqSM/ntk30RswjsDVRB/kck6iM1bZcFwurQYyrzSbYlxZ0te50cEk1IPkjKAydDi5Dg5wPD7HzTgVNSk/vvqfTgKq8xQmPj9TL0vA6mhcFr5Vey4MKVCuhaqb6SnGzAnoSA02DouL+oSyeCyX96eCKkFY9mU5G17cne7vjpZsGqibb4H5unuK/N8/UbHd3Oswm2ayyDaEoWs0f705nO7Msm00zGD3gz08SDgnGkw7G6XC2NwcZAYSgr51eHVQhNP7meCwd9MD7ESR+bE/8GApDq1FTNWN+4sOYu6CEprG0S6Mtl+Msy65vj7PZTrZX+jYP6yYWOu/tjrG8hHkhW3wBT+e3KUBr1rDVAveEvLU+iFoxCI5ww8SeyMcQYt/t9i385G6U2ePI333UuvZRvS2739H2JsjO9nvmYu7wJlJqf3M1Funm8d+fDt4ouusF4XMl+Sw1yB7ZJJg9JzzhgtGyM8mn28lm9cGt1veUvs8N2p3EKdJnv1M79BL2xfF0Mp1e7858dGAd9D8Kfh/iEfkG2tfrHJbxesBJSvf0X5/++vtvPw0GgwqInktCTrcnN5LL5VG6PyBWMfJZIq9S2WzSV3YnSQAA2mLdYy8PMcTddJ1QV1k23d7pzxxBnhCN51CC3ibZ33NEht2yRgL8rqZf+NXPXlLTbDLJkrOyP/8qNWSdi3/b9OnuTfsSPzxIWp7kPgp0GvrzZAKTKnuW8s/62rcvSTnLJp3D5b14ZcSA/4wr4xi8Bb3Uq/c3g2VVGqr/jPM8fnB8g08ZJHXpbw==</b:JenniData>
  </b:Source>
  <b:Source>
    <b:Tag>LiC25</b:Tag>
    <b:SourceType>JournalArticle</b:SourceType>
    <b:Guid>{36293b9c-8530-43eb-9a33-8ce448a1c51b}</b:Guid>
    <b:Title>ESG emphasis of top companies in East and Southeast Asian countries unveiled by deep learning</b:Title>
    <b:Year>2025</b:Year>
    <b:JournalName>Green Technologies and Sustainability</b:JournalName>
    <b:BookTitle>Green Technologies and Sustainability</b:BookTitle>
    <b:Volume>4</b:Volume>
    <b:Issue>2</b:Issue>
    <b:Pages>100296-100296</b:Pages>
    <b:Publisher>Elsevier BV</b:Publisher>
    <b:URL>https://doi.org/10.1016/j.grets.2025.100296</b:URL>
    <b:DOI>10.1016/j.grets.2025.100296</b:DOI>
    <b:Author>
      <b:Author>
        <b:NameList>
          <b:Person>
            <b:Last>Li</b:Last>
            <b:First>Chao</b:First>
          </b:Person>
          <b:Person>
            <b:Last>Keeley</b:Last>
            <b:First>Alexander Ryota</b:First>
          </b:Person>
          <b:Person>
            <b:Last>Managi</b:Last>
            <b:First>Shunsuke</b:First>
          </b:Person>
        </b:NameList>
      </b:Author>
    </b:Author>
    <b:JenniData>z:7VjNbhxFEF5DgJw5IZBQSwgpEbubXcd2YnKA/DiRSaxYWSvhwqF3umamvb3dQ3fP2pNTIg68B2/hN+AtkHgBLnDiwlc9O+t1oiAOHH2Id3a2urrqq+/7upXXZ733c+d1oe1H9GPtIjVXv9+zC+2dnZON0vRFcJnmT2mVKNyCvJU2I3Ftb/LousicDVqRl1HjSUhPYkqZm2tbCG0zTzLg0TRioZEMrwQtpKkRjoDM+cphKYmKPMqYp8S8j1TKU+ClojBuipVZKY0hW1AYiqNSBxFirRpBpxJ7URCxJIGKBM2rEnsG4XJhSKp2n3klrUYU76+LMoo9GWLaaeJqLOVvd4OWFrG1jZ5jY+ldXZQps7TSNMusW7dHa5V7wkMMoqqnRoeSFO+xOdrcGop7KG9eGddwDZzliE6jOJAxK8Whp0H0EqUrceSlDdw+eXHt6ODw6LqYO0WA/KTUiM1JxhpwAJUFI6TES/JuEEoXuUVvU4+yklNtdOTST3QsxfZ4t797c7e/vTUWlfRyTpF8ENhIzGsT9cBIW9Sy6LqjgA0J5S8oRF1wc1y0J4NHBYxT922/PPcIfgAlJ8Y3GfnBMhBvKp2h2Mw7LKF3kwk8sWBKJpTGz4EJtJzteX85133i/AyJ5NQwCFlWJ+Q5RdfCQFtFFeGPxWxBg9XAGAqMOLViCeVx/1GG2SBUlOkc2+eYwiDWDCMKM8adtKRBSYGbbPnjdXC262rFkqF4WnvOwEQLQGdBIGssZTxvrwWkz3owdSLkmoyQdtYXlXeqzlhDSB3iG/h4XVWGBOU5ZfhNsbwYgXMWdqxPlEFo0IXl3iSq91QgL6paoIelTukUrQ3FZAkBmm76rRTEYwfRchmdZiqv4RBRv8Q268NMNbbzFDqEOvGnJJa8uF+yKAnA+DlTLqsDOA1zgNQWGnaARlftSZ5EBJTfgcNpWddYqlXRHB8QC89cwAtaDVQygs+23/X+koFdMmVVZaoReDGjM3HspoItifN2SF3whn2rHArQsg+ZGgkC4YlTMHsOEY9BJLfp9kzr56BObN7iP5aVNSwN44PjdNSGjiFZqLrEW5N+Sdkv6Bc6u7s/UF4vyLZekMo7lyb3uuLvEokUck6JC2a4pG3SvcHiGjNTEjIgLgxGBQIudOKmBOBRAholaujJh4hO+Ick/iWVOHnHC9YkQ5TUl+FrHw2tDHpteivYwjoVJX5ntS0FBYsAGZzHQ8raggmXCXWVnIcZhwINyyE5b3Qn0qtkDJykRbFp2VmjemgFxoFCFmRcxawYit9f/SIeEFXn/jmXVUhttWQFlOzz2H51Lrzh+G2SvYsiX2nzTqeMJOQLskHvjZg2y5abNs8kNY1tc1MDRRLQ4gkfVZ3XNFxSKCX4V6Q6lQ6ZcQEHw4oAbaqD9SGf23VrZlmDuaAWPp2TSkHwJLt+K/w7OALkDAcRKEdJzW1SPpZaJr5lxJgYDCRhfMF5l5zrLDoMFavzrPdxKadMiCxe3jUu7xqXd43Lu8blXePyrnF517i8a/yPdw2DFThFSD3AqgJn5M5gNJ7zScLnoN+3uTvrfVBIuBDm/8poKDOLD/HPebUzHI8o2cx7FHU0dPrlI0+QxxFlpXXGFR0RJ93QEw/yhTP1nK5Uq32euEwi41lvQ1eo6xnqo7Pee5ASuH6IN5/2Nn7+tTS4E6y+GV7t9bRmZv6EaGVxLuEzz3H/MM30iYY0oFZ1v5ROeWeo93ZU/pjIUNNGurvoAfUC62eNi/Kdiw6AKJpLi8pJWdtQz6iNzqGmQ5X/mWkVznpXMuX06WfjEaAa79w4Hhae5Q2gt/FmtLm7A85M7Sv8Dfa13tzd2h3curkzLh1OTolqZi+2tsbbm+Pbo+1bCHoq/zpOiKeBHXOewXg0GG8Dm3amU7Lz7uKznN9GKn+2B/osNHq797wI9TQ2Fbc0kx4+bOgIXzegfnL5Yxyd669Z2qZBrMk03PRec5/p34uecpCRnf8FPD6kt58cL6nww5s3P9btBWf/D/e9Gu6abA/aVOvekLfaxv/LfZhD3yARyptqJTdTr27SKn0CX0J9gXJNRrUh0/FWijn94l6N2yzYzycL5kmr0+lua1vYB/H50XiEEbRrPt/HHQvXBPZJ5O8ypFUPH+xTgCfR39/88fS3b3u9XgmY13ZW463R7ZTnZJLct2gt8Xx3xUO5Cg2b06/KGKvw9Y0bINDQ+eLGv3Boxmfsc5wLqGrjHw==</b:JenniData>
  </b:Source>
  <b:Source>
    <b:Tag>ChenC23</b:Tag>
    <b:SourceType>JournalArticle</b:SourceType>
    <b:Guid>{f9e4c79a-efe2-43b4-aa8e-5750488c01c6}</b:Guid>
    <b:Title>Multi-Lingual ESG Impact Type Identification</b:Title>
    <b:Year>2023</b:Year>
    <b:Pages>46-50</b:Pages>
    <b:URL>https://doi.org/10.18653/v1/2023.finnlp-2.6</b:URL>
    <b:DOI>10.18653/v1/2023.finnlp-2.6</b:DOI>
    <b:Author>
      <b:Author>
        <b:NameList>
          <b:Person>
            <b:Last>Chen</b:Last>
            <b:First>Chung-Chi</b:First>
          </b:Person>
          <b:Person>
            <b:Last>Tseng</b:Last>
            <b:First>Yu-Min</b:First>
          </b:Person>
          <b:Person>
            <b:Last>Kang</b:Last>
            <b:First>Juyeon</b:First>
          </b:Person>
          <b:Person>
            <b:Last>Lhuissier</b:Last>
            <b:First>Anaïs</b:First>
          </b:Person>
          <b:Person>
            <b:Last>Seki</b:Last>
            <b:First>Yohei</b:First>
          </b:Person>
          <b:Person>
            <b:Last>Day</b:Last>
            <b:First>Min-Yuh</b:First>
          </b:Person>
          <b:Person>
            <b:Last>Tu</b:Last>
            <b:First>Teng-Tsai</b:First>
          </b:Person>
          <b:Person>
            <b:Last>Chen</b:Last>
            <b:First>Hsin‐Hsi</b:First>
          </b:Person>
        </b:NameList>
      </b:Author>
    </b:Author>
    <b:JenniData>z:rVjPjxxHFR6DI1AkOCMhUIkDOMrMeNfOGjuAvPZ6nZ312orYmVhBjkRN9+vumumpaldV7+5IUbRwQBwQOIAgSAgSkDgSiQOwF4QEXGMMioTEJeQv4BRF2ku+Vz07O51kknUmkr2zVf3qez++773q2e8cNB5JcxNJb+xB49SgkCndKkd9sv0nLiTGqlTp06MiTjZUmuX47x3MVDihjHYvfeGg8Ym43zd7B43TSUZscXj57cOf7jcajTinxB+uPj7+7l+xirwpDle3PzV4GQvaVbHPDlevDP6MVWPGb+PDAb9y/yJjTAD1YHUG8Orz5xcFfF298bECdr+u+NEUsGcYfxHA36pvzwK+MPwIgH/4Mq8qwN6jg1rKd37CJV0gwt7dQT3lgpeLAP6nznKvYEktAPjM5QHTOgO4YMrP/K7O8vr/Thbhz5jKCeDmK1pMAZ+89Mt6p7x2MpZnATu/z45Z/trrv6mx/NybDx9h54//Pe7lb9x9ZTbCq71Njv7DAV/iUr8f4OXPvFzv5a0FAVe79+uy2ThZDecCXvnSa7WUn1/m5SKA/39QI6W3cbJOmQt49S8P6imfcNrMBVz7wT958XCAq43VN+YBXvvir+qAvQVTXj9zvzYPe50FU15/6181lp+7t2CE1/9eY/mr/9h+eMDacHjqFy/OTpsrL/5pQR1upPdqOnzhWyebhzXAV39+HGFn5R4vju+U7zFHC0S4+ckf1e+UOye7l+cDPvjhwwv7gwBv/PrHtZR7t94NSHdL42n8yJ1uRkLpyJJ0SqdCE8XCG1FYipSjfCxkUViJX4XUsYiM9lY6L9a3nxIWb146dUJG1jiHZ7YwvIe3MZFJJ1Ta0soDj/Y8aad2SFhyJG2UBbBYuciU1lFbVFG0krwkHZEwCQLZBfLEJY0YWZMpnaAd0t4Jo4XPgDaNwiQJWRwRkSy82gm7wpX9AUVe4AVSOF/GY3alnIjHWo5UJEjvKGv0CJDwGJFzyktPDINQVa74AUcxknlOsp+jDKiHkVHWFrczhbUuR2Q5sCoQ4cYO8SLOPeV8UyBBeI/wHOdRGG92pY3xiYxvbq91Ziop0lLFlCvN/iuLxJQ6DiUNKYRDZe5Vawv2pczD6TM3t1r4fEy4TFqmT7qhcGQVubbocJ2QcV9Gw9iaolmBhBPvc0DsMnGgTaEMQQkR+0M5kbmIiQqyAjGh1B514agnZLViC4b1rDKCdyl2jc1jkVqzy+YjY5lrT9ZjTXEVkBoBGKegEeBBkEdi4hMh4wK1ziVnnSJMdUS/dA6sMYHYdKKQVo5QND/JnF3JMi0talUlPUsJJ4vSFkoXBiG12BvHr5wr4eTMWoaECArI201xbunc+cfa4mlrUmgjdAvKwy4cQaSxgNYr+TcnrlrnRGaYTURb6VVEOQJWiaq+tYRcR4WEQv24INcUCUlfWsYG7dIRZ6XFWsaioKZY12muXNYU1y0aBZ+szU1ZoDfQRsuhj0yQ/KSS00BY9Og3sprBdzNCNLbqskKx8uEn5rDQUcoNURcrTAEOfMlqwHMWYGQQrR7jySRVlinUn3JHh9Ll6PRJkxWSxSIVmgGFchn0FL64HdVihBhM3DK5SYHfnGZcZRWmw04lyplEGLtyGMppMC5smDEJ4gN0goM4BWV4kiNg7bJGCgXRIYgwJHhGIA9LYDdMJYTpiqOaVbHlPAVAfLwj4WEiLz2RIlp02nwz9Al0r/ZTctsihvKHB43PZrLvMDYjv/fvtazUaQt8glOCUJ4tWzeB23Wk06bYLMeEAG5A5k1xRcu/verEVlZCjoosjA1mv9imoYLCMC6fLTNxTY6boovTra6TSnTLptiANlv4EVwEwUaY6pMhGbLbVns+E7cRnctMwTlfR5voSCGpLkWZZk4w+kHDLdYjtrcmrVfBBfm3Q0u0cxnxBsXXULMUWyutpUsjHtsSqrUdnRh8U09lCbat2y+mT7am3/YV30zfhAfCRYcCYrg8jZ3PtTO0S/XruTzcPapf4oj7Pl+IGOFsnyQY5fk45mwp5RmkplXGxMsp3J51YwoFr6yTioN5pjGzMbGs+JlnqaZUTcwrBucCM5GVJQVm5xlG4LiySyesz7Psd8tJBaaKmOv9uFwDFsyb+/fwUVlHKsYfV05HsVF7n19eai9fvLBy/uzO8tnAd6K0zgt04gW0aF/v46fT+9ARaZnT3vD2E+cvrSwvLV9YuTgIgzQIY8BnW0vL+DfE+MQMjqhn871m5n3hnjx7VmI0akiEldc2Nn23szb+9pPiPudOQxpDab2KcupieQrdRia5ARJnt8nj0h7DNo/4NeTqeI0vhke9JQwBfs+IQweE3VPklUf0zfder52qwxlRdGodnuBlS0VuP+aYPh2VSOfxo3RQu5DFB5TvHQ==</b:JenniData>
  </b:Source>
  <b:Source>
    <b:Tag>YuE21</b:Tag>
    <b:SourceType>JournalArticle</b:SourceType>
    <b:Guid>{a91ad557-9861-405f-b58a-f96856cfe778}</b:Guid>
    <b:Title>International variations in ESG disclosure – Do cross-listed companies care more?</b:Title>
    <b:Year>2021</b:Year>
    <b:JournalName>International Review of Financial Analysis</b:JournalName>
    <b:BookTitle>International Review of Financial Analysis</b:BookTitle>
    <b:Volume>75</b:Volume>
    <b:Pages>101731-101731</b:Pages>
    <b:Publisher>Elsevier BV</b:Publisher>
    <b:URL>https://doi.org/10.1016/j.irfa.2021.101731</b:URL>
    <b:DOI>10.1016/j.irfa.2021.101731</b:DOI>
    <b:Author>
      <b:Author>
        <b:NameList>
          <b:Person>
            <b:Last>Yu</b:Last>
            <b:First>Ellen Pei‐yi</b:First>
          </b:Person>
          <b:Person>
            <b:Last>Luu</b:Last>
            <b:First>Bac Van</b:First>
          </b:Person>
        </b:NameList>
      </b:Author>
    </b:Author>
    <b:JenniData>z:pVdNbCRHFR6jXQiXSByQNjmgUiBSWHl+esZje1iUXXuzS6xskl3bm1UOSNR0V3eXp7pqtqranrkgJxKIAwhQDghQJMSBE6AcAGG45IqQuCA4RUrkS6Qc9pJEimQpyvdqxrM93mwSy4dpu7tefe+9733vVfcrB7XzmTIx98Ye1BZ2hjwTL5RFX9g0akUrnW5qrMykPlcMk/RZmeUKP+9gKsMuabR77aD2paTfN6OD2rk0F2RwdPljVXuzVqslSqT+6MpTnddxU4u9GR5deeGj39KN2JOJz4+u3DocM9xWXJ87JeDNxzr7FcDNb/3zrIB/e2wO8JfDd84GeGurRwjHgC9e+/uVUwMufvinH8wAt776dcpxxuFXlk4POBfh1h+emCvKT86TszMAbl99pBrhZm35jBxuv32PcpxFeOE3tPZ5gB8cPUqlnALefvOHv5sB3n7/L5WUL3/40xsnAM9/eoQLD4uQ/etmtcqb904K+7SAT77xylzKeU65nAHw4q/eoKVZhP/JiY7PB3xoUZo/vzEH+Me3TujwtIDtS09TSDPAu7//Yhw+FHDpz/8nJc8A//fNEzo8LeDKE3ouwsO/npHD3uv3qoC3nn33jBx+92s/rurw1j/+TZZnAHz6R9+oVrmnv39Sh+JuabwYn//vdi6cYHHOlRI6E45Jza5tfY8l0sXKuNIKVhgvd7kXrHTMGyZGvJBasL18zHwumBK7Qjlm0rDPW67dkFuh4zHb5XbMeGyNcyyVtgjoiUxTgXXPYlNqb6Vwi4zrhN0thaMDCsgCwJaFjXUlnRfJdD+AEQ8u9/34CWgIV+psEj33HPAFGSRsT/ocoRok6nPuA4g28F/Bb7A7gnFZUIYFHwjmkJblCigUY78MRyetUs7kQ0kPAw+Gwl7nufWsP57yQ5GQ5RAuZF8JlgiYY4FrH8jiIaPD/V+7B3hrsBdLyxwvhtgXstAgKYTthBJxoMMaxAoHz29d3WBrSrGrgc0xu2OsStiGTsSIPbV29c7Gtye5aa7GgYFJ+JUCI5oJpznXLFrstVpMcZuJesyHFf+54MndElmiegmRvtS7X8JQQaxYiTcTusd6yF9YaRJy0W5F7Touy1RfzVwZ5ycDyazYY10s9cGm9hKiBBnbqIjgwaBC2pzQpqKVzkFDi2wPlokZ+hDBujKGND9VxswbzHKJGIBDug+EthoRlThqtRpsDToYyaIsmIuJHaSA5xQK6SDoKERzDAmMIDsImKQzhrxIISTo2KC7Qtmgj1k85CJHL0PpFQ4mzpzMtEyJR3CC3rPz+RLZoWSoB3jyY4quWtF5PqS1wg0RgdwNeRw3GNFT2WVFSmE6Eq0kWwVcy7TI8OI4uZsUldJGXT6DXHAHWYxC93AJwvhEUkyH+UNBYDhIjs4A9XAiOEqRyEJoB8Ya7Do9QyehBRaZ0LvSGo1Fj46cWaHssSoTIHhDC6BK6NyUUHnGHRMF8qeuXZyuC41AURc8KothGDVBtWFxL7CMvZdCis7EkF/FF/WBlVRlgaDMWKBfSqsNSr1IKo8pOCRI9BpsOm6APWMHSDCmDkwIpSg1FQz10AmmxKVJDLDMCAvzAaZzKRo7NBg08Nw33FKX6dAL2DY0mEIypkCNnrzdN1hCLg9qjyoex8I5kTyDzVm71e7Wo1YxrYiwGzo1OE8yXmI0WrevJBo99tfxg7KiqNFbFpCWEqOLGxrcTPDhalPsSvQpEr1O4yzwtBami3TprlFlIS48N5z5uTH7WpF0AG1Su+E8g7qt8zfx5PHaws/iXPHKnZpNXUT2Kp1+mhe0K00xXNW4/3IpMkhS62t0brGbQh7u/2IsE2uUqD1oH98opxuydR6zl8BdsIxlgm+jL8eJkaPHI3Q/xlNzpyFtyhsgLKIHK50Iuu7rfVydflVGre5KvduOejJaXenUV1srvbjg2U4n6nS77fbS8qoyqO1aIH8j8VE36nZXOkutKFrttnpLy+3Vbk4WHNQO7tzfthPaNVRrh5zXW516q1cMyz6OKLTrpGALIbXBNYUDSkKx6y8N0NymhMJuWzUa5d4P3XeaTQG14qhp9PuDBo8b5aApk+nD5tJStBI1oyZ5ebLdep6Pca3jhybGtTpqjheIZvx9uaS7dWkHfREPJv+iXfGxmWFq+/GQSB/gjJCxEtu4XYBmhEmfkzqpPhZoOTWGrYoxJJP1cTi9LrznMYPo5SAWCc6xgZs8vjwV4ta8EMMEmZzLD761HO6/xp4x8+8Q98+y+PhF4nKKNyYZu/2Egn8kLsHhxWMOIYuGsVnz4cr4BA==</b:JenniData>
  </b:Source>
  <b:Source>
    <b:Tag>BarkerR25</b:Tag>
    <b:SourceType>JournalArticle</b:SourceType>
    <b:Guid>{b4d12fe4-26a3-49e4-80a4-31177b6d5fce}</b:Guid>
    <b:Title>Corporate sustainability reporting</b:Title>
    <b:Year>2025</b:Year>
    <b:JournalName>Journal of Accounting and Public Policy</b:JournalName>
    <b:BookTitle>Journal of Accounting and Public Policy</b:BookTitle>
    <b:Volume>49</b:Volume>
    <b:Pages>107280-107280</b:Pages>
    <b:Publisher>Elsevier BV</b:Publisher>
    <b:URL>https://doi.org/10.1016/j.jaccpubpol.2024.107280</b:URL>
    <b:DOI>10.1016/j.jaccpubpol.2024.107280</b:DOI>
    <b:Author>
      <b:Author>
        <b:NameList>
          <b:Person>
            <b:Last>Barker</b:Last>
            <b:First>Richard</b:First>
          </b:Person>
        </b:NameList>
      </b:Author>
    </b:Author>
    <b:JenniData>z:pVY9bxxVFF3nA0EBggZFSEhXJBAHede76/VH3OCv2LHjJMbrJCW8nbmz+7xv3pu8N+O1KxwoaKiSAoRIBQUSEkUa5I4WCYmSBiSUvwAFwkhw3qztXVuOLLDk9eh9nXfPuefemQc7hfNNZQKRGrtTGFhPRJNvZXGDbVQpj1cnqpGxsin1uTgJo+uy2VL4pQ5bZX5KGu0+2SmcCRsNs7lTOBe12G/YfefP+oPtQqEQKo7S3anLP03+hlGQmmR3ql785XsMuCPDtLU7tXzpPT/su/rMfwX8bIn6AG9OPT4l4NqZ7/zSQYRLv2J0KsD4kh8cRPj5dT88DeDPD6f6Ab9+5ZQR3pn+p5/yzau/++EJgFMDrz7yUh8L+MfA+/2Alxs+RycBvvBV7LcdB3j3oTqU5fsXvQInAnbiZ1Gmd3/s9+FNHjoS4dnjAC9+87GXugfoMbqAby+/eEjDJ0NHNDwOEEn5yAt1HODED38fss3rn/qdpwCcdE8O2ebbD47Y5izfz0zKW+f/urYp4kSxIxNRYqUOpB8VG8JxSCJJrBFBC8tYUVnIlLaYLAcmjlmHoph3Bmps5fNrwrVp3tiAyWiaVTIWKRctKzxCmpdaAF4ompMuUMZlFriDa7Pzc1eG8vO0qFO2Om832OZHTZufXeXE2FTqJs1bEXPH2DYJHean9u7pQyWqp1gVNnQ0Y/DonSrRGo7EQmpyB3tEYI1z5DJMIciGVDIFI5PIwFEfc+OYImvi/NoFZRoIshfZopapROwbTIMLq4tXDgKsH8al6SAwmc7PHI1zsD5dn7lSotm5FRLKGWoJSJ8iOx0N2fevskiftFykEaozI/Bkf4U3ZMgaCQDBOlsRsYyHaKE0RG/RguWOUEO0VKLBarkyDtWfbn/h9bgrVMagongDKUL2Ipo1Fphe1/3wi3vx92VvkqY1/oTacjJ3kKA5kcI6aVen25ppWdgm07Tzk7c7mu3T7cdDVK+v3qJ7SIgPekUkbEtUo+sZbIUIb+Tx1gO8hoL2EM12Ax7rBZx7yluvJRNqcNphRkIP6wxMvNXinJBPxZHlsGeXp9uPQD4wcKfy8WwYhfwIe2gTMmkw45EUN5HqWAS57TGbU1oyGbyrvAx9Gfb7V7IGiBCtGDy2SoTSQUr9SlMAwDrwcQnYoB5SQyEjTgXX38/YeZZaINnQV1Ow5/WgJXQTjSxkUMSmXIwcsYNlC4Nr1Lq/p2v4ntdD3mBlEqCjaL3b9t1DqOlEaJnXep/Xov2yVVuABbiv4CNaSp0rnQcBAlJvICZjXal7gzdx716hyWywLW5I7tCgL5B9WA8Vi+QKdVoyaJF3ciojH9FeLaYtkZJAMiwLhx7RQExKthmP/F4QCNK85g6iBi0dIluIzFhCAPC0p9Xvjty4XfqeCyHtUcQWt2MUgqpFDCXf2YjRDckx2qzt1rcPDHbu0cTNniTiiqVvXaTzjptf0rNFzAAFI8TQJzw4dIVHrruJQyPpaxKeei6YcSmhuXviIjSJv6eXYo95JEG9dOIrEG1LwYWh74c7hZcUwmKUZ4jS5Wa1XB0tlidiyOYB2C4it3jtNEWGBmjdNnh5lefxMzaslibKnMpU8eblEwug6//Il1fMFyrJwR3LB1+m0r+jVr258cpD7q1LVzDzWmHgy5dbSvSNlD9tZSPzRsP37ZlQo8fjGUUilmormhG2jSQ20ZB1cxWGgjihNYoLgQzxaXs+CI3cpEq5VEFvGV4vrUOIJGskRpWgQg3T+DIuowU09Db+O/2hLFfHJ4q16mhNVibGR4rV8njZm1qDLyRcDN3V6sRYZWz8aq02OlIdrYzUxiZafoOAQO17tVp5rDxWHRkprwMv60q+3pW8gr8Y1yvp0BK6qg/knNrXlENfh4dm7rZR7ZA54DtWbZZbaZq4yeFhECkZ2xw+iUvTZY10K/EqtQX8EChew3AA1cEmugGz90+jDcEo2KsC7+SZrVmf0+dSy3lxBBz6Bu7y2Qtv7rngjd6L41kejLrVvB36UJ4Psv/D5F8=</b:JenniData>
  </b:Source>
  <b:Source>
    <b:Tag>ODwyerB20</b:Tag>
    <b:SourceType>JournalArticle</b:SourceType>
    <b:Guid>{51022125-255e-41d6-9578-fe582eebac15}</b:Guid>
    <b:Title>Shifting the focus of sustainability accounting from impacts to risks and dependencies: researching the transformative potential of TCFD reporting</b:Title>
    <b:Year>2020</b:Year>
    <b:JournalName>Accounting Auditing &amp; Accountability Journal</b:JournalName>
    <b:BookTitle>Accounting Auditing &amp; Accountability Journal</b:BookTitle>
    <b:Volume>33</b:Volume>
    <b:Issue>5</b:Issue>
    <b:Pages>1113-1141</b:Pages>
    <b:Publisher>Emerald Publishing Limited</b:Publisher>
    <b:URL>https://doi.org/10.1108/aaaj-02-2020-4445</b:URL>
    <b:DOI>10.1108/aaaj-02-2020-4445</b:DOI>
    <b:Author>
      <b:Author>
        <b:NameList>
          <b:Person>
            <b:Last>O’Dwyer</b:Last>
            <b:First>Brendan</b:First>
          </b:Person>
          <b:Person>
            <b:Last>Unerman</b:Last>
            <b:First>Jeffrey</b:First>
          </b:Person>
        </b:NameList>
      </b:Author>
    </b:Author>
    <b:JenniData>z:pVhNixzHGR4FyTYmkC8MshJChUDYhfmeWWlXhGTXWi+WrFgraYXwaVLTXd1du9VVrarq3R1BYOPcAskhIZDcckgI5BJ83ENIfkKuuQXnkJAQ4psxwuDnre752kVGZkGr6emuej+e53nft3p+fNq4kioTcW/saePSfsFT8U6Zj4WNe71+NzFWplJfzos4eUummcKfd1gowx5ptPv5aeML8Xhsjk8bl5NM0IJn3/94y580Go1YicQ/21x593v/wLfIm+LZ5jvfeOmv+CKOZOyzZ5sPv/IqvjUWHL/8eQ3+/49kYW7w2gUN3vvLHzaXDH7xhxczuHv798sGX6NnFzH4/u+WU36NXczg/a+XS6R8+X+08iIGf+KXU74oKff/a+nL3ODV317M4INH2/RoavDBh3+/IIYP/nxrOeWvXdDgw5V/L7L85pN14ujzGeyv/42Cqg3+5y6BNjV4/2f/egEMN6+9+qPnRbi3983llL/6IqR89N0NSqQ22Lr8azJfGXzr5U8WdXj/n386I5tXxJPSeDG58tO9TDqWmKh0DBexdF7qyLPEmpwZnwnLXOk8l5qPpZJ+wqwojMWilGERz8WRsQeO+Yx7JrXzgse1OaMX1sISk3nBIx8eRErm3AsWZVynovLGWWQs1od++MHJbxxjphDVV8dWuI7rgLgrRLCTnIltla080sLmXDdZv9vbWG0iJOZMDkfcCce4cgZeDoUN8YcnCbbrSHK1GB+FuxBNmz3OpBLhthKHQpHv8/FGRnsrx2UVsTeMYSaMYfmI2xwem0DGMnHM8yIYM9aUaRasplYInZnS4ZI7JnLpXLASoJEU1ZFexIMRHsiOHrmyKNSEwAQDTXYklWIZPxRYUydFOZ2NhXaK48K40iIYw6x0IBKJ1QunKxnHcw4uXalgKGF5GWUsgwjBRUBjcddnJ8IRGRuXTmrhQEiTpUSGzoVGMJRR2JkZFbvaIPL64OSXFN9RJuFX+oX8jKa0p6iLGGGyglvfZnsITgBt0WSIsCI0N84zoQ+lNcFjMC50GMZCY/c8sErPVnB4fCqsYeBNC9/SIgX+8PycNKd4hBA1ri0cK5hkY1GBDTfIpdZ/ywqFj7jGvsKIQp3DBmSD6lEBtbaZ8MCxHSS+vtpmtzUrrDmUMXGFAo5UoHSmYz4GxiyBCowF4nRr79bONm2/UVcoPiKTA5OYwqPUF6SNxqDZGEGErfNycShCwEKsaaNbZx+4OioU0plk5ysXo52VZYgZ0FPuN2uBYD2YdB4RiXTSDHgxYIGGRkyGIHIBGUR1ZXhuU+FdEAKjfiETGS2luegbCQaqATa8g9PKPwnflF5BFKHWdmRKtcJ67ell72aF5dzY3EcFXpOFTgtpIioe8yIgQDyHjSvEAm+yos1i6qSnjS9lfEyJRn5yZXW3BA2IJ3TpgqP8CdWxEgBUPkXklZE9Djh2jI2oJNitM3jvzPDenue8utCckRpHtU8q6mORI+4AdYAAQBxRNTEecTwLMDrBLfCKoMZ5+UHYaBmoXOxR8umUS1jSDqVIIUOIBdDQnqIJaCOvUssnJZSFJed7OrxGpsSGKs7QtLhF4WJRSiJPEDBqzhQkhDbbFk6mugMxZCY2yqSTDi+AGdFLWpiBSLgiP6bDQCQ7s7RgGPTRWLR1/0xKjAftcZwHgrKAIrilUVhvwCODcj8KOYSYpvVDepjCfD63UPZNtHVaAhi8pJAglFgUpFKwJqBhEEjFDbYrHvDnqLcAw5zvI0h0fqUEJmnduEK1zh0vFXM1Nw6FCzWqRdWQeBwjm1AJy+wt0RXU5vwE0+uFQp/H0GZvC3AJZQWzkDSdNiriyBWBV5DoZVSRerZpuEgAc4lINVcTh93kbMH+brW7muMKF1W6FWRUPbNEiFb0jgmqNknwlPrHOWk7X8aUAbCZ9jFnlIwxTnCNdkRQobeH6OERa6rzQZ3F7DxxBrfnnaZCpyJY6kNIjnLkmAEYWXCUI4IFIokWpDiFnBxWJ46q/sLEirgd08nlXnj1BKV+0jnkCoUWmgn+Ve3cwkMl+JYTPuilqpGgpFoXQViiUgvgawa3y9ybBHfPwRgqI6Q/l2NQIFKcM4I1sy6xkORC6S+Rfb6S2gprKc54myZEv9tfa/W6OfUmLBL2tk4MvaLzkk5d7gTiIph3wlCMh+3hQGDgluKK8NIrcdzcmrveghDCxXdYfXdK3h1TYjSp5NCoMhdXv1XM/N2d/RQg6dD9gE65OMNjCAHuXdx5/fK7meLT61LNuiiie49O+xpHa3wmCc+lmsh7OGBuH02g1hRNVKdvQLYxQLFGicb59Wl9VqhX3xFJYsWkWh3JGD89vBTFRh6/3uu2e73ueodzvt/q9ltArtsaDodraHRjfYL/nX5PdjfWeq3B2o2h7HfpqrfWi3Ke7g+6/f7a2mBwfQNlLDTgAQe3Y3t92F+/MRwMNgbX+xvdG73eIKPnHMgePJ5v2g+YB8r2g+PudWKtKMdKOtRtxdqlkNvxtTdz6ngx260eEyN3ZS7RHA4gN1ARiUdWHf8q875wNzsdUeA4gSOAwvBzbR61y4OOjOvbnd5wsD7sd3qdra2tO6OtrR+MTDJ6mMmEqB5B7KPwFkN3l6U2mqtyRHN8VFfsyJtRaIoj0DJaauD41Sd15dhPCqLoAAdUGSmxh6+XULfCJG+jwS/eFuFsirUqovzemNwij1ff9zjTUsOKRPyYXruq29+uRfuLafhVZVcvYZ81T6t3i7rhzN4Azjbxm7NqfpGJvlzrCV5HcSY7iSn3V6IS/KxO+YH+2samnedK8FM=</b:JenniData>
  </b:Source>
  <b:Source>
    <b:Tag>SetyowatiA20</b:Tag>
    <b:SourceType>JournalArticle</b:SourceType>
    <b:Guid>{3959f5ae-bde6-4d4c-9bc1-c09c08a84425}</b:Guid>
    <b:Title>Governing sustainable finance: insights from Indonesia</b:Title>
    <b:Year>2020</b:Year>
    <b:JournalName>Climate Policy</b:JournalName>
    <b:BookTitle>Climate Policy</b:BookTitle>
    <b:Volume>23</b:Volume>
    <b:Issue>1</b:Issue>
    <b:Pages>108-121</b:Pages>
    <b:Publisher>Taylor &amp; Francis</b:Publisher>
    <b:URL>https://doi.org/10.1080/14693062.2020.1858741</b:URL>
    <b:DOI>10.1080/14693062.2020.1858741</b:DOI>
    <b:Author>
      <b:Author>
        <b:NameList>
          <b:Person>
            <b:Last>Setyowati</b:Last>
            <b:First>Abidah</b:First>
          </b:Person>
        </b:NameList>
      </b:Author>
    </b:Author>
    <b:JenniData>z:7VgxbxxFFD4HQaiREGmCRkKKhGSfb892bCcFJA4JUUBE2CKiQnMzs7vjm51ZZmbvvJ2Blo4GfoolCsQvQaGHJlQ0fG/27nwG2xIUSJFcJPLtzbz3fe9933trf3XSeyV3XhfaXldfNi6q9vrPB57bgKeVtgXLteVWaG5YaENUVWAlD2yklGXC2aCl8koyzmrvKh3oBp8o2ygWHVM2NF4thciNm4buHmLZyKY6lgwPmeB+5CzjVjJhdMWjYl4FbTSdkmqijKsr/Nxn9yzTVe185Pgm1z5Ehlg15ZOOBZfwuRzhO5SxVMsB8BULTYgcoEZmDg7ZHJcVr0OfPfB8SjwAZ6xaBOdjVToDokzbqPxEK5DQlj220lmA5PRhOMh2nx9/NxwMB6vIqQPjPmqBDOqIo5IKhQPPxZ3nxz+Ey4AkGo3NKbEkLMSj8K5BhahK2k5UiLpApULCKUpujLIFPqIUOgam8lyJqCeKCmYUsedRO9tnB4gVYiNbyipxoeSREqBZi+6Wuiipq0LJxqN3wiGIThBH6d6sp9oCRmwoMAUCQtybFZzKeB5HDligVBsILbEJzajSMSb5WNuQ2ubXoIHYQgzU8kSNCnGa3quiMTw632cfuinSeio/MUEL5gpNySfc68R/Vr+FDEVLDUy9rb1KIKZUEDqQqKGknD0//r7wKAwaR2U5RGkZr9wZiyzXYhXyR95UAlctQz5bMbJJwQvgtQxUI5BWDvDREzTdjZXVoeqzZ+QUog536AhJLIi3zIF1QLsAufEebTYtQZyAulyFFKgUUue5Fo1Bn+EShUZDjRdgqlKsEUESiKYnOiBhZ7CEzfl0HRYsNJX2b81yTYRaUDUBCgjDRanRGUnCWzIGINYu4FiNuYM0gFEpUgQsSpQQY1E9PCLyI+PEGMVK/luomk7RtzPrrKJ9WpSE3jSSXKPgkrl76TzZCR45ZbcYOnOFQuJnrUpHyQYjbsf9J/Bb7YxOykmVD//C2SjBVBkDd0OaU57U1yGuHKbZBU0pMVfnc7dzYtfK8xJ10qBrS67oZu1MPTAc7hH7xfGzSrpANf9sOX6e9/vu/uVgkvHOzWaVojHkkugq0i4JbjZMlIUVMIaAJgjj0k4h8JJ7XEoxdRizilsoI834NLYCSWtm9dRnfMRWWxpkdx+dp4xLW09FIbCdH3Ie4hq+E+Nz+4BIaGCd6EOiaXwApvAOCKHMTvPLBUqDeFmXwCu1p1mDdegaD1qMk2Zy7Nv51iT4kCFaGXASo1BOnR+f9N4oOboMePFqq19t9autfrXVr7b61Va/2uov6VY3XCT+8gHoFdhJW2tZVmGeEUTlH2OtnPReLXgTS+fDMURRYyQ/xD/n5UZ/d1fpEBq1gmGIeWT3ZuZ4miSfT5xpKvVWvYj3kRPU0JPeiq7Rgk+hEXXSu6bTdn6KJzdMaVCq9GNr6J7XowZXAv6scE1aXtH5PMeiNK3eV7F1U1REFeBk83sjLXkpvTOql2M/PZX5C6FlAAUhnT66mQ362WBnsJ5t3t7dGNwe9mkL97OdrZ3tzQyiGdlj/B/s15pOrNERnW1vDde2N7e2RcWLw40s29zaGm5uD0tXY24bdTR+dvoQtz/hLw5TUVJNDynDWjZcG2ZgZosGzEbKVnWDiR+wfroSryRq9QFvDRp5iz3Em5XQoYD7YlsT5/FsGB7g4wokoFz+BCt5+bGKWOwtzhpB1r3f7uElIN74InqVY8+RM57hJS50j292PTu6/YjcZS/YwHdO51YS0kLwecTWFuGbk95ruXQVriEx1X+YqLh9lybTvsCLGSSmcq2M7I6MhoN05uidD9BhzG6BHdj9qNBv0ZnxYQcA5/ODbAP9mN1ZHh2zM+k8LArT3Hd4TVFBYPn8+d7vf3z+U6/XK1HFpfRyOBhspGDF7P5/4ZBtzvDcb/AyCw+tso9P5woBuicEFRqFnXHYHWTdnXf38X6l2B6vNVqGrb1EmBJ2HSFkcya//frjL+cwyTYHOynkdB/DBQ5uU6RTIP8Ps2x3d6u7cwskDpQoV9med1OZY3Ph1Cp7gD8Hguq8YQta3775/vm0ZhjeXspMTvEYLzR697tfMSSZ43W8y5ijtTLGOtxZX4fR+84X65d6fUy/zXxGS8XZlb8A</b:JenniData>
  </b:Source>
  <b:Source>
    <b:Tag>TkachenkoN24</b:Tag>
    <b:SourceType>JournalArticle</b:SourceType>
    <b:Guid>{47c45cbf-1601-4f6d-a2ac-ba1ca5a86514}</b:Guid>
    <b:Title>Opportunities for synthetic data in nature and climate finance</b:Title>
    <b:Year>2024</b:Year>
    <b:JournalName>Frontiers in Artificial Intelligence</b:JournalName>
    <b:BookTitle>Frontiers in Artificial Intelligence</b:BookTitle>
    <b:Volume>6</b:Volume>
    <b:Publisher>Frontiers Media</b:Publisher>
    <b:URL>https://doi.org/10.3389/frai.2023.1168749</b:URL>
    <b:DOI>10.3389/frai.2023.1168749</b:DOI>
    <b:Author>
      <b:Author>
        <b:NameList>
          <b:Person>
            <b:Last>Tkachenko</b:Last>
            <b:First>Nataliya</b:First>
          </b:Person>
        </b:NameList>
      </b:Author>
    </b:Author>
    <b:JenniData>z:pVhBbFxHGXbaEMEFcQOEhEaiRa20u/aud9feBmgcO2usQpJmnVSAQJ333rz3JjvvzcvMPK83B+TckHKrUCUQhx6hhx7gZCFoIFRC4soVqeKA1ANST0Uil37/vF3vrmO3VizFsfe9me///+/7/n/GfnC4dCkJ0zIf7kT7L3S666tBHEf1lXY7qLd5p1kPenG3HnQ6Iuyu9FbbopUoHXKnzeHShbsFT8T1MguE4e1YG5nI/GJWRPH3ZZIqfDmLVdJvkDq3vzxcei4KAr1/uHQxTgUtePLqx293riwtLUVKxO7JFfb7d9/Ep9Dp4smVm998nV6JkYxc+uTK1ncev4OPc1GfPwnwk3+8c3Aa4Ju/WwT8Cz59LuDxDN97NAP85x8/XAD8gEKfA/D15Y8IYQb4J3p3HsCHX10s+QN2JsCA6joR8D+7iyU/fpaS36VNFeCtjQfHOKSVnw+4dZrKt37j050B/u28Gf7vv2S8OcCzcXgMcMbhYPANQpgBPjpbyT+gXScCvrc9X3K39/5ZOuXjX781x+GLwcNZybtfcvM+3PzK35+p5DnA6A+Lojw6pyi773+42CmPzlLyR6/8nFr+JMDbv31rMcP/n0WUpwBnotx5/j6Zcgb4r7Nw+FmAP7uxmOFfzwt4+OJ8hvWsezaVu3Oi7Lzts6gAv/XwF8+k8qmA344+WeyUxzQr5gHFvVI7Mb74577cEyzjd7VhMnfC5P7Q4YoZUWjjZJ6w2PBMjLQZWsaNYIONwdUa2761U2O3r7PB1ratsd3N/lazzXgeMZEJgxMtYbvX+1s1/8jKPBQslsY65lIjBEs5ogZC5EzsO5FbJKHGLNR7wogIiSC6FdyEKVMSSXFXIjAPjbYWCEIaFnHHsepeKQ0i5g5JhNwKZl0ZSYFMKRWXyhClyKxQ+MGfpjWWCspmhH9SKRbrsLR4BvwCsXUmc547JKNzioRccERnfi+LRCxDie0UAI992ctU5zxHL21kQtV/zCOR+iwGyD8WMqux1kpz/TLbNmKEpIRjXDX8w95l9pp2FnF1LqvUFzbh/U1oIczxTdxAUQ26dfnUrlbzMttMjbTELxF9tLXVIjyluIn8rqsiCCAYgk/fTnH86x/p6QteC15usA08g0LcOZEVEFTDPkMQT2GYjuf1ceNCK52ArhoRXhhdaCwiXmMkoEfkE+tMGXqBA4FH7KW+TOhTE7F+0vwpuzbYZmBFxyiEkdSQwpsEhIQpzxPBA+jFlSaw0joOCQNFhoOUobjMdhEPizMmnRUqRkTUVSl4Ld+TRucEy1WNDXQo6TvVvU1u9AiIFZF/tKnEkY4S4iwwmkcz6VlpkVcwZuiETZ2HpTGAhc1c6ks2QgmyKDhCIsToKqXi4L+q2chzN9DBaFDWbHnOV2t+KxkNTYOcSxXDtlQ/IGB95EIpRdIG+C6ihq+2P7jql3M7xFJC2OnfGrC+LnMIQ16GbI5koyL9ggzeQ4WkSCUiyZWgD4l6tGZW8BxC/vvgVyxUEh0h6igI33zwUGkL0WwDXO0Je0SVBpChKoci1SoSeIzI3FrC5RPYMUAtK4TxrUaE01ZYd4jxAMeQG+A4QHnz0ADBIOIIFhHvh0tfTnkAG/HQjS/2dlOIU3DAoWEVkiGroFrfzM5ASN+/KMqOczx1MvRurWF0FSBN3icOiN7ETBwqk1yi9SdemIjJVUYgE5f5lDONTHPtyJC1k7zYYINjMTlmLE0VruDhROQ07EgyjahZSfz6UHUUqsC034P6AkGJGRFqpHYfG8jMlHOBsY4WwYAhnqPIC+ipBLOYFuT0GjYmhK0NDV2ajpRcZfuKp1zvVT45qpAg4YgIvQrir9lCTJIGISdUivIXKgVQTOpLDHv6FacSJdOQiCoR833ISgAYQnR+dFR2oWV7GllLRLG+UX3CyaxPbShybqTGHpFjNIS0x0fne1wqHkgcJ1CGtqEWJ0J/wPkVoc5jGVXcYRH1EXgOjUQF/jjck2I0nXpoRH+aCeqeUCFB748pY8dKn9BGLzOcSTqicYhjiPEC1E/UfprCanPCCypHlaHEZxjXN6uHmcxWmCHFhPLyhzALBapqFPsc5xl1AF4hydIcWRXlOqMVpOyXhpoUtsJY8wTEBEphylzeKyd55EJgZqI4zASkPs0x0f6KoM1oepwESAHHYKRH+ZwbyYIAnVa7SFAJTeX9SeK4LCic4UDFdMeow4AH3UZn0/agG8sGbh8yL0rH7pVer6rgI7mmRz/KtCiKduEn3CYw8gJJk7EamthAJz69bSgehvCZiLbAc4Lh26k3VzIiCsIIs4ObAO5fCS/BvbEHGIIFJk4fX9pEa43WCgpySuy/0IeTUal3O9s4anC2gyNL4Td8uoDEsHKZiUvKCyGDkkYm/q7wXJTjOMH3OIZ2aix3hzyEV4ZaJCg8T6+DMCXHPIJ6YgmmwF8LLoWRlvtfb640VlfXe8s4kSTSaa02ms3u+lq7R6dDfoD/bf5Atrqtdn291WwpXYh8w9e8E9nuWmel0262m63u+vpas9lrt1JawFHR8I32am9lrdPutdajIpNRurre6rZba+27wCwrxu4iYru+0qyv9LKiDJS0cFVF2gVflJ7x8kMRST7EbNKlCcVto/bvpM4V9pXl5dFo1IDa1UKZN3C9WaYhGSphl0+tcBl/P3lV2puTuNGd1nf7XFmR2DLALYQIHU5QdvHxAt0hdPwa2mb+sQC1aoy1KsS1M7o63sSB6b7gjMDsItWiN+iK559+rTOR+3s3Cjq80Ss0rfwgPmZvuAAW81dY8mh1ek47KMaNXYb2IKI0v4hLg9p/ecoFVPX1n1r2pw==</b:JenniData>
  </b:Source>
  <b:Source>
    <b:Tag>AnarakiS25</b:Tag>
    <b:SourceType>JournalArticle</b:SourceType>
    <b:Guid>{80334375-8683-496a-baca-9d82510a3f7a}</b:Guid>
    <b:Title>Large language models for sustainability reporting: A systematic review and research agenda</b:Title>
    <b:Year>2025</b:Year>
    <b:JournalName>Sustainable Futures</b:JournalName>
    <b:BookTitle>Sustainable Futures</b:BookTitle>
    <b:Volume>10</b:Volume>
    <b:Pages>101494-101494</b:Pages>
    <b:Publisher>Elsevier BV</b:Publisher>
    <b:URL>https://doi.org/10.1016/j.sftr.2025.101494</b:URL>
    <b:DOI>10.1016/j.sftr.2025.101494</b:DOI>
    <b:Author>
      <b:Author>
        <b:NameList>
          <b:Person>
            <b:Last>Anaraki</b:Last>
            <b:First>Seyed Alireza Mousavian</b:First>
          </b:Person>
          <b:Person>
            <b:Last>Croce</b:Last>
            <b:First>Danilo</b:First>
          </b:Person>
          <b:Person>
            <b:Last>Basili</b:Last>
            <b:First>Roberto</b:First>
          </b:Person>
        </b:NameList>
      </b:Author>
    </b:Author>
    <b:JenniData>z:7VY7bx1FFL4GBAiJhgpFERqJJkHX176O7Zg0yM5LiJtg2VGCoDp3Z3Z3fGdnNjOz95EqES1/gI6SkoLG/4KfgOjpoKLhO7N7fR0St5GQXPixu3Me33e+c868OO29nTuvC23fU08bF9Xi3V+OmxBJWxpro+NCeFU7H7Ut8F+ufBDRiVgqQVnUUx21CmK8ELNSZ6Uw5AslMlfVZPmDVCHzeqzYQHuhcgSLyUNFc13pZ+mLGCurco0PzorG6imikBGwjMprEjR2TRQqc9ZVOuuL4DJNpi/ISqHsVHtnK2UjTDQCZzEMxKNSB1F7VwES4nmyoSavbLYQVDlgAcSJKp2RjIgd4TwCBI0XCm5DgEdEEdqK0NRLCgqH5CzZDPhhxEiNTo8zHUscRsaWonYWpl4VjUkPiSIk592UvUQnafHH8x/xugnaIhiYszJkVKuB2E8JOhDjGcLYqCr04ZqyrPEUl/wuhNQhMy40XuH7xLqZFRTEfa+UnVEoOVJfZIS3ea6ymKh+2lCqqsu7wrbo2/o0NkTfZBEepQAM/BW1C2AwoBCuQZooWuwgoYrLmsAHmUWAM9l4jrtMUU3JNOn8QNzNc51p0GoWoiCGxyc5OlIqbHqYkjYExC8l11KRuFap0B7YKZKAmgSxYnKNhHNPlZo5P+FaAjX4hguyUdQocg0GoCyWWOVQZC7rSzpvIWiI50hliCJITrmygSXwkMlASUdki4ag8UPv8AnFK8S1h6PD630BfUWdoeAe+JhqrwPC5a36kGql/PqYAjIdpTY58/UA+Zggro1GDwIclYQ0FfIyXAU1QwnrNkluKdajqoAKrGvLbhO9Qs0RBxCdRWM00eE1zDNDSBK8p0Nty3BuUkXmA3ZIsNLBKJKpboZ0FZKYEeglPWTOg0/W33+IOyfDrvHw/1QtWLxT9BOKIQLEgaw5aa+mGqAQF7ylhIC7I4Zq2FBWdjgvGET9ttlWhAuKkdsVcHi0qFg66YwrANuAfoXWSoEaixydmTKakoxRtuCc96WrU3cjzxXeLs+VN64qxdTjBfMAnEnODkc8gFXIfqlovKL1sLDgGpJCwqwETE/WJfxKTCLVYY405yZiAYIAMNUZMUNoeGQPAafSQnBQhy5KtEuZEp6A5YLqFl3epIYFREUew1hq39Y4lUWJXFuucVi5AIUBg3VeGy5saupzjlb2fegFQwnk4BTPL+aB1dqB8iitn6S+bYcUj1meqda6KUygZ9DetBG4aVfswxYjkmnAVvEQYTc7L6r9q5QMJPf8ae+jksacYRYvd9jlDrvcYZc77HKHXe6w/8kOM4jJ81regaNia3Nrd31zWGEysQPlv0STnPbeKdAUpfPhOUYYL4l7+HFe3hjsbKuoo1HhbO8Bxr1EQcinSLtSH9Rn3kYOreT8aW9N1+jdI/SwOu29hRbzIR7izZXe2g/TEm23ejJsjTWIrvThe5yWFpMKf/OcKm0Wxb4lTxOtCjBlZ8dqAT72Deh/RhgOTaApdoz0zqjeq9bqNo+i1ja/g71r3EVH8wMK4LM9Wxy5sfJYRelwXlI4lPlfmZYBbGXS6fmV4eZguDnc3TgZhDz6Aajd4Rfbn2+j58f2OX4H+0Jv7e7urg/39vZKV2NuGTWfPNneHu7ubN3Y2rmJQ1/T3yc42rQlOmE/68Ph+tYQPLUzEDeAqm7GRgeM+rZiayn5yV0TuBG9OHhchGYcFzUDmqTeN+oRHtegGOXyryDv86/RgcYscNZkuEfIg8Vt19i4hnEAyXL/ySfYFSG9/Vi0Gph/147mZVppVWA0s2YvUuQtsf+a8cbyP+tEeLKS8uhqnbEA3s0l5rO2SG6sJW0lpO44XWvEMQ8VCBo3ImVke2Q83E5n5p8edBeGvniAhVWkfZiC7WcZI0FCOJ8/QpmGO63N9dtnk7sLcaRCzXedDsrREgpua86rf774/cM/Ra/XK8H3uSTkcHtzL7mcHfMkUJiIHHmVyJtBduMm9Jdsrt5DPWwHaTkg2OSbg6PREsyv31796fVgOi+fnIvH0ltu1ONUVHTDGynX5t6wK9d+w1OQ19xd8nwtCueM++L+2RV0ifDnO79dUK421ZNVMMn98z5mqJl/VsZYh1sbG2j1gfPFxsXdPuFb1WNcokDL2r8=</b:JenniData>
  </b:Source>
  <b:Source>
    <b:Tag>ZouY23</b:Tag>
    <b:SourceType>JournalArticle</b:SourceType>
    <b:Guid>{ffc51073-bac0-432b-948e-f4180eff9c72}</b:Guid>
    <b:Title>ESGReveal: An LLM-based approach for extracting structured data from ESG reports</b:Title>
    <b:Year>2023</b:Year>
    <b:JournalName>arXiv (Cornell University)</b:JournalName>
    <b:BookTitle>arXiv (Cornell University)</b:BookTitle>
    <b:Publisher>Cornell University</b:Publisher>
    <b:URL>http://arxiv.org/abs/2312.17264</b:URL>
    <b:DOI>10.48550/arxiv.2312.17264</b:DOI>
    <b:Author>
      <b:Author>
        <b:NameList>
          <b:Person>
            <b:Last>Zou</b:Last>
            <b:First>Yi</b:First>
          </b:Person>
          <b:Person>
            <b:Last>Shi</b:Last>
            <b:First>Mengying</b:First>
          </b:Person>
          <b:Person>
            <b:Last>Chen</b:Last>
            <b:First>Zhongjie</b:First>
          </b:Person>
          <b:Person>
            <b:Last>Deng</b:Last>
            <b:First>Zhu</b:First>
          </b:Person>
          <b:Person>
            <b:Last>Lei</b:Last>
            <b:First>ZongXiong</b:First>
          </b:Person>
          <b:Person>
            <b:Last>Zeng</b:Last>
            <b:First>Zihan</b:First>
          </b:Person>
          <b:Person>
            <b:Last>Yang</b:Last>
            <b:First>Shiming</b:First>
          </b:Person>
          <b:Person>
            <b:Last>Tong</b:Last>
            <b:First>HongXiang</b:First>
          </b:Person>
          <b:Person>
            <b:Last>Xiao</b:Last>
            <b:First>Lei</b:First>
          </b:Person>
          <b:Person>
            <b:Last>Zhou</b:Last>
            <b:First>Wenwen</b:First>
          </b:Person>
        </b:NameList>
      </b:Author>
    </b:Author>
    <b:JenniData>z:7VjNchtFEBYkhDunwIWpogJxlSxb8n8ulPODScUuUraDE99GO727E8/ObGZmZSmncOUpeA2/DU/ALcWBC1/Pri0lYB6A8sGyV9vT/XV//XVP8stF71buvC60/ZzeNC7S7M7vT472DmlC0ggdhLRCW+smMuoJiYpi6ZSovatdICVwVlCe60yTjWYmaBq9zKK2BQ4q/Egze8tPT+xEe2crmEnTF0cu0/ybjfbchLyVNiNxH6GXhJJRity7SmTO187LSMIT/oihLzI8efYYnYgliczrqDNgtdTh8WS0HBsScAbs+KoCeGfxInpNE2kG4rjk1GrkIbNSNFEb/ZaC2Je+IHzaopH448ApMkHc398/WBJkS8aoxLmOpTi89CV2m4Kzwos9sgSwHOr+4S4SiZSVVr9pKHDEBKgrbJiFSBXQZaZRCIwqM1qUV6bsK6caZMDpRMbE7uEHIVECifoToGcUAldiwViGQNXY8LfsZyxDOpCoEEhDIC0bk2mKc8mXswPxNIaWS5nNxLls6yM109ykOIyw46GlZ7i5CYqqWlrgEjLzLgQxkV67JohAWXQ+CKORqhIoCtP1o4OjZ/xxFF12Jp5MM5QVtdZWjFZHoz7qHJpEMHv2VOKZO09b1YToZymZSvoziuiFWqOd9NtLfmEfuMPahF4kWjvkXeEbS9IDiBJBF1ZztqiHRoyiRFraoq3mefLZRPfe8+Pl9b5QVDkLFAiQOhw5Zw0KOBMuF1ubg517nMdHlU2It9cGW+1LHTLjkCK16ggaBJ2XGm3YqQ1ZQxHcU4KVIZhEMArxpXbsmrcEYNOC5rrmXlZ07vzZd4HLIjMdZywRTzkf5ZQSrMuY3EKZDqlOB84TR+oLHXGA64T6SM6WobeaSkLi9k+urpJg8FwgWtR3yjgkibdRF+xFiHibyhfF5s5g416y3tgajO71ESfU6BsQbmZ9EZqioNDWWtSNDw0AMpwKiBeGAyptQy092Ww2ECelhhrAC55BLcZF6ofAHM0bQTlhXeRJxjISteZuZcALE4Olljc2sYg2Q0XRH2RVN2jyJjKN3WDg1PuJixAbNQMLBrOD7TJnkUODU9ye0oNqMJM33IfQIfAYV6cqJDHBJXtJTLWjjQkdo5cjywxZXEoMgkY7PLUoVAVJoGIfjm4g8VqlyXAuveL2u2qE+fzow2XezlRwc0alM4ogXBx3NVqNMbCCo3OGgY8poqaCh1/D1U/TRU3SAJ9zEqBWqW2LG4shB4jIaHnKTJzBzIU0UiO6Co2I6IDHDy4Rvsgpv/l4FVytGIjAXul0jIEO8PPo6ISuwElQUldhoFgnF70vSjlmLWfxZufd7LybnXez82523s3O+5/uPAPVInVSj+GuwNTZWB4OK2YJR8g/RQPgn4KFbLDrfHhnoEgo+Qf8OK9WB2sjijoamn4l/Us9EfcfOW/JGPHCom99QLpLhr15PW54BP560ftUWegTv/NcVtrMslPXUAFzO36llXeGev9idFTq1qg8IFvMkOV1puoR5mRne1pivL7WdK3tYzhrbbPTsrk2+j510fUpHL4EXdeHP71ySacacrjW8BUP+2RYILvqv1I6RsAOAG+NlxpHrzXGW9flBNzX4ywv656fkD2HlpNlXsrwXOXvM63CRe92ppyefjlcHaxvb2ysrkg/1ZPBaG04Ggy3RpvrmGZj+w6fwb4rXU0QKk3PTtbXdlbXt3c2Vzfx6if5/jUMIHpustdosrXl4Wh5tFGa7nYxJlvVDXZ1wBRoe+6TBNf/s5/OMDhcg/H7wpupKGOsw4OVDpfzxUqt8pU5viI04zirkfcnII1c/gzL809cLYyZoRYGu4HUw9kj19j4WcSGIFYZqROsj5C+7XUd/vxqnjwQu+kCsczbCKq7vDqlC+D80oeB02Q8FdXCLW7h3pBHh0kb8F8td3LlKugNgMZayVFK3bX3QnHE90loFMuLjGpNxsP1ZDP95iFfRyDgvjjAkCzaVcmzYDfLGD2AwD4/Hq4OhxvtmSXUtBsfXYhDbBosBd3Np8PLoUIBk4b++v6P23d/6/V6JWq5AEIN11e3k8vzI74GUNFeSOZAFFf+7rdYP2b6NTP1AVG4ZS8QdcYL+2em2NlbfwM=</b:JenniData>
  </b:Source>
  <b:Source>
    <b:Tag>BeckJ25</b:Tag>
    <b:SourceType>JournalArticle</b:SourceType>
    <b:Guid>{e6dbb612-0a27-420d-866d-f9f5b81a8ed2}</b:Guid>
    <b:Title>Addressing data gaps in sustainability reporting: A benchmark dataset for greenhouse gas emission extraction</b:Title>
    <b:Year>2025</b:Year>
    <b:JournalName>Scientific Data</b:JournalName>
    <b:BookTitle>Scientific Data</b:BookTitle>
    <b:Volume>12</b:Volume>
    <b:Issue>1</b:Issue>
    <b:Pages>1497-1497</b:Pages>
    <b:Publisher>Nature Portfolio</b:Publisher>
    <b:URL>https://doi.org/10.1038/s41597-025-05664-8</b:URL>
    <b:DOI>10.1038/s41597-025-05664-8</b:DOI>
    <b:Author>
      <b:Author>
        <b:NameList>
          <b:Person>
            <b:Last>Beck</b:Last>
            <b:First>Jacob</b:First>
          </b:Person>
          <b:Person>
            <b:Last>Steinberg</b:Last>
            <b:First>A. F.</b:First>
          </b:Person>
          <b:Person>
            <b:Last>Dimmelmeier</b:Last>
            <b:First>Andreas</b:First>
          </b:Person>
          <b:Person>
            <b:Last>Domènech</b:Last>
            <b:First>Laia</b:First>
          </b:Person>
          <b:Person>
            <b:Last>Kormanyos</b:Last>
            <b:First>Emily</b:First>
          </b:Person>
          <b:Person>
            <b:Last>Fehr</b:Last>
            <b:First>Maurice</b:First>
          </b:Person>
          <b:Person>
            <b:Last>Schierholz</b:Last>
            <b:First>Malte</b:First>
          </b:Person>
        </b:NameList>
      </b:Author>
    </b:Author>
    <b:JenniData>z:7Va7chxFFF0BxlBFRoQd0FUUVbZLu9qXVrITkK2HwRJWWQKn9EzfmWlvT/e4u2cfFIFdBPwKv6CYhF8g4wsgoBw54fTM7OqBlJCiqtVod+Y+zr333NPz+qT1bmKsTKW+SS9L42n+3ttnpCSPFLHY5AXX87aiCSmWWiKdmdIRS7ljd/Ye791llEvnpNGOCe4545YYOUfaS64YIjPn+ZgyowRZx7gQFo+lTpnPEF/JnHv8t9JJ12GPzRSZ7CqjmXQ+WIWgjjw8EdgknjRLLE9zJCCxyqSOkRq2+L3KuBZM8XjMvOXaFXDRnuXkMyOMMqkkt8pyPg5xpWdCJomMS+WZN8xEnkvN7KLy82V12LFZYAdw6ViccaVIp7TKpsQKPAi5OEtRaChZC27FAj36qEP4kHgROOCyMnYoFWhjVIPCTM56g/vMlYggNY+kkn4OUIWxaEFskPLUshkO8kdOekL7jgOyRU7ERNfw0eiSJ5uTkKHX6FURKp5wJWFLVdcSqantS00sN4KUqyanuE2p7WIe+lGjDMBNcnHoFRx0uXSI5YJBA7nDnodWFsrM0Zv9EA9XnZYcXw5CJnZnf//gbrvA4C0KO5OmkAWGAUTAyktvQBQJKGq+MDqDoull6AAGEUorqaYMWBbqF1QQLtrDnYOe+AgWzZmfGqaNbtOsIIueaW0898Yi1LOm61PpM5aUSjEeFiAwr4ospMUwEK9iINiNiOemD2ZkEq0T0sXoB9cxCMhKwLCpQRFVRksTSVMgrKDANQ0krXJayhvOIMIyt8N9Z9QE2XxmTZlmcG4jlkPPQqqy7knDBudtGfsygCusiQN/STv8diyT8K3m97IEF0C0Gi9syzikrZZBx9g73cBF1KelXVLMkZ2EPuPDItJxlnM7rqiTlTl4F5jVjA75m+YCXFOgk6mWWEGOjloKslJAf06VQ2pcw9ir/EtiIPfYhY4t1wSgQeAKKrBMKcwKNMTsgdVMNZpAHAytHF0ZZ+FxpWZT7rJQKtdczYMEiamx45PWxxmP4IWM13J4LYfXcngth/9POYR8hCaR2AbmtN/tj9rdXt7sL9mvAOmkdSNFVRlY8gr6VQDWLv6MFcPOsE/gZEkr5KVXZI4wcxSEIhkC8mRiVJnTR8Uy4L6JA99OWiuywOyfYTnopPUOPKzzh7jzyY3fM8WX31XwtDJCV637GZZC8zx4JAnPpZqLhxSPKZUT0vQ1j00krFHU+rehPPIkdQQuNtZbHbbbucp6vC3znFROEjyv7NMtDTnk7sr42yb/9RdNcVbbi30u+ZXGT8Kg9dy4BsxOVcsV1mKXsgWKA15i8+kq0xdHcQbIOH5+aCIfcAUyVuZJxt2hSN7EUjgMNRZGzm71up1ed7C55oa99fsb7W5/vd1dH42G7U0sV6Rf4er0a9nvrvfbw+FokBkoCxRyNn4+HPYGG6PRRr8nilyKbNjdHI0Gm/fh8pS/eVERo+LVC/AKYTfb/Q3MtpZD7E9elJGSDqytabZSFVN8w8P+skOoUWKUNOMgAKWN6VurZqPM+8I9WFubTqcdXVl2cDCscQu1VOQuqaNTiCR1ZeTnRejUuDE9xs8V7BeZ5AkE8+xt8kF3YatiHDTi4fyRKbV/B1uVgA5YO/EcLxGuuvthzfyZ2jo96iuRSXlxfmvPHm6wesC2zojIQmKCDlx471ieoKeakHhTQP9/Omm9nwjIjdQAG+F4G1QtfHmYYblxeLBqH7HglEhSojaK+rVVuaMn0hodVPbUFAbJca+3vrlZGc3ubfncuAJDwk4HgTvvtQeA23NYAg652Fh6+8VfP97+o9VqZej5mbSiP+iO6pi395SJ4BzCHYIQ6Leds0dZLQYXSupXPubIxEEnLy1oUBd00aYupb/erR/PPm+eb0HyChxaQekTnHuappWm7kCf0vmyipu/fXlJFYNBr0Y0+zSEC+9ZOGJDIeBqdWIv8v+XSvrdOvZnO9A9E5q6yuqvzdtTyLRba39dXne40Wt8HjVvl3UjK0BxjW0ZbVHcn38ffH/ZiLrdprhbS5czAWoMIizSB3GJbby32EZIScfYdO1qNRmH9+7vcGyDviv/AA==</b:JenniData>
  </b:Source>
  <b:Source>
    <b:Tag>SchmollJ25</b:Tag>
    <b:SourceType>Report</b:SourceType>
    <b:Guid>{d4d7a93e-1165-4eb4-ac82-ecdb8d4c7ba6}</b:Guid>
    <b:Title>Automated Analysis of Sustainability Reports: Using Large Language Models for the Extraction and Prediction of EU Taxonomy-Compliant KPIs</b:Title>
    <b:Year>2025</b:Year>
    <b:JournalName>Digital Library of the University of Innsbruck (University of Innsbruck)</b:JournalName>
    <b:BookTitle>Digital Library of the University of Innsbruck (University of Innsbruck)</b:BookTitle>
    <b:Publisher>Innsbruck Medical University</b:Publisher>
    <b:URL>https://resolver.obvsg.at/urn:nbn:at:at-ubi:1-190437</b:URL>
    <b:Author>
      <b:Author>
        <b:NameList>
          <b:Person>
            <b:Last>Schmoll</b:Last>
            <b:First>Jonathan</b:First>
          </b:Person>
        </b:NameList>
      </b:Author>
    </b:Author>
    <b:JenniData>z:7Vcxbx1FEDYghZqOIkIrpYmR7bznOE7iBtkOESa2YsUOod27m7vbeG/3vLv37OuMqPgH0CHxH5AiGloaKOn5DSAKGr7ZvfN7RoGCAgnJkWO/d292Zr5vvpnZ99mrpbdK61SlzNt02tlA/Y0fjmsSuW1aTefCUWtdUKbCq9NOOWrIBC9sKQKsPnwujuW5NbbpBdyIo84HqYzMNInH+GtyEq0jjzNCCq8qo0qVS7yzLTkZlDVSi7yWWpOpKPrgyNIo8isiOFmoZKR70UgjKyoQ2NmuqpGQt53LaVWZQMarGbFJB4cw1L1Xfk0c18pzpngjlJmRD6qSgeIzUZL0KlNahZ4BdZ5h7kuHRPalqTpEEwe2IO3F7f39A78sghWyC7aBC3FCvZC+pXykAyHmbJ1Zd1Jqe7YmtoWxM9KikEF6CuJMepF3AA8opbMNADucYpd+pC/lVCifa+s7AF0BpoIpJAdmOB6dg0GVqnFGjkQBkJVhfqygmdQde0TaAnbgFdSgGNaIzIZanIImFVAAkMae8d6E8cEcBTI+iSyCWgq1Lay2FScACjl/ZXLdFXhRQBl54FoXKueKiQxgC443k65nX5rAQkw9tyjYeeBKKRNTiycSwqbTQa3CeyvAP5LKwZJsiAm9gtErmDJGnLERv1ZZFFXEBAXgLEK0zubkBxTUtMrFxyAVkbhkM2LJiFyTdFfIqmQrMgpnRAYAyxIsQ7mhb1MFFslJKimoscZDtcwNPxuqmnMCwBpVt0g9u2BXqmCkZeTJEZjiFiHwZBvgl2B0hj5A2L8IJlUK6jhTKOoV8kYBCjI10LDnsTrMT84SzPs1sWvRFs6T7tFvcyhRUl3qZJCNpBRe9yM/I5K5aEYoYxDEK+MEUGD3CXrlcIHZPQMbGaxDZz053PPLicaxb4XU3mIYdFBEqCXrys5UwT7BSa48rQjQ3OUBvQGmKUjurthatsQwSIoglCzBhRODOrStjhTH5u+0XgHCBT8sSoYgB17XxOPOwdaxt0V2frn4Cp2oy9Vkh6NIq+QiAptHeVCpSGBrrQNpKHhUbawS3CjHNY2TaqjDCtQRKYmdohrFThPpaRZE8YCZoXcSXz50RR8p4S7koQauzmqFmsFtVCvPLSGRirFB9Bg/vkPFuKo8a5mEcaJxCwL84ki/HAQRfHw/DPPWAh9OYwKiXolja6GbmAIm/OKwZwa6ikdV5DB2MiLVHcSQ5hj6MIMR+kTHDh5qpAxUD5Z4EGKGOpjwjBhV0taYMZe7KG4sNayc1PIFh3q19E4tM+7KPFwvt+vldr3crpfb9XK7Xm7/9+Wm2aPHHHqEZqnWJ+ubq5P1hinElCW3h+GDL3cVCKghxQvw3qIuj/HfumKyNpkQ5I0t+NEjfPsLSGRfZQ7jbAz53AC488P+2DPGZxDTibj9Nx8sa47tVAbGnccXyzcLg9GGv2UpG6X76iivG4tlWOG8qT/G5mPpFs5qWioB97Aof81V4ZE2SMnMBX57c1FjnYIVOj95cX863dzcmGxMHuCjp/K3lzDoEgMvwcC91ckUP7UeFlxGpmm7TCsPnSdC3ohJnd+c4znglgb8OazKdxkPQlhDN2TLJ9Dv7+hDLGrA0TkLeKffRQuHpeAozs6ciheovU9PB26/2B4WaiG2x8KCs8ubRJL/szTotsTzf1jSrOh4KzmPN5lxpxzOl9JVfa/uDpIJgodQGWyrcv/5q6UbZYGUlAGSTBVyPRJij2ycZUe5YiieSkW6SCbZdCORdmuHbxHQ3Io4iNeVqHrOYjvPGTayh315PL17/+Fw5ma6KbHvBJMR8pFPd57tUxwnf3zw4087S/hXg/eFuMUUlU5e3luIx3Uct+pRj3XQQDD/BajJdHovnVnevVxSQ4hn5Ftsx/HCdQl1RPjtd19+/3qED6LLs6O4WKs0BOaJ/CtkyeXpI8IyiSwNVgnGxvrmJMGY7sWRwMLZ3ouBd1Ql0EySrzYjL/EDjkehH+F8/c3Pry3Yg8nd5Pr9BS6H8NHP0/Fm7Jky3EnyuuBWe/cWZro+36hDaP3WnTt8/dVoxzWbzXy1JsOdzpktk5ktGfCz2mVqa7o6fTjZuHv/hGfuJ9y61rz1Jw==</b:JenniData>
  </b:Source>
  <b:Source>
    <b:Tag>BronziniM24</b:Tag>
    <b:SourceType>JournalArticle</b:SourceType>
    <b:Guid>{47ba9334-e03c-43af-92a2-d7702cf37fd7}</b:Guid>
    <b:Title>Glitter or gold? Deriving structured insights from sustainability reports via large language models</b:Title>
    <b:Year>2024</b:Year>
    <b:JournalName>EPJ Data Science</b:JournalName>
    <b:BookTitle>EPJ Data Science</b:BookTitle>
    <b:Volume>13</b:Volume>
    <b:Issue>1</b:Issue>
    <b:Publisher>Springer Nature</b:Publisher>
    <b:URL>https://doi.org/10.1140/epjds/s13688-024-00481-2</b:URL>
    <b:DOI>10.1140/epjds/s13688-024-00481-2</b:DOI>
    <b:Author>
      <b:Author>
        <b:NameList>
          <b:Person>
            <b:Last>Bronzini</b:Last>
            <b:First>Marco</b:First>
          </b:Person>
          <b:Person>
            <b:Last>Nicolini</b:Last>
            <b:First>Carlo</b:First>
          </b:Person>
          <b:Person>
            <b:Last>Lepri</b:Last>
            <b:First>Bruno</b:First>
          </b:Person>
          <b:Person>
            <b:Last>Passerini</b:Last>
            <b:First>Andrea</b:First>
          </b:Person>
          <b:Person>
            <b:Last>Staiano</b:Last>
            <b:First>Jacopo</b:First>
          </b:Person>
        </b:NameList>
      </b:Author>
    </b:Author>
    <b:JenniData>z:pVg9bCRJFZ6F3dMFtwRERKiQ4GRL7vH8+WdXiLXX5zO+9e6atZcNThzUdFV3l13d1VvVbU+fhOQLuIwfkRGALiAhQiJAcnYZGSCRoxMBIcRoOYnvVfeMe4xXy2LJ9vy46v1873vfezMfnXfeiMOkzI53xeTro7Xh6upgvB6sra8Og9HKei+4s7beD/p9KXrR+spoEK7E2oS8MPa8c+Mo57F8VKZjafkoMlbFKruZ5iL6tooTjd/C4ZTyF5TJ3E/OO18Q47GZnHduRomkAy/ufd77xlmn0xFaRsWLjeGna/QqLEz+YuPwlw7PO/JUiSJ5sfFo9Dn9r+X1i69p8OntX3/aNrjyG7J/HYM//Pcncwa/+tk1Df7jkF5cGPz+NVP+7gcfb7QNrv7+ugb/+Nd5gz/7H1Le+Npv/zxn8D4BXxt8+60fzxu8dakoN6+K8F87Q/J7lcGVlXPWMrjxzzfp5asMXk65ZXDt9ifzVf7sUsqva3D9T50fzKV895oG7/70D/Od8juC9HUNrtGl2uA3v/P2fKeE/0+ELYPf+vLHc8Qe/fwSD1/X4L2//H2ONisfXE5ZPi9NIatbv3pcWpbKIjHCaBNXjAuTF45xtsdtLPE3i0tcYw+NkHqJcW2y2CkhWZFI9kQWVskTrtlmGQepzAop2I7MoHkkamzhyebOIsu55ULFKXu/v/49xjPh7+5mwZbBhUnB9iS3mcpitrC7tbfIChkmmXpeyiVWGGZOpA1NWjtMucqYVqkqagcmYqHJTuAYrxDG493tJhvHcJKHCcIjywZpxgYncAMuLQ8Lenv7YCewUnOK2xW2DIvS4qnKnFfou3MGcUuo2pGuplbmr0Ho0zqyccVguPK+MxzHW5SAq7KCfIcIZXaTguLMEXxZiKxPFRyWBaCqWG5lIGSkMtgvZJpTrDiRqDBhuXESeaa5sQXPihYwPnvyV1S5N98OrYlcii47TGQFUCsWcaUJ7eZ/SwzH8YLDIdy1b0/hwmGXy1BFKmTCUGEcwx1K7kQFhUJkRcKRBPLLTOGjEcpKgqwcH9Ej4vKYNIl32WZ2VaD0lOe5NSgnG3MH53gnbmh2ApLuPQRjtTanjpWOwnWF5MLTpzlGXlJgRMDrKuCnFBZRkRiA6VxTF2xGvgSeN+ADvCg6O9h/PD2yxGTGx5rKSymEVs4IyVlUah1EWooYNuccPNjpskF3wA6J9hw2K0QE3LI5JrYxOJDgP3yfGnvsWMKRrpzk2hDfyHPpfH0f7e3XfVN3MRIHXqF0Dv2R5jxDOf529gsUIgvAJZ6FCjap+Uo8tv0RJlNqpxIXsxjpzDqC2i2Udbc6cE1S0wONCOdRA1yuC+ZQaxdqEFRQK8yC6LJ328TaAs+ZBBS6y95fGUId8lwr3MFtID0uG+SnxfNQ9XvBAxYpAt+xBdWVXehSllEmF7lZSV3h8Pi8BOt8FITX0+5BF6CGpUVVUWrPgUmYQOck2zJpqpyDz8WmAWZKAV0l9y32h2g3IlZzd0Z2hB5ckTliRHt6Syw1mcKaCA6dKGsywhAh50arsL6hFdJAQwgq+3nnSwkfAw+EUr0RbTZP2WMww+ekuSuYkCEXgNQ1hLEyLhGrsRUbG0GpevKgaJYSqHGZ8rcpVqNF8yxpsyOyJmV5CeKH0DSNIsFUK0WvzuDJtLUVtNkhBk8+lVGbOPLJC3S8twg0ttsoLLEDQ26ppJglpP4UiGQL6JBFhuqUxKL9aQwoCGxeahr8uBKZIocxeFKQjHrVpd4GhyJ4bxEUUQvoiHWAr0TrTwW9jiEtdaGC1AhgIUxY+jjJDcknrNUqzIkHWkuiAuzJCLpITY8QYw4oPNS+PwCQbx+POy84jgMEDs/QUkQTWZ5KqjthI3ARVZu1X4t/W8aC4sTAGjFMY5ej81ST8sLWwZNFipEksfSw77Yw2r4Q14Xd7cXZlBtLmrbUGBRYiS6B/zAxAM/3BNYAworMNVGRPlx0PlSxyYsmRMGPZWI00kDRdmkmATFXlKLCEIOUgeqmunLXQGuTri8uXbUp1JWZW0ECrCCv3EAuJtxV476NLtjGOA04vO1ZP6ejl9jViE2XPfNrCprANyFSiS3Pk6AeWjhlJQ27ZkSThphMIAovpWgmvxb4sUCUakktZTob27N4/fyG/s9uWLjlmDu1GFEKIWQOxQI7qZPAMqyEklmvWNSjXtUwzCahlII8rfR6S02DjGWF8GALBKdgaO2r4cJ5ihbH8elVxhhvH9Y51XXxs1UIJHtZBGHMmjJOEMgJR92AnV9OwDI/ypHSQ4w2inWpLUoO0qlxwUs2Zg7oAjeQUUQws+3L5BcKNBDpn5cCC0XEVgx7IIkCMeuVLDb0mFS5wQ2/RtULE4GGmhJ/4LgLUjr08BJlAf1qWs73spjtBXUI2J2LemZ5a7S6Yumc1sbTvZZDBUFA+PUOR4MT+khbHLHSL7kGco7Q5xhHcdWeYcol5rSmRVPmFlQ8ijxpyZIZE0uJevVNmMYJ3AIupEmteQmcpmlQ83Y1D2l9kOIdqvCgN1gJ+r0ULPAWLSnJeedWzEvQw7ozzEKK/12fjRh276xLL9U3ZKEKLfPt/fcYLHF2QKoYyujEaCjpbU0WPWiw8iP6mJOheHiMIo6SV8l9TIYPQRBUE2u+fMjxYUBYo2XnisOPVIgZOju8xa1+6WG5h3acnrxvy+ylJ9U+BxBQvOZ0tJmB2/xlx+MDQMQz0xx+j4cmb2yHSuBbn5uhMGqCNabb7496yzI/Em7Z9Yer6+tBbzAKer0RvlcaoKbj7Ax/XfaRGvTvDPFV02AtMTk2Ty0nx89Gwzt3RsPhoL965LH2pTpCqWBiNeitpX5QO9S5rtYNH6g5QNpof8seeYofo01B1FA+tXpymBRF7u4u+6BQLldXq+uaO+S8C54sh6aE1NplfKG1/KpEYuz79DkEEB1j+cDYlod4eQPNI030QGWi/bbEEqArnNUh2lDcr7bI1VuFlRHUB8GIZ7QK+3e/slnTaxLuoGcRD9E4xri5x96hwVlvqf+t814prtZwdgKxhNRAH/V0HmH2Yx5FtVieCcrlTSyQetKbwoWCdo2NXwnFfwA=</b:JenniData>
  </b:Source>
  <b:Source>
    <b:Tag>QureshiO26</b:Tag>
    <b:SourceType>JournalArticle</b:SourceType>
    <b:Guid>{24072567-1079-4ae8-beae-819a3ab32feb}</b:Guid>
    <b:Title>AI-ENABLED ESG INTELLIGENCE: A SYSTEMATIC REVIEW OF NLP AND PREDICTIVE ANALYTICS FRAMEWORKS FOR AUTOMATED SUSTAINABILITY REPORTING (2020–2025)</b:Title>
    <b:Year>2026</b:Year>
    <b:JournalName>Veredas do Direito Direito Ambiental e Desenvolvimento Sustentável</b:JournalName>
    <b:BookTitle>Veredas do Direito Direito Ambiental e Desenvolvimento Sustentável</b:BookTitle>
    <b:Volume>23</b:Volume>
    <b:Issue>5</b:Issue>
    <b:Publisher>Editora Dom Helder</b:Publisher>
    <b:URL>https://doi.org/10.18623/rvd.v23.5225</b:URL>
    <b:DOI>10.18623/rvd.v23.5225</b:DOI>
    <b:Author>
      <b:Author>
        <b:NameList>
          <b:Person>
            <b:Last>Qureshi</b:Last>
            <b:First>Obaid Ur Rehman</b:First>
          </b:Person>
        </b:NameList>
      </b:Author>
    </b:Author>
    <b:JenniData>z:7VjLbiRJFXUDA4gdbBC7kBCSLeqV5XfPApXLaU8xflFZbk9rxCIqMzIzxpEZ2RGRVa5dAz+AxBewZDs7r1mzZov4h1mx4dzIrHYBjYRYV0vdrkdk3HvPPefc6/7N8863U21kJsvviXe1dmL1g5+E5UIaXRaidFx1mNWxpJ+8TFimF8KUvIwF2w2jyz1mRKWNk2XGpGV1mQiTaXrHWYp3vLmDOcNLK53UJUuNLthCqxpfmBUruTHcyYVgibSx0rY2gjnNrEM4bvChSDqsoDdOm1WTBa8T6bpG8GT1kkCHJQb3lGy+Yi4XLNYlcs0E5apTVtTKyUoJJktHJVAyyIyuMyJr3uBFrXwcpIncl9o82h6b5ajN5jJ1LOeW4UqBnEXCbD2nPB3gYYmgJBnAZKNJV5R8rnACGPmASskmE7uyThSWxbyiE5RZZXQsrCXUcoHcNAXQtWUomQP92uBrnyhOJnVMBxMRS4ukAYISC6TQIYxjQXe2GFlASY1qcdK1q2qHaj7TSwFgOj43H8IgdVkip5zjDmRAoBOMVmalTGWM+9EQU8cOVyrCJvONJQwBu0hl6ZuL72QJ3K1EkWW8Yjw22lpGHUbShXC5TrTSmRS2yZIaxed23aTNrjPHn3SpixW6X1V4HgnqEo1HIIsHuWMxSnMC31POCD4HmaQw+BYEqithFv4iJbgpPSkrIMjjHHACN0llgZEfEnYsMxqs7aJUlzPF59Q3PPflaYcFw1+3TKg4bkYvBNJ2aAy7m06i6xEbDoaDbqyLqrm56TQqjxFsIcWSCgQ15pxyIvBftMNrp+kosqFruYlzzySCB8GkTtgveVmTYCgK1Xch5mb9wWGHAUFERtPpuuAUSEIjqNOCH2gpiEm6OwiGCBBrk1h0ClBypUhCDrAtcKjtVxTrqkaHHsScko5iSQ3qsEkYhuyLSmmDN6PxNTuHcZC+r+TcIJcOi6LpTdPZS60z8DuKc624IejEGgdSU8uml5gpeE6eEbdEAhUyYV+zXbnXsJTH72pw3oNEAUDWQpfSetg+xTkcvLm6a/EVT6SHD4djRdAQlf1HKIoagBhoUdPFJgvxP1nfhlVVUqE86+MjAbAikQgLP+OoYoXuU2moTJsliN1VWj9Si6CxR3/txl0Zr+iciLklVnzqv9+Vi72N2MhlLWzAyRNZwjqaBF/olAhS7hrzD57mMwLVX8gCghDFwns2a8XWYeNoet4Po2mEfkfRGZtcTCMWBf1o+CLZiByYjXnlu3/NzaNwbATRYJS4FdsdX4/2PMLnL9Vd1jKB6JAv2wVn9/d67Bykl2WXJ7wiivopAQAKyKvQOGzRZJoMAo0GY7znbqgVyqDTHgtZQNqLtpmy9MEdSPDvnacKcIay3KDIHIjkBcoAlEsJ7V8EzEIm1BNyRvDl8O/v/xAcUsyYyJGh9Rh0CEataWeC6la1qbQV8I4yq+mQrwPGBB360r8MDuAlR/CSG+0olLc8ahpwxYM8gZvD70nRVhQ0IjzookBzgXWLywYkjdNJcGwTD+Kc9xji2ZqVqNRxS0VWHEyJQQwD/S9zTE2aUllr1BvqpDvg24Z47JEhUGvSJ6FIcLMUJoyzGC2RtzwYHiaJUqKEgCkp6leHJoMCa5pKN00f+KE/iPUv7kuBvQMj2w0OJ54yzTRu+KhkIZthXFUoBqHx/YYW4B2NEuyqJIzJwf0cpaEKIGFnKz+KLSyw7KKCanNSxTRXVC0qA4TYgiuJG8m2PDMc8lwrpZFOk1QrEEyFRouetmgXMaalWCKhdEczSSHIXCriJIy9efSNH+8w9/0BKgNJJDaK5symGRCUd/UcN7AJ1h3rfEcuACPbvZtcwJAAQ6qV1JvTBmxNeJPoDOJb1qqrSFMfpLFhShqXZ147tpfQQvS888Mc3fPa2S6L22Vxuyxul8XtsrhdFrfL4nZZ3C6L22VxvSwqHtOmIpJzQJBBxEfdwX6B0ig9YSZlqp93PskwzWAE9j06U0FgF/iLiTPoDQ6EhHmJTwSCKPE0fiNAMWxUiYZRGCFR/frnqJhj6JC7CHZOkxYr48LzDQgBD7z48x8XQqW0Shbix4qyMHKOQWos/gv0W0mJBQ4/05QXUq2yXxFFc4lVD13Wt3MuE3Zv2FRA92VitBI7Kba7uyT9JpaJfd75TpxoWQeDXnByNNzvm0XSWwz3e4fD4SHgmZfv8a8tfyuDk8FRd//k4FAOg+PT7snR6WmuKyyAqPDx4TjYPzkN9g8Ohjh+y7/5yiPgAfyqBbAbnBQV9dDmawxf+exNiG0HqiefZJ8JheX6EUX4hfDeqKeb3LnKvu73aa6CIj2II/fHeiKpe3PTl1jIn3pVXvVBGYK673WvRD/Ry1JpnvSpnv7weBgcZlhn3aoi0B7bYzO8fYXWC51+jrs2PxbojVrhrIpJfmerMcTrdpwRKUKBnMkDbc/Np23Df4/1J7wZnV2F517fk5tZeHU1uQxvxuFrNmLR22gWXo9mkzGbhm8m4QO7vaCZzkY359iywvPJeDZ5E+Lt6OotTkXsYjq6Dh9up5/j5e2Uje5nt3ge10f30Ww0QazJ1WT2Ftfd3U5nk5tLP3sG8HJam/ZSpys42++ed76bNs6CguZQ+NA3QEd+/q8XIItFF/A2R+bBgT/z9NOzGkuXn8LXmLCZn0FeW6M4puohOZxPZ8EgCA6bZ/bGGnPCu3cbYipsRZOt1fh0LVbhx9A/fvGXr7s7+JOjRxtJJMHB4MRfuYz8MMhoyicbifw/lQ0HbWUhRKXh5yitedkOAgpxAUPCk01l+8HBUfsMidObFRy1PdPsg0Zgypxhg8fW0dT09Y/++v4jNQ0Hg31/WdY+/x81NF+/u8uxzZA/f7w/x/5UNcaqU+MXhPWpJmPSXtuL8KlS64xHAB27AkEz2fy1bfeL0WRvnfefxM//9rFeHA8acJf/5ZaE1PX9uIZ0f7aWLjymp03W/6jPPNIvoDBJGgWv/gk=</b:JenniData>
  </b:Source>
  <b:Source>
    <b:Tag>ChatterjeeS26</b:Tag>
    <b:SourceType>JournalArticle</b:SourceType>
    <b:Guid>{e124e349-744a-4d1c-81c1-f9495436294a}</b:Guid>
    <b:Title>A Hybrid Retrieval-Generative AI Framework for FinTech Document Handling and Compliance Tracking</b:Title>
    <b:Year>2026</b:Year>
    <b:JournalName>International Journal of Innovative Science and Research Technology (IJISRT)</b:JournalName>
    <b:BookTitle>International Journal of Innovative Science and Research Technology (IJISRT)</b:BookTitle>
    <b:Pages>2779-2779</b:Pages>
    <b:URL>https://doi.org/10.38124/ijisrt/26jan1585</b:URL>
    <b:DOI>10.38124/ijisrt/26jan1585</b:DOI>
    <b:Author>
      <b:Author>
        <b:NameList>
          <b:Person>
            <b:Last>Chatterjee</b:Last>
            <b:First>Siddhartha</b:First>
          </b:Person>
          <b:Person>
            <b:Last>Dey</b:Last>
            <b:First>Sudeshna</b:First>
          </b:Person>
          <b:Person>
            <b:Last>De</b:Last>
            <b:First>Soumitra</b:First>
          </b:Person>
          <b:Person>
            <b:Last>Deuri</b:Last>
            <b:First>Jonti</b:First>
          </b:Person>
        </b:NameList>
      </b:Author>
    </b:Author>
    <b:JenniData>z:7VdNbxxFEN0AAsQJjpEQagkJEmn9sRvbSbiAYyuJgyMs2yLcoHe6Zqa9Pd2T/lh7OSWCP+UbQkj8CC78CLjAhVc9s/ZCyAkpF3xIsjvbXfXq1atXk+fng9dL53Wl7Vv0NLlI8zf/2Je+ImGkrZLEh8YpMkHc2N9/HG6KWs5ITIiseJp0MTVzIZVrIymhrYg1iVJbaQstjQjkZ7qggF9UCtHPh0Ia4061rQSSiuDaWoeoC8nXZYqukVE7y5GUK1JDNgpppZkHHYaiMJof9FHx3TWt0cjFEK2OKMNWSGGVUFTowJFCalvn46p46E5pRn4I/MakAhg5E6LSWWskvk600XEudAiJ8Lj1eiaLOZIgvueDHNcTytBFhlugsiCiEzNpkpwYAmwUExMHRvXaosa+IKMbHZkd7UUKfBKhqmRy4UuE4XaHa1Xcv3jqfCWt/rb7QVjClTAPkRpkr2UUZEPy4F0WuG0YWPKAPhQR/1Bf2AJ/Tuo8F3bBHtBIpXRGinpa7xQzhCaZpPkSDhIgHaNboqgluu1BcSi8nqC70jKJ5NGaDCv3FvCPqagv+6htJGN0RZxxIgOqQLpDAp8EBle2U8Xn8PgBWfIdbzcOtx/c7KoE3om2SIeOzHCwIxlImpUuWiDpkfBUx1o0BMZsVSYjZlSgXhTRJ+IKoWsvkYtQRUtW5e4xPzKBhu4b1Ghd41LAVRmgL1sxAwS6owbdnExHBAf3w+UyK2iEyWt1SwaIh0utBrVNG5F1Rsa1fAGCnE98ZnkBsAFvgB+aIaTldYYD2SVOxYFlizCyqFmm1EwIrcNTENuzhqe28PM2M5iHt2u+DAGKzSgbirVTzrgK48vFGHPRULUqtkG58y5V6J8ORQp5ltD8SoN64UoUArVhcCG3FurABGdxQkkvjv9QaMWklfOsKQ+SMbyeQLXwOkyXgPVAVU0+6wS96snrhmKbiQCTgI2pRTJ0tkzcAvyQFIrBdfAPznSoc6kM1gEhFMwVSBNY4RSy1tiQHEBl0YCTXFFnAf+cl1p6dpluDJfHM7QwG4l8EdrMsyCb3HYItdQeXeRIDuaDNrNuwATggPL5omnZPIOuaoQ4rcEwDzkeQvh2mj2GjbWbro8Dq2jW2RvXX6cGWVWnDehHqx4iixUsRbYhdgf2AeRiQV9U1YHtu8c4dcPRcQg829BCHBYuOJmLKVHLGS6VQWyRvV9fWt3FGCFN4TxrM2ScBMkuFYzop+R7U+n0KHgQMD652kq2WDPxlDdNrj4br6iYSKaeQBI7MGwLN9BljKlZOXXeQAGg3jW64A8Lq+yENeOb6mJYsMqWfWlV4f70fPBuLScstCJebcOrbXi1Da+24dU2vNqG/7ttaDpXJ7XLIhuvj7dW1scNokWsCPJ7qBP/faxgDmAhPIOtt5iD+/jjPI02Vu/eIWwAQ2f7ewgLnL1NPXIJX2Dlpdiz1jFtSH0EUXIhDO0Qisz+xa5pu8m8sfdo7+jw+GZ7AWDfYdKcPx9c0y1W8yFWNJ0PXoOgfIgHeHL9nV9qIy8+G76JoYaZ+fA9TiorG75Rlui7mZ/swFoB9ISI8myfHGmlIHUoT3lnaPDinWKX5t3h+ijBNGr70qOT3T5sfeQSNqB/6UnaJQi4O0yPAFp3J8tahgNV/lZoFc4HbxTK6bPro/XVW3dG4401faKDj2vjrRNpR5t3NmFWE/sMfwf7XI83NrdWxqOtzdrB4yWaMn1yezS+vXnn9ub6GIe+kL/jPmY9d/uk7/bK+kYV0iTOW4Y35XEtDB3j6zX0klz5Od5mlh9T5FHGWVNgH6h78x2XbBxET2XnYuoJXrFC97SXxzfb4mFn+5cLcLH2IIztPXHfgx9+N/vbNt1drJmH0AyWC5YBtLNzucqP4ctT3nzRtboI350P3iwVXqu0BcAJrGGciXdHLntXr8BApSajuiOT0UY+c/bhvRR448LAH+MtrKL+fUyJ7aLgapAH58vj0a3bd/s771/64iHxm9cC41f3DvexYDAmf37689fu18FgUIPmpbxqtLHeR/lgKR/P3MJbjrpZfjVFQTm3ujvDy6J2YfNYHp2d3IM7+9RGGOQBrzNsRCikL/Knrfc++/ciO7Qnl/leUT137252dz7q5TQUO96dqjJZdukhiquwIUy/22hRyY/Tgx/+S7sUz9LbeCk1ZzfrGNvwydoa5ngV77VrLx3lKWv/S/K85q79BQ==</b:JenniData>
  </b:Source>
  <b:Source>
    <b:Tag>ChoiC25</b:Tag>
    <b:SourceType>JournalArticle</b:SourceType>
    <b:Guid>{6377ffa7-a2e3-4529-9ae8-5678ea0b6289}</b:Guid>
    <b:Title>Structuring the Unstructured: A Multi-Agent System for Extracting and Querying Financial KPIs and Guidance</b:Title>
    <b:Year>2025</b:Year>
    <b:JournalName>arXiv (Cornell University)</b:JournalName>
    <b:BookTitle>arXiv (Cornell University)</b:BookTitle>
    <b:Publisher>Cornell University</b:Publisher>
    <b:URL>http://arxiv.org/abs/2505.19197</b:URL>
    <b:DOI>10.48550/arxiv.2505.19197</b:DOI>
    <b:Author>
      <b:Author>
        <b:NameList>
          <b:Person>
            <b:Last>Choi</b:Last>
            <b:First>Chanyeol</b:First>
          </b:Person>
          <b:Person>
            <b:Last>Lopez-Lira</b:Last>
            <b:First>Alejandro</b:First>
          </b:Person>
          <b:Person>
            <b:Last>Lee</b:Last>
            <b:First>Yongjae</b:First>
          </b:Person>
          <b:Person>
            <b:Last>Kwon</b:Last>
            <b:First>Jihoon</b:First>
          </b:Person>
          <b:Person>
            <b:Last>Kim</b:Last>
            <b:First>Minjae</b:First>
          </b:Person>
          <b:Person>
            <b:Last>Hwang</b:Last>
            <b:First>Jinho</b:First>
          </b:Person>
          <b:Person>
            <b:Last>Ha</b:Last>
            <b:First>Molina</b:First>
          </b:Person>
          <b:Person>
            <b:Last>Kim</b:Last>
            <b:First>Chaewoon</b:First>
          </b:Person>
          <b:Person>
            <b:Last>Ha</b:Last>
            <b:First>Junhyoung</b:First>
          </b:Person>
          <b:Person>
            <b:Last>Yun</b:Last>
            <b:First>Suyeol</b:First>
          </b:Person>
          <b:Person>
            <b:Last>Kim</b:Last>
            <b:First>Jin</b:First>
          </b:Person>
        </b:NameList>
      </b:Author>
    </b:Author>
    <b:JenniData>z:pVjPbxxJFfayIaxA4oRWwIVCgADJPZmxPbZjkLDXJMSxw2axQ1gpEqnpru4uu7uqU1XtmQlayQguiBsgJMSFf4KDJYT2xIobgiMgIS5wQ2i5QITE96q6ZzrxjyQiSmLPdNX7+X3fezPfPV24msV5rY52kslnl/rDJF1bTqJ0VSTRyvpKHI2W4kG0vNxfTeO1VR4nSVbomDttThdeOax4Jr5elyNh+DDVRmZSXSmrJL0ls7zAP2dxSvoLUiv7g9OFDySjkZ6cLlxJc0EHnnzl36/9aAF/kkKk7snmzn8+TK9ip6snmyu/26EXYiwTlz/Z3H43PsHLjtcrL2lwdel7f+ka/GWx+fIG3//4w5nBtZ/8+t2Owa2PfZ+ePc/gf3+c0q3zItx4/PNuhJ///bfp2XMMbl5/ffSLjsF/foReBYNfPvg766b8W/0iNbwkwt2H+2ShNfilP568gMHN1//0NzrWGvyXJPPB4N6dulvD7d98hl7+HxG++YdfdSPc/PN7L2Bw80M//XS3hu9P5hHeffiIcDKL8L1Xn22KeFRrJ6ZXHxzkwgomy8roYxGVQjnLuBGs4sbJuC64KabsmBc1HxWCgTPMCF5EY22KhHHFi6l1DK+O0kKP7SIb5wK3VV0KI2NWGRFLCyrhKI7XiXR8JAvppq0TXupauR4bsm2t4qL2h+/jkUFcygncYqVOKJBFVtaFkxGyUI6luCrIsQ9KTJzhsZMq854e1cJM6YV1po5dbWBHKhwsPbFxWZesVp2nqVRcxZIXLNExoqc62DrOGbds0I92kdq6/5/MC24UrFsGp8rGRlbO9tgbU5aIKNZlpS35djnSkJUopEKFldNIJRGJhLjA4Y0mYkSz5RPyFWIHyCRyOtp/ay+8v8h0bZhFmUXJeJKgLlZYdiSmLM55UQiV4aVETpRB5FPopmqEM1Kgg5Gk+iYUWZsiK/hU1w79NdKfXkRRpGOKbhfycfMeRWZFyRUQwXg5kllNHYRPxVE9OCy4ymr0xRdeChTjIDe6znL0EfVwDFGiCnjWNCjRJZcqshXwkcIq4pNJ447y5SbOpRO+OXjDVcJQSpaNuA0F3du7g6BcXfnkR9qhVXGMaGJgCx6MHtXWKVRrEd6B3uDaAxaNQzPiGA9ZDjZFqUxgFTnt3t1hiIOzsYRBKzNF4SFzsAAwqWN0DoWokbNIERGQCwbNwfjXk58BN4KA7auvUxYD18Io0Kqw8FoQTzxmHTeZICg4FF1liwwJ07VjAVfopqAWtYCzUqAqHQL12M3aV8dzIPQWQBCTChc89OuqQoCUqucNFYDiTv1vqAogKTJyiMMgK4jLgDHcoYbqTMaN77Z4sdHWRjPsQAespsAZlMPgBoAIC7IULMdofYz52SMmj1BZgZxcLlGDCoDgoJURVRQojjeZjXlBArMIRqFrSMnlUxSpVgEUvl6JqArtWQ1etJXa2plh30OfbBJ45prUY1vsbkDhjQ4Kb0x4WRWo2AHFZQE18kPshTIBIGPdYLeREZA2A7JZbb2WeHYHDkdzEm8gF8UprsfC6Mjm2rUMCPRucM/HXv7CE5dzRw3Uhmrv4MOiGSW/mIxgg9QkvzEqDV5nEB+2NSpCrfZdnUw32DfqQkREl4R9c8YutgXruR4rSuHAa/pwkSXSNj0280tzSrJC8MRzJhAiahlB3EHPfZiduIQx2qDuCfXgdOGjOR9RAWM3vfqPVvae1uag2SQwLrRVKrjCOnapUjdIZugfiSJue+3D32NhXQPSAIdFNhX0iqqPTABSCLWyddkKEg5Cd2KBajoB58eiRxPpmKxqqMYMuUFsK59ETEylOgh+LPGTSsVHviWNkVYscJfURoB2hSxlyN+DvpmGpIkCctwOjjM47rEdAh1yrTjqjEnrAYRZI3Cb1EjGsp0jLZ9YKVyOjhB9gjo6irczLV++6rP5iFTAa8PBKdTwqeHcjKswC3EbMogBjvkwGxSY6aIARt6E2DdpQFnPM4GYSLFhgjjpJwbRgVBDB+2Gr9cDKFf+nWeH6ju+GvPnZ6brO0G/Hzg8kO68+7UDZdFqCDdGXkJ4SEkHaAA3UwmFodr5yQ7gX1o9crQI6CMubhKkATRiozPUIvhpFgyUNXgJz9rBhnIF4cG0A+9yHIViduI/m1+rlX40iLjG+AAs6DliQIG9APuAL5rliIhmFjUZ2of05rOzk6Efmh2I0fyk1cJg05RecFNeAuvYNAB3P10pcLpGctNI3nxvwByD9wZngHoiSiDBy3AQTNoSZsBpwAISkI4fUwB+NQs7w1OtoEqFbeyS6GdzD2ULOywxslmkCIrU/c6WhWEsjUVjL4q03d+w1YAzzRycSNwmd9eHDz43315ouLTB+8KdFbxzwsd2zB3Mt4tnB5pEUyBvWjUo5s5BBnFvBOmqcQb5Kg04eNXeF+AccIUwePOYsq5nC02Qp7YYjtsjFkXt4n8BiPy670cnRR6U7cxC/mxDYPX6AJWZ+bQVKgtjY3JFBYYGWEiEQYvcPJsmXJ8NRNPvhvMUgKdORwI9SE/IbAGd92vOOXpHBSQ2NIqEd1BKWhuJrDQ68asnV6f0vSIwRSRfpf1hqb80jAb9EiZ8B8wOSnC68GoGlcEktyeYDRX05yb+aZP0e8NlAVoXYvJJbr4lj9kXtrVRFOU9RW4tuPTFgqwZOYJQGftD+qSosIziZ+oZN022cy2xu2CU5duQjKnQRWJ0IRbOnj3c05V4HO1Jw8MNuVWIQ7DB6IuuxHtChLPZ21gBD7m46GSyO9YqHE1vy1wDZRfZ3AXzw8E7Ul1iUtwaA2jhqLgtFWbdBSdHt5qM0jsaJOLPd03Fwk5/cZQzk/J2rXJ8kFLZhVbfrtvM9+vLGjB3HyOdcCqWCb6W+mCcaDn5xKDfW1kfDvvXuJnI497SsD/sDa4Prq9hhxupE/xv1UmBLqotj7ydxA2W19fW+kuD4drS8hBH11fXVnI6wQGso/srK4PhYHVlsLp+iMt1gOqhh2p/GC0Ny6rGbmhB74DWV3zI5iwSj9od6p4pJp/Knas2rjVhapNdw9ds1+bhZrYeEaGQ+pH/qqEQB3j5CggqdLqL3LtvC0fChbNFjA9JyRvTbfrWYMHhcxKkAERL7mNNsuHdhjKH+42ctJJ4rzMGNvCh4I7fNsKH7/2gBrQndTZUGgNvtV8l3JwpAj4kQtDw7Gs1NmR4T/Gti4ztSUIZvQYZPy9/LMGd/P8H</b:JenniData>
  </b:Source>
  <b:Source>
    <b:Tag>LeeJ22</b:Tag>
    <b:SourceType>JournalArticle</b:SourceType>
    <b:Guid>{5380a733-27be-4839-9d0d-45964e9c4cac}</b:Guid>
    <b:Title>Chain-of-Thought Prompting Elicits Reasoning in Large Language Models</b:Title>
    <b:Year>2022</b:Year>
    <b:JournalName>arXiv (Cornell University)</b:JournalName>
    <b:BookTitle>arXiv (Cornell University)</b:BookTitle>
    <b:Publisher>Cornell University</b:Publisher>
    <b:URL>http://arxiv.org/abs/2201.11903</b:URL>
    <b:DOI>10.48550/arxiv.2201.11903</b:DOI>
    <b:Author>
      <b:Author>
        <b:NameList>
          <b:Person>
            <b:Last>Lee</b:Last>
            <b:First>Jason</b:First>
          </b:Person>
          <b:Person>
            <b:Last>Wang</b:Last>
            <b:First>Xuezhi</b:First>
          </b:Person>
          <b:Person>
            <b:Last>Schuurmans</b:Last>
            <b:First>Dale</b:First>
          </b:Person>
          <b:Person>
            <b:Last>Bosma</b:Last>
            <b:First>Maarten</b:First>
          </b:Person>
          <b:Person>
            <b:Last>H.</b:Last>
            <b:First>Ed</b:First>
          </b:Person>
          <b:Person>
            <b:Last>Le</b:Last>
            <b:First>Quoc V.</b:First>
          </b:Person>
          <b:Person>
            <b:Last>Zhou</b:Last>
            <b:First>Denny</b:First>
          </b:Person>
        </b:NameList>
      </b:Author>
    </b:Author>
    <b:JenniData>z:5VfPa1xVFJ7+Qt0URRAqiBcVUZqZzo9Mm0Rqk6ZpmzYpaZuaUhB733vnvXcz7937vPe+zIy4SEFw5c4/oILgwrWL6MaFS1EEd26KCze6KIirLPS7700ykzapEUEKQmYm78053/nO9517ZubORuVIlCifW6U3KgdWMx7RlTz1SPNGqLSIhDycZkF4UURxgoc1iBJFglDSfLhRORh4nuptVA6HMbmAzTN/du6vVyqVIKHQbk5fqH33Na58q7LN6Znbn9zGBXVFYOPN6ReeveQuR6pWdgGcrv968t4Q8NSd3+5uA84e/H16BPDS3a/2A/hM5biDGADO3/vMJZWA1355e5ThGx/xfQCe+WNugw0BF96cdVcl4MIXXzo1tgBbP37jSv8dw6fo0xHA8c9vDVu+8v6su9hm+P23+2F4//YHIxruAFy62nVvbQG+evQlZ9i/AfzpZUd+C3Dq5nMPMqR3c2Wpf/iHGc9YzX3LVohRL0uUJharLotIYgStkBHjzI+5kEyFzMYqR/Gf1z/mzJAWZNxdIS3plALBLTFN3Cjp8oylzCDUiEiKUPhc2qTPRJpptYZEGxPjnkiE7TuQhOuI8CyjHDRZqgJKEKRYRhoHIWW+SrOEesMCNTYvWca1FX6O7DHWJWYcd/cwuR+PcCkLOb6Ukiskuc01TxwhieAQ/AQVBHcnsiY4hDBgn+AeQYiA+cgnvDh1qiqsDtRhaDDNnHSgFBME5Syk7kMqsoBSHGHIXxxlxhHptBEBQDmY9gjVuDaO4jZmjc31IIlIwRbqS6Bpcnx3Y13IYWNuH0Fy6MhAaS59csCcacDh3xDUhI3RtfDHnA+ONuFvjHEZMNNPPZUIf0Ruy03H1NgyLEYPQsP8hEVgYCCaZB6Mslp0inbOK40GjXVlx0ZocbbEFxZZe7x+lnVRnq3mxrJi+B/uZqgV92NBrhsgWipjqIopwTs+LPcxbU40YheuL05cBhfpxynXHddnylGnq3TgeHgJpWYMw6EzboyjBFzJQiHJ5hIeXVharrZKbpytwZNQkK6xmamicZ+HhHOBuYl5wJotxjPMDiwrlrobvUKgPssNsJp1N+sp78DEHIxq7LpyLPtb2VUXcpq1BknMKxs/CavdhBXYILudtEasxY7j/dNssnQCZpkuQWzj7sxuSbg8kHBpW/mrU+yaihAZYwrbzJKUyPFAGZ5eJOblfcOaZWHYWeyAnUFzcKFw2iG0HkTATGLI0MPofRYoiAOaBXWpume2hBzSbjRqjtwj1K2xAPZ1NipHYz7YbP1D7/yT3caqVXfQ97XcXOz/YruN6vPYbrddST6+280ttioM5qiM8d7Z3O4bb7TDvTZeGQNX/ruNl6AOGWyxc6gfNevNdrVRT30lLTiTnpeh2qgcingO7tqsJ7AE5/I8Hqhbr7VbkN5i+J/n+qZYY6/NKi0pSdgNKVDD4Ai9njg0LbwcKeWXXgnd8BqGPBVJ318gogjhki45mwKtEiq+Nu2MC1ac6UVgeDOn92KxV+TqdT/OczcvpoxHdzgPe0TTWWVSXgZGixziI2GPWO9irQz05oI9Y9BPCXY1Vz57q7ZnQ7cwD4POz2Gd9stAXwT4oXDED5ToHWvUa+MT7Xb9BNc9sVZrNuuNWqMxWW8FwnhyHc9GricqIzlTGDkf2EZzonGq3Zxo15uT9cZEsz3ZOBW7CGjQ66yMN5uNxnirPn5yFcl56fwqnG9W641qq5FmuZcIg/VQmn+gYK0fNrajyahc+3RDJz0WW5uZqRMDnkpHJ/DL58SQb2Ryz/Yz136n2IwJLePyABYMqfCykMHobbJuAyI28YWl4Gx/VuXSHnv6FaspxOLCiQxW8GFhivtPDIZw7hEfjHPYAwJ76dr2KsCZXCh208LW8V0sdlOI7+HCN+uBo/skTmHSe9F1t6M5fEKNNPcX</b:JenniData>
  </b:Source>
  <b:Source>
    <b:Tag>SunS26</b:Tag>
    <b:SourceType>ConferenceProceedings</b:SourceType>
    <b:Guid>{4651965a-2310-4b2c-ab0e-e1c860e26b9d}</b:Guid>
    <b:Title>ESG-Bench: Benchmarking Long-Context ESG Reports for Hallucination Mitigation</b:Title>
    <b:Year>2026</b:Year>
    <b:JournalName>Proceedings of the AAAI Conference on Artificial Intelligence</b:JournalName>
    <b:BookTitle>Proceedings of the AAAI Conference on Artificial Intelligence</b:BookTitle>
    <b:Volume>40</b:Volume>
    <b:Issue>46</b:Issue>
    <b:Pages>39322-39330</b:Pages>
    <b:Publisher>Association for the Advancement of Artificial Intelligence</b:Publisher>
    <b:URL>https://doi.org/10.1609/aaai.v40i46.41281</b:URL>
    <b:DOI>10.1609/aaai.v40i46.41281</b:DOI>
    <b:Author>
      <b:Author>
        <b:NameList>
          <b:Person>
            <b:Last>Sun</b:Last>
            <b:First>Siqi</b:First>
          </b:Person>
          <b:Person>
            <b:Last>Wu</b:Last>
            <b:First>Ben</b:First>
          </b:Person>
          <b:Person>
            <b:Last>Jin</b:Last>
            <b:First>Mali</b:First>
          </b:Person>
          <b:Person>
            <b:Last>Bai</b:Last>
            <b:First>Peizhen</b:First>
          </b:Person>
          <b:Person>
            <b:Last>Zhang</b:Last>
            <b:First>Hanpei</b:First>
          </b:Person>
          <b:Person>
            <b:Last>Song</b:Last>
            <b:First>Xingyi</b:First>
          </b:Person>
        </b:NameList>
      </b:Author>
    </b:Author>
    <b:JenniData>z:7VZNb2TFFe1JQrLPIoJVSooi2ZL7uz22R4pCjzNknIyFGQ8MYldddd97Na6ueq6q53azMiD4A6xgyQ9AAlbeIH4L/wGxYMO59bo9Hs14ww7Jkj9ev75V99xzzz1VH112/lj4YErj/kKnjU+0fO3raRTKh9oHmUgEirV30cyMNWkpjFOBZDSutPnDOi4KcmcmeDcnl6TdEtErw/+l06L0ZxScdIrExoPj/24KFUyiYOSWwEekwB4JWwoTxYyUn/OzFJZKafHtaWMC8b5IKObSLfGuNACVN5fihJZCVdI5sgLFCO1Vw+G8S2xiksbJFfw6SJWMAty8NEaKXIsoTJjHHy++ENa7sgts8xxAqTIKGGoK2BipFfXEQ78g1LMlUkXA6MpU5WDgri2dcxpf5MK0icr62IBD4D4hXjHH26IwqrFJJI+KkKwOlFpATfJzZp23lk7aZQQlgayRM7vsiSceBdXMlojAhZccpkUKKHOB19Xyahnjw+JaAjynCV43XDiAde+TUxV6A7bxMJfhRGiZZAQMJvB5U0TjNAVQ6HTuCXJV0tpGgdKEFoi5SaZsH9EcK0MJTqQrG4mHuddko9h49OgwbvaeZwZVEIlBA6sGpHbROp9QthanDUXe7MeLz6WLCyDfeGe6iSJMiKIMnuFozgQR2i4qtvo6Wt6XzhNqXxh0pTCOumVAJiwCWwzGoBIFwKhmUaG/SJFhCt+kukkQRiBRQCUN6lyu6cZ68PK8dNI98VaQWajX8l+1TOJHvDMV4PSkxQLFmAJtbHUIoDExMCQkqNOiMXEZE6H7Rgk6k7ZpWYWUmD7W5noxZIMiWcm5ITyPHIgMGUsmAcPC39XBnxnNcheOFqKJJBTafO+qb8D/QkOZoNXscvWEyU/mjLZadRuegC5Pbx4L6IV3iD3xlASymNLliruxJoVqldivUGPXF90nlW/KKomNff8E/QzYrZ1P1JEwzauJzB1LjYN2MCAG84QIBPAW6FVXgmSmQ6Dg53Jq8gxj52tKwrYoR4LYnni7CWAMc2DYFsB05ReYDokJrAiU8MoZaNFiDkV4jYhmxqJPLQ0sjdYBGI3TMmRmVyUwbg2HQjvW8LOXsUgxci9T3JriOr8o8ySABxcLtDB312AKsA4KuppQtsalzwupdRdYhXE9jSk4uez8tZKAzKK4dfBbB7918FsHv3Xw34mDW6kw1gD/HyZyNBjd7Q7G89WEUThwhb/svFbCWiof4oU18xrKeQu/Pujt3mREJsaGXu9RMgn+9a+j4BURzztoLnK66XR6AJYc8AEOMftTODY6DILEAfRmrSn5q+LMW5jv6xv1FYJHHvPmw2XnjqnhCo/hDnTZ+QNWw1iO8OaNL76srFw/f2V5ZTAzeGGInyFSOznnFUWBgbNLdQx9lBCl08fm1OjgLXVeDps9bdooBZHcFKT+B4TtXofS3riXui9NG1YekfmwunlD+gAHUdnGFg+lq+nGTfUxzppV5Ptge7mKLCoZj3TxkzI6Xnb+pLQ3528MB73h3cFeX0ppemeTgZnc7U2Go90hzpiZu8Df6D42o+H2Xnd7vLdnRuOdSXc8ubtb+RoGg76ePN0ZjveG48HOZAfhb8ufnuXGZ908W+mmO5zM62ZmTYQxttK5k2Gf35vGbAvZlPiQyLrQZ+wI+WyGVG7QxAnOP98ERe8Ge/5mlVId7/X7/lns5Wp8KPtwZTrv1VXdZ6n1MeZGWeprv3DWS93PpfYn26PJqMRspmUNIu8ACvni/1j8M+HSYZcg1ypcLfT95T7OitRJgVaa1U9x0Ynt25XSD68c5J7I/3jMeOwe8SUAcuezJI/a42zvMdf98IXz7/Dq/CuSr42Kn1x2/ly0owk0M6PlKBPoj7OpimNlGE6kwpDVbchsOGlJ/sd9tjJM85Y4xFlStsyyW0yVYuhAh/jiyXAwHG63azb3r+5qqxSPX7yyteCxkiKua/TLv7/vffNDp9OpQOQ1EHo4GezmLRfHrSnzXUJfA/JbKhuPXxmzKmJ3t/36/O8P+KbVngGr0IPsU9mCpgdr6N998OnFK6CPx8PhKo8sKNccSQZVvQS5zXd6VOGY5iPs1e3YyVH1Piy+wf1sHdWi5lFZUf/gvLb5dolz6gbxi433pweba/zfNv9881XU7wxaLhc37KJZ8X9TDQZocz1A8IU8Ozdawwnf7d/D9Q3qvPMr</b:JenniData>
  </b:Source>
  <b:Source>
    <b:Tag>HeC26</b:Tag>
    <b:SourceType>JournalArticle</b:SourceType>
    <b:Guid>{31f5ffce-29ef-4689-b63c-b525dad1a8fb}</b:Guid>
    <b:Title>SSKG Hub: An Expert-Guided Platform for LLM-Empowered Sustainability Standards Knowledge Graphs</b:Title>
    <b:Year>2026</b:Year>
    <b:JournalName>arXiv (Cornell University)</b:JournalName>
    <b:BookTitle>arXiv (Cornell University)</b:BookTitle>
    <b:Publisher>Cornell University</b:Publisher>
    <b:URL>https://doi.org/10.48550/arxiv.2603.00669</b:URL>
    <b:DOI>10.48550/arxiv.2603.00669</b:DOI>
    <b:Author>
      <b:Author>
        <b:NameList>
          <b:Person>
            <b:Last>He</b:Last>
            <b:First>Chaoyue</b:First>
          </b:Person>
          <b:Person>
            <b:Last>Zhou</b:Last>
            <b:First>Xin</b:First>
          </b:Person>
          <b:Person>
            <b:Last>Yu</b:Last>
            <b:First>Xinjia</b:First>
          </b:Person>
          <b:Person>
            <b:Last>Zhang</b:Last>
            <b:First>Lei</b:First>
          </b:Person>
          <b:Person>
            <b:Last>Zhang</b:Last>
            <b:First>Yan</b:First>
          </b:Person>
          <b:Person>
            <b:Last>Wu</b:Last>
            <b:First>Yi</b:First>
          </b:Person>
          <b:Person>
            <b:Last>Xiao</b:Last>
            <b:First>Lei</b:First>
          </b:Person>
          <b:Person>
            <b:Last>Liangyue</b:Last>
            <b:First>Li,</b:First>
          </b:Person>
          <b:Person>
            <b:Last>Wang</b:Last>
            <b:First>Di</b:First>
          </b:Person>
          <b:Person>
            <b:Last>Xu</b:Last>
            <b:First>Hong</b:First>
          </b:Person>
          <b:Person>
            <b:Last>Wang</b:Last>
            <b:First>Xiaoqiao</b:First>
          </b:Person>
          <b:Person>
            <b:Last>Liu</b:Last>
            <b:First>Wei Chao</b:First>
          </b:Person>
          <b:Person>
            <b:Last>Miao</b:Last>
            <b:First>Chunyan</b:First>
          </b:Person>
        </b:NameList>
      </b:Author>
    </b:Author>
    <b:JenniData>z:7Va9bhw3EL78F2lS5gcICBeGBdyeTydblt0EsmTLhmxH0NmR7CbgLmd3KXHJFcm9n05B6rxCkGcIkEJNHiNPkiBFmnzk7imCrUPcJJUESKcjhzPfN/PNkN+d9d7LjZWF1B/RSWM8zT+w48Z5LjVPpZJ+zoR0mTKuscSwrgW3wrEbNCgGfbaz/7jPxpvj+332fOvhdp89frg/ZuPRCuMwz0xVWypJOzkhNifPFOnCl/M+82QrqY0yxTwRMKA+g2tWyqJUc5ZZ41xiKSdL2kuu+tjRgqzUBUDYJvOAI3CEq7mTLp4VZqqxR7xijaMBOyCG6A4O2Hi8u8MeNSm78Rq38TmhXW2mikRBbMfyugzWK8DEggdusxK+jDd+XlMMJjUY8MwHYlNKWa24RyIr5kvumbdcu/DVXUgZjhjGGyE9TxWx4/OARQiIlO7uuBWct6YpSgRhT548TTLARxJEn9GsJuuTopECzGtZk5IaNJ+XqMvceaoiKDjzhIQ03lTcy+wcAMM55DKXGZaN7qM6OpdFYyOarGz0MbLbP7dPXE1ZMA/Mq9rHTWtSJBD8ZI1DNbcuLoeMwGpCmuuMEj4N1X9G5tYR3BnLQXIqfclyIE6AEB8oXkgFq8hzwT0fBLogidQhq0YHf6LJApWLrsH5GGe3Lc89293ps2kpURxIwNJE0jRkKgMnH/4JsEIVuIKmAgvoW7BQBbaFXIIcvkIZi5wHLEmbZ8bFEfC1uRqwTTBXlKTc4UQBNDbCYbnlFU2NPUY2sRjkCQGKxGhELBpCrngGEm5Rvw5mhLa1/2KbGazGIDC5GD9rAS6KFey5QMtISBxrkF0I6NAvnqF/0A4uyC6jhbTjiSwzjYbeuqXYV0zE5IX9Lgg4oeqQzYDdp7nBRpRkgKxQvViOYN6WPVE0IcXAA4JCDkLUqILzLnNNXRvrXdfHWM0bF2ns7iTCArxmnrtjUI6NSzHRQFGh5ApEUDSIOZJre7sraehG01gkNLb3hCsJ7QACeuBCB3Yd9Nr86RoIPRdq3tUhQ0VBvhHztnMFVShFSDFgkBaJNwk+WgCLPJw0CBzy6ZD3oIO2C8Mc4HWtuqIFUdZNiq/QAp9wqWKnIch0Oh04d1wkZZMOAHIggoTOep+UPA2xM381ha+m8NUUvprCV1P4f5zCqhUJiW3ELUbD0XoyXKvQoGFWkX2sc4PncoGmLo11p0pWNbrkIX6NFcPB2oi89Ipmn3N7KCfsxpaxmpRiLzSIQyR+vqKCNytTzAXrfjjrvSs0pIvPPOeVVPP0EVERKlNsldzMGxJB8b03DcWr0jStaXaIobzELH3ZGeUwOpJ8mR29KrkuOn9PSL6V3UtUYVncgy5u+nKpL3Eoufn3kOUTiZBIxcJU9pd6PDgHl24vdZgedtjEI6OLt/BVBqAn+F1mC0ydy/KAJAulW+r26TlplLjR80UO85K7PZH/nknhznrvZ8LI2Werw8Gtjdu3hze5ncnJYLQ+XBsMh+vrd/EaSPUp/jp9WmJ44Qam2fHBndW1tbVbMBth62v+xxEMoKGg56NWz6NktFHFfnDlQtLvRIz2TbkWrknDXQsTdBKZfBdK+xPjEZMclFQmMQ3uz7fCdOvhzo8PhYzEAUaxa1e7lvh2MZXusU3NHrQzYKe9RPcWIyPMm3DbPqhqMw3XLXvbd4LLvall5r4/632YC1y5UgNfirG0Frmd7JV4oGRcsXEmA0RHmLdKtEbp6p1oVW9hUjW46BdW2Mufr66O7rReZl9uikkYNKJ7nTwjDB6FDx8uH0cuM5b++uq3Xz7u4adE9i5EEat3UJbgZ7rZXip4UbHHeCwoJYsQ7g3wrbkZm2h6OfSNluA2XglhuJ9bddjvbqy32G/EjRiXtTzDNRnmKNTB2VM84gqqwjunY/Hrj19cymKjYzG7FtSDaz1O2XF8+7TXxD++/pNy3F1r92fX9hevwtcosL34fAl+OzI/Xz/96dKSrA6jL3cJFxGk/+l13DlqtlJ6X7t7N2+iLQfGFjeXduZxkMI3oX+M7v0N</b:JenniData>
  </b:Source>
  <b:Source>
    <b:Tag>MukhopadhyayS25</b:Tag>
    <b:SourceType>JournalArticle</b:SourceType>
    <b:Guid>{d11636d5-65ed-4a1d-92d2-23fae21f32e8}</b:Guid>
    <b:Title>PHANTOM RECALL: When Familiar Puzzles Fool Smart Models</b:Title>
    <b:Year>2025</b:Year>
    <b:JournalName>arXiv (Cornell University)</b:JournalName>
    <b:BookTitle>arXiv (Cornell University)</b:BookTitle>
    <b:Publisher>Cornell University</b:Publisher>
    <b:URL>http://arxiv.org/abs/2510.11812</b:URL>
    <b:DOI>10.48550/arxiv.2510.11812</b:DOI>
    <b:Author>
      <b:Author>
        <b:NameList>
          <b:Person>
            <b:Last>Mukhopadhyay</b:Last>
            <b:First>Soumya</b:First>
          </b:Person>
          <b:Person>
            <b:Last>Baral</b:Last>
            <b:First>Rishabh</b:First>
          </b:Person>
          <b:Person>
            <b:Last>Mahajan</b:Last>
            <b:First>N.</b:First>
          </b:Person>
          <b:Person>
            <b:Last>Harish</b:Last>
            <b:First>S.</b:First>
          </b:Person>
          <b:Person>
            <b:Last>RRV</b:Last>
            <b:First>Aswin</b:First>
          </b:Person>
          <b:Person>
            <b:Last>Parmar</b:Last>
            <b:First>Mihir</b:First>
          </b:Person>
          <b:Person>
            <b:Last>Nakamura</b:Last>
            <b:First>Mutsumi</b:First>
          </b:Person>
          <b:Person>
            <b:Last>Baral</b:Last>
            <b:First>Chitta</b:First>
          </b:Person>
        </b:NameList>
      </b:Author>
    </b:Author>
    <b:JenniData>z:pVe/byRJFZ7lfkCEIOSEoLQSYi3csx7/XhPYXvu89p3ttWzvLiRATXd1d3mqq/rqh8ezOglDBCESARARkRAiIZzxHxBBgpAQ2ZGScOeE71W3Z+w9m1tE4Nmd7qqv3vve975X86OLzluFMin3xl507p3UvBD7oeoLy5dyY2Uh9ZtVneXbsigV/rzDKhk3SKPdTy86n8v6fXN20XkzLwUtuFz95OOvsU6nkymR+8u1nd//9Y/4lnpTX649+7PG/ztiKDNfXq49fmb+jq/XTn37NsB/X/78/A7A56snNwH31/5PwN9IenUFuPjDzdcB/OTjr/5gAvjNPy3/egzI/nVEOY4jPH5O5FwD/PwtgGtzT39Lu24D/MY7cxTSGPDD+PWzAL/8pe9TkrcBPvnd3yj4CYd7tPIzAMHhL+jcFvBbox9POHzvV/+8Drj+sz9Qjf43wBsRvl9+ROjXUn4NDv8b4O7iRzdk8+H3XuVQfBCMF6M3/nJcSscq4UuTyZQrxuvaGp6WjCtlhiJjaBPmS8FqK1LpBKPmUPJlbBBmcpZzqYLFeyO1d2wofSl13FGZTKh/nP/SMSu4M1rqAigmFc512WJ3jm1KlwbnIpBm71prbLInvSwa8CNvuReFFI49DRZbZcXtiLnm8YgFhzcArOr2XCbOaiVT6elpKfsSXT9iUmNHSGNDM2+YcJ73lXQlS5XglmlR8MTLU8FSrAB4zMOXnGCCFjEXK1yNt4K5mqeiy17gMRI3FgzhPV4A2XNbCI8lYCqXKROUEYOXiAJeI9wKe9CbYttgNqRSxyRX2P1Nw7TxlA3jeoQcvLAalRhoM1SJyApxnwntwLEjsn2ZB6XBIZ2IiD02fJs9mJ1iRzg3JOoV3IoPAOxcAE2RAt43AY8liEdBpEaBq7jnPtX4VFD2QQ+5tRzgGa0QVmiUDcfMTbGtuN5j8+QQINYApfhTU1XAQKXu43vG7n/XoHhj/qrgPOsLFFyNIrOnUFPG3jt6us9MPzkRqad0EVQKTXHreF8q6UddFpXqSpnH6rTyYjnqzwqh4eixhi0p1iiF2Pui5KfS2C7bkgWp9NEKOxA2poyMon5pVybzmCQyqYVmDiHj7e7unkP6DAWpHK3laRosT0ckVwrhoARFOP9QoCcUy7jnDgKIWkR4EAFiaBXajSKOkkiqicjHaibxSecRA4iRVYJtp9g9PpKn1qDodE7MHAE1QfTmHyV1ePlSIY0mgC7LhsYOLjpfLHmfDkj96G27S+pkiusiwAeuQB5QklPMBWp5x54cHE+zJ6KSWk7H8m0oHjIiCpGROVDH8EzUKDaUbtQpiShVEBgEr0yBzyYYlyR9SKI0Q9Qc4KhRkOimiRcEnQmrqL2RhgSsdkNh3SrRSaUQpzIj3SG4okDXtk3ZtFsbfm7hZA1nVuADnFSiQre9pMYUVY12wAHguBTkY1xfCyBqJ5cWioS56FTWCBu9XSLVNgnGIRoXrwZAv6rpdBtxfU1KKRTHa1jSNE44FVA1TuBUXzloDuNFq+QdwHPrZRoUt9NsSP05ENkKrAFajKrjWYaWcWN3QbcGAWqODRsSCeQS2q+ybdDbNDRi8cH2m4sLtYGJKbd5rLKdSDOy4W27KDbkICxHuJQEYqGebr2eJIvyjhm/4jsz6CmPhoihiDMOpUSHJAeE8Rdo0RFUTI5CPTGK6cFRrckCWDrYXt8/frrHDt/dWN/dhcQAp9MSxj4g50AZoivNLmCbUgl5oL4pq6hKaB6+isADjmCZcLLQ1Go3OWgsHKFZ0DopezMOyA1IoFwhG0iMaonZAVoyQdbeHASFh4gWLV/ArAIExYQio2SYHxkhNiXDchKslzm6FeehcaEqVL6dkERhktStZ+A9+EmSYSxKSy9MII8YUc8oQyRtouhxOAyDxdXBShOiuvGMEzkxZ21AmS6QVo5ZSNWLSdJ+NBbHJripoSrDiCns1o9iCeF4pLVYt+ikEizRGyvIXY2iMSansI/xgESwLWsqxDGtPggSHMWuPQkYXSRE8AlXv1YAzB5sSyGaaUARFkbnmdGminrMIamkoDkM5MmuV6dp40/YHwEayWJd0ocFjlMii0XnVYIMkRUB5GIqxMkDxU7AumwTE0oiUQ2HS0gMFPN1ww96YumNFKevykbyo4mPyqJw0ddaa2BlgD1Er27Fie0G43sazROvKJRaH73KbgojJocJYBOh0OBNiZsZAn5IdXStIp9B8ikETcpVEmm38z9qsrFtEiAVwoqkoRMegsft5SFgYwpzaWZrkpRXv4Wu3KDgNTX9UJDi8TBgTKEfcwXjpcGEQNv6N6njfhUD7CrQF01sk3ienZldSHozFR1LtbU7mPIXnTcKyKg01p0jelyu/Bb+jM1mugtzwkuvxNk73H5HnrIHG8ZquAJ7pjGzrYOXTqmxRIHwE7omaxQb/+Y5rEmN1F4YlKbmWTniI9wl0bX5kQnViGe4IojOp3eIxxze2CwtDnFN5P3yrrXFHi/5CccNklb397t3Lcy30XWubNcd3bkuPTx83iwS626IOt+Fd8Axdmy7dE+W0t61tNznA15BxW1Ke8HjLihfJ/18o5Tet0ylMsOP47fSzMizr/RmuvPLCwszD7k9k6fd2QU86PWWe7OZdH19jk+nzxXdpdajBHYy92h+cXlpYb7Xm595NDe3PD+/OIPCwI5Q4MGL+fnewuzS7NLC8km0nyiZk1YySW+uqkO8s1+p5l4M235aEQP4fby9PbPq7Oul9/XKwzZKY4uH+K3/cBJt4ULfj2pKfxAHshLH+HoPDSRM/j74v/4YYwHTBmsVfmKI7PFowwTtOx5jqLkgZy9gMq552kp36ebAW2kuF1tEtcRN6qCdaVvwVXaEinq2Fy0lx+84mbrzjML7AkzotmRwubuWzH8A</b:JenniData>
  </b:Source>
  <b:Source>
    <b:Tag>NiJ23</b:Tag>
    <b:SourceType>JournalArticle</b:SourceType>
    <b:Guid>{0929bceb-bdbc-4afb-87bc-4b02fccb627f}</b:Guid>
    <b:Title>Paradigm Shift in Sustainability Disclosure Analysis: Empowering Stakeholders with Chatreport, a Language Model-Based Tool</b:Title>
    <b:Year>2023</b:Year>
    <b:JournalName>SSRN Electronic Journal</b:JournalName>
    <b:BookTitle>SSRN Electronic Journal</b:BookTitle>
    <b:Publisher>RELX Group (Netherlands)</b:Publisher>
    <b:URL>https://doi.org/10.2139/ssrn.4476733</b:URL>
    <b:DOI>10.2139/ssrn.4476733</b:DOI>
    <b:Author>
      <b:Author>
        <b:NameList>
          <b:Person>
            <b:Last>Ni</b:Last>
            <b:First>Jingwei</b:First>
          </b:Person>
          <b:Person>
            <b:Last>Bingler</b:Last>
            <b:First>Julia</b:First>
          </b:Person>
          <b:Person>
            <b:Last>Senni</b:Last>
            <b:First>Chiara Colesanti</b:First>
          </b:Person>
          <b:Person>
            <b:Last>Kraus</b:Last>
            <b:First>Mathias</b:First>
          </b:Person>
          <b:Person>
            <b:Last>Gostlow</b:Last>
            <b:First>Glen</b:First>
          </b:Person>
          <b:Person>
            <b:Last>Schimanski</b:Last>
            <b:First>Tobias</b:First>
          </b:Person>
          <b:Person>
            <b:Last>Stammbach</b:Last>
            <b:First>Dominik</b:First>
          </b:Person>
          <b:Person>
            <b:Last>Vaghefi</b:Last>
            <b:First>Saeid Ashraf</b:First>
          </b:Person>
          <b:Person>
            <b:Last>Wang</b:Last>
            <b:First>Qian</b:First>
          </b:Person>
          <b:Person>
            <b:Last>Webersinke</b:Last>
            <b:First>Nicolas</b:First>
          </b:Person>
          <b:Person>
            <b:Last>Wekhof</b:Last>
            <b:First>Tobias</b:First>
          </b:Person>
          <b:Person>
            <b:Last>Yu</b:Last>
            <b:First>Tingyu</b:First>
          </b:Person>
          <b:Person>
            <b:Last>Leippold</b:Last>
            <b:First>Markus</b:First>
          </b:Person>
        </b:NameList>
      </b:Author>
    </b:Author>
    <b:JenniData>z:rVhNbF1HFXZpUlggxKpUkZCmoVJjye/Zz/bzT4raOI7tOHXS1H6JS0CCeffOfXfy5s7czMy1/UKQUglWCISEhMoG0UUWlIo1ASF1gRAglohlBWwQCAlWCCmt4Dtzr+1rN85PX6L4582d+ebMd77znbl+8+7IM70oLXR/Nd55IYkmJ1pJPNeYmZ+bb0zPTsWN7mRLNCanp9sTrenWzOSs6CkTcW/s3ZGnrue8Jy4VWVdYPp0YK3tSH8vyODkve6nCl3eYJcMCabR768TdkU/E3a7ZuTtyLEkFzbj3yn/P/GgE/2IlEn/vzIUT176GT5E3+b0zl9du0AexLWOf3juzeOsKw8fatk8/LuCdEULYB+zQs2EAP/zunw8Cvjcc4OtXP08I+4BXaeYwgD979yCHG0NGuP7Jlw5xOCzgV393kMNhs7z+8zd+/EQj3Pjs3w5yODSg9HUOR3/9r4+R5X/8gqKoAH//YR3w7E//QwwMEWHnC98+JOwhk9K5deLJJqXzx58cSsqQtXylMUePajocFvBbvzlYy0MDvn/ldg3w5WX/KID/fL9PqyrA2dd+e2YP8Ivi+3UOT/4hbFYDPHYfwDPPvvN3mlYBPn/nDiW2BHz5vQ8OHZk2ewjgK//r/7se4Q/e3o9w8ebJelJO/uVPh2RzX8AP3n2Wpu1HSPAl4Lm3nq8L+7nvTT8K4MGkHABceme1npTFW7OHavnRAPc5XP5ycrD0WoQ/RIQrn/7mg9voYwP+6u2PkeUHAJ7XvzzYUz4SobhRGC8Gx5PlwvpU2MxYMcZya7LcS91jQvOuEo5p7gvLFVNc9wosZ1J7XE+icAFh29KnbG3tohtjCY+kkp77Bi0HpLSs8Bi6GS4rzCRM7GCpBpg3Rjl2aiNKZdRnwjOummxyYnJqdIxZ4UxhI2y9kvKbW1JLLa7zeIytGC30GOM6ZteE90pkZiAsO1Wto/HMxCIAp0LXYV9im8WhbTiCF0rRT1fkubHh1Ispl7phkkYnNQVIZqcWTWcUMXFnEEiPxYWlHz2hG2AhHOzUppA18MnRJltgkdFRYa3Qnm0b2wdrkbHYhXscjGu3LazDIAgXW9IUjllT6JiGvKmyEJ5zzSTx7eWWoPEGiHHgj8kMnzAGohmPsBePBsQxJYMhqv2QPXd9cHINnCCtNRKabFXj8M7jzLxLyRtgP64GTiKfZRDQAS6hQoRTmyShsGnLHOLRXoZcYgfcSe2+RKo0KNkXxKhfudwJ07DO5SKSiYwQ341CWpEBBfEm5cY3aZc9og7HZgWlyTXZ2QGLxZZQJqf5u2x57MQinkOvJS264Jp0BPRDSJnwVkYkWsszQQnC7yQgUJ1JbZTpDUiJDSe4jVAdDsBQlE4JMYCHM/719g+RzQoUJ4TAqTSAzzWVQVIoJBE3+ayUSoJQw+rqKFXmvFCDJrtcEr5UI3xZ9ugwk6fZ0k4uLJXWllFbIt7NTkUDsciUMflpyj871TXeYye8QKR+lOXcOaKh8HmBhO7wLKfKRryxycAKhggcGoF3QBXlXiTTmC2sMhdJSrWjCRUwOc4oEqUU75apqimyykeTTbGLwqcmZpdlLhQOxTqknN0PSMvi+YXO+tLl19Y7TELuSiFNBBeT9KvDt2qTdoFOBxLXlygLhRJsS8D2rLxJpwrsNojecACHB9WwgPHFMXgtK6taxWLueZc70QzhrW/sgroiy3gdlDBDxmPpImUcRQdsKDpUZ6XwzuLyOQxHJkNWgE0+2WQxiezuyGdS3qUjRn5w/GwnxaFzDrKp7C12JbVypsEijCkHkTxKg64q4a1xi/Ja262zi5XdUc2Pll5cppL1tdlWIsYcrOYFchaSRF5RFTjR/7BKY90B6wodpeChX7l6xngPM50vDwtvYcsGds2gcraoJG3UWBcqZHEZkDoilzi3RxniJYrIVA9xtPiwcDgIj2wRACmDJGsXjMn2uK4ajXsRdG1JazRVBWYGFZiwyEqyQhqAWJEEbHrebKOGLJX/rgHhYG6vRF9kWxyH5Rn8uXSqekFnvI8DpUUGd6gxC2+kHgeCnafSXqC04uiF8mMwZwWfZYnYRqBeegkEqEPFaNaCpbwy9f0+SCkMwYUH+6GNsW30zxS7FCpGTXL4F6bCh9FUESh0pl0O0nSEGDZTCVEvrKI00HyQnLIJk69VApERVxTa/l6hNsboNwyDfCgShUu1rqueQ8GjhYYZYd/SUhp7Pl8KUpbl9dh6p2b25HUNMiCkFGqgRIHlwAX7iod/u+jrERrJepj5jbIrIDTwglfMYBuJtBBEgTxEcI0QSBBibduorIOgt5pbOBSJUma7EtkRVkEds9y+kgyWUd/Yt1taX2Ml2NnulsGtI1zlklB7+AX42mRIRW6UjNDX6EjYE80AmdibH+M+hbKu4FOzfbg7kFK6dP+rWhAe1bowGkUQVOCWyiLwWrUpL9By6OozRjcnus5gfamtUJ1gjpSwhXsE3Tp3rTQvuoi4FAREbsnzDogaiqP7kIjPAbGHS027MTGf4byUdGFXUal3R57uQSipse42KKKqX8aXsfFEc2pWoP6U2N7YWL/ElhSMHALHjhewGfSkCMnKLnRm3XfoCq5xXcDPJOGZVIPuJSl6sH7duwAKtoWMrVFi5KMTe2fxXKHqwmxxoVCSHzVXbAitK9x8MZXccjgjGjaHWRy56FXLocgymIvcY5k7MpgVciWYQJgdryh8O2Lqdbqhw9tcvwoo6ZjuA6DlhudZ1kUVV6Gcg/C07B8ZylXeS0VSgasNDgphlqnlyVFL4k10vyr01yXUc1TomwKvOegOfVHFckmigo6OPdkU/dQkj3TO7peK3XlI7KA4al66JiTeLVRczb6IPlpUqJGM8dfc41FspG9NNCdbU/PjzlndnJ6enZmdmoJtdPVtfHf6Tdlqt2ca7YmZOVSb0AtB9auxnZlst1utmVZ7qt2amp2dmG6n9JwrsdPfnJ6aa7Um23Pt+esAKcoiuU43/8ZEC/9hACgvh9ttWSdPheB3nltfWnuDreB9JGenLuECJywu9rEb7e92pCtW7Wym3ufu9Pg4/Khpdpo8ahb9cdO9jhpy40Uh49PJxGwsutE0Xlkm48b0fJs3+NTsRGNezAv89TtJ4vnZ8QRNyY3jpPPz83NTMzd6ruj6QU4c9jn6RqREBx+fgjUKk7wqdVwfFujvaoC5KsJbUnx2sEhd+hlvBV5UyNbiTbrbh9HPlbW+c/MyKiqWvYxtpDIJnr5xsEvs31XYQtVVcAHPQt8kq4PI+yKlrOK9IPgwWXbZW2Boh+5njbPoEjHrwBwT3K/x2nE7phN+Cv1T7bywyyNk0MQ1Zvx+Uvg/</b:JenniData>
  </b:Source>
  <b:Source>
    <b:Tag>ShrimalA25</b:Tag>
    <b:SourceType>JournalArticle</b:SourceType>
    <b:Guid>{0f8a3403-010e-4299-b623-b74c0fc2ba31}</b:Guid>
    <b:Title>PARSE: LLM Driven Schema Optimization for Reliable Entity Extraction</b:Title>
    <b:Year>2025</b:Year>
    <b:JournalName>arXiv (Cornell University)</b:JournalName>
    <b:BookTitle>arXiv (Cornell University)</b:BookTitle>
    <b:Publisher>Cornell University</b:Publisher>
    <b:URL>http://arxiv.org/abs/2510.08623</b:URL>
    <b:DOI>10.48550/arxiv.2510.08623</b:DOI>
    <b:Author>
      <b:Author>
        <b:NameList>
          <b:Person>
            <b:Last>Shrimal</b:Last>
            <b:First>Anubhav</b:First>
          </b:Person>
          <b:Person>
            <b:Last>Jain</b:Last>
            <b:First>Aryan</b:First>
          </b:Person>
          <b:Person>
            <b:Last>Chowdhury</b:Last>
            <b:First>S. A. H.</b:First>
          </b:Person>
          <b:Person>
            <b:Last>Yenigalla</b:Last>
            <b:First>Promod</b:First>
          </b:Person>
        </b:NameList>
      </b:Author>
    </b:Author>
    <b:JenniData>z:pVhNbBxJFZ6ELOICdxA/RaQIR/JMxp6xY3sF64ntJE6yibEdZbMIiZru6u6Ku6s6VdW2Z5VDkDjCBSEUaVmU5c6BC8gHEAcucCDZLEgcOSJOcEFA9rDfq54Z90zsjbNzsD3TU/V+vve9773x9w9qr8WpDrjT5qB26l7OY3GzyLrC8FakjYylOpPlYXRVxkmKH2dxSvoLUiv76MsHtdNht6v3D2pnokTQiedv/Pf5T79Xq9XCVETu+fI3niw8xrvA6fz58mz9XbyuiT0ZuuT58qUHF5bxtuL29CsabP3x/b9XDd7O6bMJDM6Jx6xq8G42YYQXT/18JMIHrYeTGVx47z16U0mZAp7A4NLiz0YNvvX7yQy+/tdfjBVlQgy/ef/90Qg12X+5wUfk9yiDb3z+MX30ykU51uDy9pMRg+bXJ+PhsQY7Z/88mvK3Jky5868Pxnh4Mtoca/DS7z4Yw/BTGPzlDgFfGlz54VMi3tDgd39FfJggwtW3n470cvKXCVNem3pCIVWIPSFt1v7zbKTKD1on65RjDV7+w2iVTyoOxxq88uORKi8/+xEJ+MsM/v9/XyW/Rxm8+vbfRooyccrrjaejM2XSXl7/6MPJxeE3vyUulwav/Wmkyl//x+1XNzh//9v07kiDS+qfE6Z8/dGzMQxPUuVPMHgjGhWHiTvlzfbTTzX1fkJ+jyrKzdMfjnTKd74yLrDifqGd6J3594rOMq2YMEYblnPnhFGWSRWkRShYJq2VKmY258pO43E90MaIwDHXywWecBUyGyQi40xpVedhIoxQgZhme9Il7MrGdr3NbKL3yApXbGamsXjxHAzt8lSGzAibY9cSzHAnGLYyFugsT8U+E/vO8IA2Mea43bFs6iquC8d42phms83Z1vkG2zY8lHU6xFN2bevWTRYLhf3OX+N5bjRHbJYlfFcwsavTXRGyyOiMWUluGE5kuaPYnGZW54m0TmIBxLEAcSEEqRwTCpEFIhPKNdjK4fNQBDqky5lwiQ4tS+WOYLcKl0oFr3HBDVdOiAFCPjfJAQ9zidFFnLDY8Czjph4XMoTTSvjdwiEiWJYZbFkeGFmPJK7qwuX47H4BBF2PTd0oqrDM8ddZJ+ZmD4hUHwOtTSEPE2Gp4Eb5qhzihN9SAKoEDGNlhTyqVB1UYHGhgdrt2gZbmG20zrEut6JOuZ5n3R4rSqb4VGHKMo+SfyZjFAgGKLD6C5GBK4lEMVwi2NnthHBxTEdsy5kicIURZ0FMqnSMuoFKQKPoWgdoJUyhkEbv+pzgod1uLCyeYzE8+6DARV0Yjl0fYfTt4ZIR3GofW1cAElEFfhzQLqC7qveAi5mmGMFWnteHmEU6KCzDPdtTjhgblMhRbWAR/YBLoK4GzzL5ThUj4vuNG296XhiRCGXhv8G2RBrVV8o+80RGj3UQoGOXwRaxp82OXSpP9bvRd4kIEiXvFwhJKDgEU8i2EWBcV6Z1imfAupUE+NR1VB+gPcRjmlmyi1wlyOYBKZtcQhjwFuQwIkLJPYcy+OR1JW0G6K8XIPI457ZRU+/NF3QssWiQDhMQJfRPJR2ikIJOeD2BTaRQzeAwnGrHI85q5GzqCtfViNqIKCSHB7UvJBwcIonpffbdIdOQJ7VIVl6vaJAXjYI6f3DQ4VMmEbORJBmpryZgMZ5rWzpyexzEajWaYIZ1AhDtUTK+KhBioisvnFY604VNe/BMOUFavXJ2NtYJAfjROkXHbYrA41Bp1jzHrZSbWOC3gtrgRaZDgU4LJeGIjyFrLyhp2ahin7QOL3yH9yk5jTI5ocoQKgo4VDrkaF4qI+RUWaB0RE9Me2FzIJwb8UwFR0/TUfj1ESMNQdJBmg2/Cfil8GhXpDoXBrHCtw+KtLvo+gYjbTnMF8d8Nf1AigyGHoWc8DQtAqnK7/klvQtVNgpkyNcGuoChIeEWRUNv94Ok0IjMPOvKuEDdCBAMSz+0MMFsLoIh/VC1O9QugY6VfIf0bTxnqEOGftulagItTnlm1CmIzevUsK6FCpEyNM8nPECoNEkaB6SYKVIayUikdJ/IvJ+d2EdcBC6eopUwQVjIHR8qoqhg7k2CoygHxCENgQSukDxr1tWghecp9ApkpOHvuU11A6ogcanG5Zgs8U5R8z0xKBzb6GxurbGpDSg6hhvUsYMmgAFUefNQWcj0Vjk114b1xKSgNQN2+m5Lnro91L8HFYj99PZyqhU12BLrbK5cXd9eW9n2QyZIRluur8nAbqQsh7oMFtN+ACqVIyqjbuhPtS4PdtDitClkWJzkmEJtrt3o3GVTXsScwJwvlwosVRXFKtOgvCjflVsba4M4/X5SDjUIblqqYp0mLpVzyPB+o4KO1Cb9BiJjiL9/mtaQEG1MKgI+CnRiQdtWWYhyjfBSCkDoJp5gsg4fkWwkBksMMcYKxFMuh17lPGD1K+XysopxrONCsKmtK6vIqaKqd0SXrRLjDouJU3dW1/qpe07REgdaIVJCHkJuS5DIcXkM9IAgEkElKFIuK9CznLg536blpLINwGgVKR4EaKnAJ0Sex6A7nEUjCwV0Cm6Q6kzzHEwYbW1fYwdbC9IjMSFBHfry27Sl/WNx9px3hFhovYkkmpiSNCXW9FPlVO4t0DRBD6Ove40UcQuLOgI+EdNUrc80s74OCbMOKT6ofSYGrRO4fJgiepi4jB9twmZjroUF0mGh/hI3b8ldNoXxq0SastsK5TUWjD2f+uaX0GVY+AF91VDAAn+jiGcy7cVbiSFlFTGuqLijii60MTQ6FbUXT4fXKDB/VHRMDxkec1CuYJcLk8L0ytPJVoN1sGo1jr1wVygZQ2Z4eSHawFDWYXk8kCH+f/taEGq5/8WZZqO9MDfXvMDNvtxtzM7hQXNhfrYVSttVD/Hbqoc0RVTHo7se2tbiXLvZnplpteabsxdn5+fbcwkdQNr7O3fa7Zm52YXm/ELzHu4WZTXu9atRby5kedFNpcV8LwtyyoduXgR7B994sJAG4rZJ97+WOJcvXehHqU18Af+OvnAYbYypRt+zAMEON+BFKrbx9hQoJnR0Hc1QfYzOgQLjbBpgOwov9VZ0oVwNozYqv5OFd2hzLJ/2WbHqRWDJq92qIVAHqnurlMayA0kQNwfzcY3UoVfp5AjfOWVgH4YU6+fQZUdlhm2rktnH</b:JenniData>
  </b:Source>
  <b:Source>
    <b:Tag>JablonkaK23</b:Tag>
    <b:SourceType>JournalArticle</b:SourceType>
    <b:Guid>{7ebc18c9-99fc-4f8a-a4ef-ca74ae5e3534}</b:Guid>
    <b:Title>14 examples of how LLMs can transform materials science and chemistry: a reflection on a large language model hackathon</b:Title>
    <b:Year>2023</b:Year>
    <b:JournalName>Digital Discovery</b:JournalName>
    <b:BookTitle>Digital Discovery</b:BookTitle>
    <b:Volume>2</b:Volume>
    <b:Issue>5</b:Issue>
    <b:Pages>1233-1250</b:Pages>
    <b:Publisher>Royal Society of Chemistry</b:Publisher>
    <b:URL>https://doi.org/10.1039/d3dd00113j</b:URL>
    <b:DOI>10.1039/d3dd00113j</b:DOI>
    <b:Author>
      <b:Author>
        <b:NameList>
          <b:Person>
            <b:Last>Jablonka</b:Last>
            <b:First>Kevin Maik</b:First>
          </b:Person>
          <b:Person>
            <b:Last>Ai</b:Last>
            <b:First>Qianxiang</b:First>
          </b:Person>
          <b:Person>
            <b:Last>Al-Feghali</b:Last>
            <b:First>Alexander</b:First>
          </b:Person>
          <b:Person>
            <b:Last>Badhwar</b:Last>
            <b:First>Shruti</b:First>
          </b:Person>
          <b:Person>
            <b:Last>Bocarsly</b:Last>
            <b:First>Joshua D.</b:First>
          </b:Person>
          <b:Person>
            <b:Last>Bran</b:Last>
            <b:First>Andres M</b:First>
          </b:Person>
          <b:Person>
            <b:Last>Bringuier</b:Last>
            <b:First>Stefan</b:First>
          </b:Person>
          <b:Person>
            <b:Last>Brinson</b:Last>
            <b:First>L. Catherine</b:First>
          </b:Person>
          <b:Person>
            <b:Last>Choudhary</b:Last>
            <b:First>Kamal</b:First>
          </b:Person>
          <b:Person>
            <b:Last>Çırcı</b:Last>
            <b:First>Defne</b:First>
          </b:Person>
          <b:Person>
            <b:Last>Cox</b:Last>
            <b:First>Sam</b:First>
          </b:Person>
          <b:Person>
            <b:Last>Jong</b:Last>
            <b:First>Wibe A. de</b:First>
          </b:Person>
          <b:Person>
            <b:Last>Evans</b:Last>
            <b:First>Matthew L.</b:First>
          </b:Person>
          <b:Person>
            <b:Last>Gastellu</b:Last>
            <b:First>Nicolas</b:First>
          </b:Person>
          <b:Person>
            <b:Last>Genzling</b:Last>
            <b:First>Jérôme</b:First>
          </b:Person>
          <b:Person>
            <b:Last>Gil</b:Last>
            <b:First>M.V.</b:First>
          </b:Person>
          <b:Person>
            <b:Last>Gupta</b:Last>
            <b:First>Ankur K.</b:First>
          </b:Person>
          <b:Person>
            <b:Last>Hong</b:Last>
            <b:First>Zhi</b:First>
          </b:Person>
          <b:Person>
            <b:Last>Imran</b:Last>
            <b:First>Alishba</b:First>
          </b:Person>
          <b:Person>
            <b:Last>Kruschwitz</b:Last>
            <b:First>Sabine</b:First>
          </b:Person>
          <b:Person>
            <b:Last>Labarre</b:Last>
            <b:First>Anne</b:First>
          </b:Person>
          <b:Person>
            <b:Last>Lála</b:Last>
            <b:First>Jakub</b:First>
          </b:Person>
          <b:Person>
            <b:Last>Liu</b:Last>
            <b:First>Tao</b:First>
          </b:Person>
          <b:Person>
            <b:Last>Ma</b:Last>
            <b:First>Steven</b:First>
          </b:Person>
          <b:Person>
            <b:Last>Majumdar</b:Last>
            <b:First>Sauradeep</b:First>
          </b:Person>
          <b:Person>
            <b:Last>Merz</b:Last>
            <b:First>G.</b:First>
          </b:Person>
          <b:Person>
            <b:Last>Moitessier</b:Last>
            <b:First>Nicolas</b:First>
          </b:Person>
          <b:Person>
            <b:Last>Moubarak</b:Last>
            <b:First>Elias</b:First>
          </b:Person>
          <b:Person>
            <b:Last>Mouriño</b:Last>
            <b:First>Beatriz</b:First>
          </b:Person>
          <b:Person>
            <b:Last>Pelkie</b:Last>
            <b:First>Brenden G.</b:First>
          </b:Person>
          <b:Person>
            <b:Last>Pieler</b:Last>
            <b:First>Michael</b:First>
          </b:Person>
          <b:Person>
            <b:Last>Ramos</b:Last>
            <b:First>Mayk Caldas</b:First>
          </b:Person>
          <b:Person>
            <b:Last>Ranković</b:Last>
            <b:First>Bojana</b:First>
          </b:Person>
          <b:Person>
            <b:Last>Rodriques</b:Last>
            <b:First>Samuel G.</b:First>
          </b:Person>
          <b:Person>
            <b:Last>Sanders</b:Last>
            <b:First>Jacob N.</b:First>
          </b:Person>
          <b:Person>
            <b:Last>Schwaller</b:Last>
            <b:First>Philippe</b:First>
          </b:Person>
          <b:Person>
            <b:Last>Schwarting</b:Last>
            <b:First>Marcus</b:First>
          </b:Person>
          <b:Person>
            <b:Last>Shi</b:Last>
            <b:First>Jiale</b:First>
          </b:Person>
          <b:Person>
            <b:Last>Smit</b:Last>
            <b:First>Berend</b:First>
          </b:Person>
          <b:Person>
            <b:Last>Smith</b:Last>
            <b:First>Ben E.</b:First>
          </b:Person>
          <b:Person>
            <b:Last>Herck</b:Last>
            <b:First>Joren Van</b:First>
          </b:Person>
          <b:Person>
            <b:Last>Völker</b:Last>
            <b:First>Christoph</b:First>
          </b:Person>
          <b:Person>
            <b:Last>Ward</b:Last>
            <b:First>Logan</b:First>
          </b:Person>
          <b:Person>
            <b:Last>Warren</b:Last>
            <b:First>Sean</b:First>
          </b:Person>
          <b:Person>
            <b:Last>Weiser</b:Last>
            <b:First>Benjamin</b:First>
          </b:Person>
          <b:Person>
            <b:Last>Zhang</b:Last>
            <b:First>Sylvester</b:First>
          </b:Person>
          <b:Person>
            <b:Last>Zhang</b:Last>
            <b:First>Xiaoqi</b:First>
          </b:Person>
          <b:Person>
            <b:Last>Zia</b:Last>
            <b:First>Ghezal Ahmad</b:First>
          </b:Person>
          <b:Person>
            <b:Last>Scourtas</b:Last>
            <b:First>Aristana</b:First>
          </b:Person>
          <b:Person>
            <b:Last>Schmidt</b:Last>
            <b:First>K. J.</b:First>
          </b:Person>
          <b:Person>
            <b:Last>Foster</b:Last>
            <b:First>Ian</b:First>
          </b:Person>
          <b:Person>
            <b:Last>White</b:Last>
            <b:First>Andrew Dickson</b:First>
          </b:Person>
          <b:Person>
            <b:Last>Blaiszik</b:Last>
            <b:First>Ben</b:First>
          </b:Person>
        </b:NameList>
      </b:Author>
    </b:Author>
    <b:JenniData>z:pVjPjxxHFV4HGyFyQBwQCQqoiBQRR7uzM/tz1hFif9nrXe8Yx2t7LQsUqquqp2umuqpdVb0zswjJEUi+cEC5wBEkDkTiYkBIFoqEtOYP4MgNgZA4cXHMxUjhq56e2dnY7diK5LWme1599d73vvfq1bx3f+pMWxlGvbH3p051MtoWl/M0EpY35hbmY2NlW+rTacbji7KdKPx5B0NZrJFGu5/en3qJR5Hp3586HSciGDz+zqOc/WBqaoorEfvHq5ff+s2f8cS8yR6vXnvnKsGD6Enuk8erq5s0fDex8Rc/HXB78M+AUQL+/m5AGAFuPsz+/tkAr3/lw9UTgN3nAfzf1Udh1VMBv/ejgDAG/OhhsHxRD/8VFpWAf/vdCcCHebD8DIA33v73ZMhvvfHb5wh59cu//vwvTwAehwzAEx4++tNzZHn1c6/WAkQJ+Nr7G8eyOXfhw8ksX9c/fB7Ar3/8cXBjDLh+DHjd/jewcezhMp6eg8NogsPX3r94Zwz4ygdLJwAffjV8NwH48gsCfuMv3zwh7I++/wkPXxTwdf/2yUrZ/4RsXha3c+PF4LS4lkhHvDGKWEE5PiaCdMXAkdiatHja2fvuZeJYIlJKqObEaDUgbaGFpV4MFxxQlQugdIV206SdU0u1F0LqdvF1aYwmQkxMKHED7SnzklEFKCyWfLjLm8xYK1xmNC/WmmI5F05awUsfzpJoULze3W3VVpamV5bJdResqQ6vSE/6xOSeuJwl2IsLZgow54O/7QFhVGvjj70EGPWTXmB1lntHqBUks4bnTPAa2QdusS/N8JKyZJpITVLjPBCdQNzwKx96QpxMM1V4zqzMvDwokNLMExoF5wKOH2Qi8CE1diNe9P10cDJnPg/Rcupp8JVEsIo8lRovQ3CkUa+/QQqmmNfCuQASAC/Ido0sk2v4uK1dEMmWpVmCDbywMWWiRtZAi/Q0Au1Df4AZSAv7MAjAI/na9JTgbaStWG1FhpQIZKw4BcJmjkk8y1iywu0hgaWrB9LloPIQwEMygrZcmQ1HtDALnW+5sdlQFYVNrTk/DKFZhGBsm2rsEMSSQAGOZNQ6YSfDCXYQPEFlEJeYHtQY/BnSHpWiGAEhPGgOu72ZeJ+5c7OzJhN6ZvR6JhAeIZM1LJglTIUYZyWfNZbPNOKVlWi+3hSN5fmFOouaoi7wWGdzy/WY15tnp0kvkQgx5CFGqnwe0lVQa/SBsJAT/DaTCR4qPjLem/RsSA0XqQnqUiiMwtGS0tjkKDtQPPL7NpVzc3O1NsSQRzVpZsNG75ZxvjsmbLY2LlM+LFFXgzJQwIKIPg0KnQ4EUcZyS9kgpLYJafWQJxPNlJLjRWUTYa2xIYinVLQuekrxZSmN//zkx4ygygqTGuE9Y7v3p76U0CiUIfP9n+2LoCxjh7UAykKRFuqiJKGsS1HFGqGz3MEJfBT9TGFIKVsKR0lBDZN0FYsVtVCuohrljQ+p4QLqKwpVCZbj66KHpeDEShqEGRyGlhRYQC0Jvhm6xFx9bnGmUU+RvIIGu61jEyYomsMv6+4oFDjiuIA/6GMR2hXSuVycEV56JW5vYpryVJFN6ZiBq4P4wKg8FS9lY8jd8TAmQ2O+Cp8F+jzKyjp/BW9ePf3XRNHR53+osBKyzrHI/WIxHAmapmFJHNNUqkGyg8I2uktFG+zoziVxgMBbVHa5RfRTT66I1uTQVr4jqe7jr11l2llTMxdEO0HRlkvWFESkOQbIiiXtdcqTHrpoYR/vJTb3sso4WQcd1qlBib5jXJJTslmrWsDX0b6Hxsma5uhRpFVlK9eDcHIpxr54EcP3Ssdh7lAmhbHarZENyBGCQT1U7bCBQ4cn1Jb+i0s0paoy2KO7D+5Z9uBeabwp4mpotmH6Qzu2R9NKOnYM9DNM/L5E11hD2VViivMHVLvSvEU9ouuR3Uquky3IUCh0kGJF+7JkBsqsNhf6UIHxMj07Rx/Yoz+k1RFuSTU05a3ajUovxFae+VLcSHk3t+RStTwujvlgt5JK2YntdCyj9pqSLoloZQlcsjlmEJzBhyMZURwylWG1d3Ge4JQuQ1vT1aZi9+hXqgxN7NBuHlVytSvLLLBr1FQWdqsEC0oPm1dlqkU7ecpHNSr3KE4CLkRWSWtL2DL6aKuS/E7LSMyGblxwn6qYlsnBFe2WFJxX8tnGVh7dMyX2OuYWKw+rzOMrQnVlmYXOugUbQpNq5+MrUqix4y2c6lRUVjLaNkbAoW23RQddtArFq32XaPNdcyAf3C3zs246VFdKTl5FiuVtnNzjBKW5UM/wvr1X9OTSHkcCMxG5XGku9yBojOGjeJMriVQyyyqV2ikWWD+u7rhFLQ7pSr3uJeWBIXZw4Fbi8r0Ukik5gTeaV1IeLJOxqSbnqzvGRWFZqSmcKEAlN57R9m8c/VF1R0ygo1vpMF0mlS7vU8vL2HYNhq9KRcEQe5d9YE88yxJjxDgXCK6D15XW4lYShoZSGQN1INClK4/jSev4pqTmdmVXZLdk2T/UViIOMcesJSmtzEiyx1CRHrNz2ZsDcc9QdRsaSnE1HR2VNbJTXY0XcMMaMcK2q6kT+wkENLTTxUDQw/TFujjHq2cORaU7lKVCGPgemjLJ8dvXGcaNtI16rVGfX5nl85zX643GfIdLF+k7+N/p9+Tc0vziTH2leVOF28RaMURuc7e4VF9eWV6oN1aWFprNheXG0nISDFAB/e7+wnxzcWm5MddsdoqpsRg6Oxg652fqDfxLszwKZ9Fo7jxVON7/2lUzQC72DGZWX4zrG7gRg2s76GL+QQ6YuG5V/9ujiwJgXM06VlxphJ4NE2S41YT6ZQpdPp4Nm85yPhFe2+VRuJuCp25peA2PpzBiCxNfghwnXwtMuWoAW8VAP18fbOC24l/5ubciDmWMu/M+hn83fH1zOB73e42F0RWkGNtxdwt3GFdceXBD0A4/SKZPjunF8B5+BiiCPoe7ArbBYD+8ieAq89QLwPGFIkY9S+bu8BDgF3DtUf3XR2Qh2QVPTyb8/w==</b:JenniData>
  </b:Source>
  <b:Source>
    <b:Tag>NorouzifarA25</b:Tag>
    <b:SourceType>JournalArticle</b:SourceType>
    <b:Guid>{49aec344-ed8e-4f5b-858e-97be2cf5eb43}</b:Guid>
    <b:Title>Integrating Domain Knowledge into Process Discovery Using Large Language Models</b:Title>
    <b:Year>2025</b:Year>
    <b:JournalName>arXiv (Cornell University)</b:JournalName>
    <b:BookTitle>arXiv (Cornell University)</b:BookTitle>
    <b:Publisher>Cornell University</b:Publisher>
    <b:URL>http://arxiv.org/abs/2510.07161</b:URL>
    <b:DOI>10.48550/arxiv.2510.07161</b:DOI>
    <b:Author>
      <b:Author>
        <b:NameList>
          <b:Person>
            <b:Last>Norouzifar</b:Last>
            <b:First>Ali</b:First>
          </b:Person>
          <b:Person>
            <b:Last>Kourani</b:Last>
            <b:First>Humam</b:First>
          </b:Person>
          <b:Person>
            <b:Last>Dees</b:Last>
            <b:First>Marcus</b:First>
          </b:Person>
          <b:Person>
            <b:Last>Aalst</b:Last>
            <b:First>Wil M. P. van der</b:First>
          </b:Person>
        </b:NameList>
      </b:Author>
    </b:Author>
    <b:JenniData>z:pVhNbBxJFXYgIQGkSLDLYYMQdVpiyZ7MjO0kDiJxNmE3f7azG0cBIWCru6unK67u6lRVjz05IIMAwQ0OCC1cOMJeOHCy9rBB7IHLsgeQkEBIiwRCgLhwA4tlv1c1PdPj2BuvfHDi7ql673vf+96P5+vbU8d6SsfcabM9deR+yXtipcojYaJuO9VG9mRxNC+T9JrsZQo/zuKY9DekLuwPtqc+kESR3tyeOppmgg7sXHrn4ZtLU1NTiRKp21nqfur4IzzFTpc7Sxe/98wWHsSGTFy2s7T66O/02HD71N4G32L7GFzqfIs+Ghn85fRPDmfw8qn/kYWxwZ8dEuFzR/vExtigpM8OY/Bf/6CHBkI8Hcbgld/HEwgf/fTlwxm8+uiPTYSffftz75/D+Z0vEahg8POvrhGk2uCtp15/+8kGlz6Z/JuYGRqc+8j8GOEL3/9MM8srb/3pAAiXPvGV9Yaw518pxgZv6p9PGDxhD8Dh0kd/+CMyMTZINoLBlTO3myGvHP/OQYS9U73R4HAi5Nutk83Sm5/ZPkhSdn7x2waHZwdvEKhg8MUTf6Ys1AZvvvzoILJ5D4Qv/vXZpmzmTj5LbD+Rw+9+rcHhuYv/J/PB4Euv/5fA1wZv/Dg6JIdrH36tifDiN/7z/mv5mr0zFvbd3/yuIZtL77zy1QMYRMhbdKsO+U42Rtj521+aWb7x7T/s4vDpvUP+dUPYEyGfO/nPpg67H3uTYnmCQVSKolt7Vcriq6easlk5/qtdstnT4HtUyqXpLzdHwMrx1V398GnxoNJODD708bVMWMHEJs9LJSyzwvQFc5rpUhg/0LiSD/EmE/gs54WTsWU6ZYLHGYsx75zhsnCMFwmzVVlq41hPFLiMe94A47HR1rJE9oWBrzIz3MqiZ1sMzllpdF46JnFAWNkrRELua1N5pZycdZUpcJ8r3asEiwZMkt8qdjDjod26tUy3uF1nseJGpjJMY/agEnbWz2W2kYkCF8vKO5NFDL9KOMG0YTyPZK/SlZ0hc0aQixzI+uTA6KiyrhAWiC8niQysqMEME8bgcmlEX4AYuCM2nOhJMMkNaAXXSUIRZUZXvYwZUQocSBgWidmcOx/AKBhCSTzW2ZgBZgmaM6FKlstC5pSKnCvczmHkxp3VFX9BE2hkI8+BQVcuxGgROxAjARHhiskvpYCAIoPEmyPGwHtsZOkDyBElVEIMcQuUSukNe4Gt0blVXO5LscG+qCsfHodpa6V1kIU3BQcb0mUM3gqrkAFElxohZp3YdJTpGOab/igPyFsiKGs4D+3Vp8baQhDwaJiO7guw1A/kXmCnO9PsekLMp4MJE42r4BLpsRbIZOFDDgogQC12ujvNXhJeXfQR3g1palrAPfwuYxf4Ju65Y6etQEWUIh5rLRIgaxpW54Ar8DuSW0NgBrUnrNsl1EjAsI8+qWLiDRBmxwR416shs897BEhKBsOWKMH9RKQSEvVeU7lZq8PGGaqWVUQAHDQrNuikxe6EUsOBNQHZQZ520rRChoPhYVXiaJNuN7qGAgXyIAG0KcPsoHB8MzSHunu02JUg1GVSzjpdw8cvVDIRyofQWZz07+sQomHrhd4o6qJD8QgzLJiJCqI+0NeS3sbaGBgZhgrP1wtcQorJ7G2jnY618jq6W+INzgrpS97nbYaBvHjd8xbyJx21Hk/FHmIOekLmG4ephqoimdmnNQXEw9w3chOU6BtX0BOVXM7JO0VN3QdouaXuGiG6sdhmWITHRLNCQ3hFrKqECtUfn8V5ig7xoCwULwKQYUS1HpINbda3p05mddsYHHsNXIVopY012sCAcZl7qhNhmlWba2QRQaOpM98VGXo2RB9yOOx2/o+mUPmNMQMaMt6XRDZSSmVGx3kgMCAdKtiXYBGDMcqPP4UbNYTQuEUO5y12TW8AhpmpgQW4UKNWAhw2cMIF9xQTcTyOK+rknuZUkYaIInCoaj+U0kaIviHq1PkZMzFa0hTX4RIzpdDSClwE2kTnyLSXtBJJz78l6Cgv6qbBAsXAQTY6GBpgjEMQlBuUkBApANkwoscNJgz6PCDQQQxMP8RGuYLrYfAUneJQtEGl8UgqkihxmqCukGvBc9/GUSj3fEpLjXlNuOqyQaZTw3NBEoET9EFfZEDt6//xoCbaL/QGVhUwFL0KUwbhkAYmymkksFKWvh+gd1GGb3GDsXRreJMth4hOY/BbtNxVjAdewghtJYoyjkOW1gIv0mFjn+hapqJ9xwuAhkEFXBODadh1fN6GcSEYYaiNhKUpWKC8+/YKPyh6VBvFc30ZrI6LRfXwxYHL8nqio9NUGMR9Elgoe3Qv77NZRfAMHUQY/M268ZAjjPwws2oFelVNTjEPcMavD35Rqhsj3EQQF3iIRy4DhArJCnkFKphJaOztzmrY28Y6iLU2KG2vgJFS/C6DLj/az2Z2sRjKgKPLoz+nLIIuhR8T2DGAaChB8EzLJUsrEjzqIxSFpxut20MdTiUCjvIgSCkGsTePKDBOaTslWgQoROZFn6sqNBQ49hsmzAaxDBsJbaSiwDc9Av0CMYz3uqA1TDyJlQCasa5KqC37RkslGHNII7yN8CuWM/Ro3zlmlUybCavnJG73tQodixDt5mkjo83WhjKi85Wti9dvi77BIDDaUOvFbpSdFgqeEiySqxRBt91dmO20c0ovnAhzHd10e+qDPV65TBu7pcAx8vc8fpDVdmthTjjplNg8xc0XZJ+dvqJNIZRidwu/zwPFtPJikRg8sPBN+lulgHf8n6Y8l2pwf0Vj/X0oU9RKj4DGl5VMDFrw1OOHezfR6nghw0lxrcp5vt/Z5KqAQPzBdJmbuLL7nRSXubKUQRx9cE8qttxit1usD2FgJIRbsUzwVd6xONFy85lOuzV/fmGhfYabTdlvdRfwon2uc7aDqo6KLfxriy2F8VVc9vxeT1xnodudmzu70J0/N7/Ynp9rL3bPZXSCg771e/PznYW5zvn24uJ9v5v7hNwfJmS2fT4vqwirFjb5kJMjPgTzON/r9Ti4a9TmpzPnygtnhjC16Z3BV5NnxnB7toowMYiKdW5Q8Uqs4fEI1C90elMWSfO1cDRYcFbFEkX23OAKhq+bwmhIMUgwcpN70JQNb4fCWKWlqkddFYVyNWj3Zt0rQoev14ero454d/+mnuJPWKyJWwnBPoE+uVeQ2E0aQb4L</b:JenniData>
  </b:Source>
  <b:Source>
    <b:Tag>LiM23</b:Tag>
    <b:SourceType>ConferenceProceedings</b:SourceType>
    <b:Guid>{2ccac22c-24b8-4465-a019-666ef4d66c0a}</b:Guid>
    <b:Title>CoAnnotating: Uncertainty-Guided Work Allocation between Human and Large Language Models for Data Annotation</b:Title>
    <b:Year>2023</b:Year>
    <b:JournalName>Proceedings of the 2021 Conference on Empirical Methods in Natural Language Processing</b:JournalName>
    <b:BookTitle>Proceedings of the 2021 Conference on Empirical Methods in Natural Language Processing</b:BookTitle>
    <b:URL>https://doi.org/10.18653/v1/2023.emnlp-main.92</b:URL>
    <b:DOI>10.18653/v1/2023.emnlp-main.92</b:DOI>
    <b:Author>
      <b:Author>
        <b:NameList>
          <b:Person>
            <b:Last>Li</b:Last>
            <b:First>Minzhi</b:First>
          </b:Person>
          <b:Person>
            <b:Last>Shi</b:Last>
            <b:First>Taiwei</b:First>
          </b:Person>
          <b:Person>
            <b:Last>Ziems</b:Last>
            <b:First>Caleb</b:First>
          </b:Person>
          <b:Person>
            <b:Last>Kan</b:Last>
            <b:First>Min‐Yen</b:First>
          </b:Person>
          <b:Person>
            <b:Last>Chen</b:Last>
            <b:First>Shengnan</b:First>
          </b:Person>
          <b:Person>
            <b:Last>Liu</b:Last>
            <b:First>Zhengyuan</b:First>
          </b:Person>
          <b:Person>
            <b:Last>Yang</b:Last>
            <b:First>Diyi</b:First>
          </b:Person>
        </b:NameList>
      </b:Author>
    </b:Author>
    <b:JenniData>z:pVhdbBxXFd5AeOChjxSkStVFAtkp3rXXTmjSPpA0ATvKJoTYrtUKpN69c3bnxjNzJ/fe8XqtqjJSK14B8dsHxDsViFKKzJ+gQkLwUJ54AqRSXsprX0plBHznztg748Ql7kpOdmfmzHfO+c53vhn7y3utDw0To6Q3dq916nYuh3SjSPtkZXdgrB7q7HSaR4MVPYwT/PMOUTrcoE3mvrXX+kDU75vtvdbpQUwcsP+Zf+2/JVqtVpTQwO9fvPrqW8/gSHmT71/8wu9e/j4OaKQjH+9ffGL9JY6sZW2dEPDWp37SALR/fWNKwK+/slsH/NLrF08O+KNHuKgK8N2fNgCfX+NrU1S4+syrDcD1H/xmSsDf/6wJOO1Q1jo/bwB+8c/TAn7zF3xQq5DxpwH89y8bgPZvfDgF4Lr6VbPCF6Ycyvoff90AfO7b70OHdcAnu79lhEmF38PRSQF/6LmtCvA7rzUqfP6N+2v5Gzy7CnCl/Sfe1xJwY/Hv9V1+4FZ0f0P5JzdSAc68Hk9a/viH32mYw7MvHqnw1AkBP3Hpv023eXtKwJmdBxnh+NU7KeAjLz/cAHzWHZHNPQHfXXi7NuUGYPsfLzRafi4Y+P+vsC6bmR+vT2Sz8LWPNs3hL0emfD+AL73IGCXgYvuhBuCd9H1UWG956Q8zzYdUYKAOSHcK42n8wf+smpSEimWSUDYkJ3QmUpkVMhEyy4wPD0mcVEkR4WqM1EIZ550wA2FJ2UJ7nQ0RHAlvpc7Kg3CnsW7uCAoeuNp5ytQ43BEXyCVc0b9Nyust7cditgcES5kgL2TSmROLC92zj4tlaxzHTs4uLpzpiFvUVpR5MTJ2U9B2nhhLgDUj0etddyIni1eAFIUmKGGLhDdCWTOKwg1knZi9wgXXUBfPhMosuSJBlw5YQPSx9ELjB5jGOd1PSAC5zJLoTRKXEbF8c40zWMoTqUgk0g6p7ZRE8N2czq4Uspl66XFxrdg50uUSurwKjsKYpCNQyknf3P1uHewOwJk92gJzpvBV4xhYYHgyEIFgRdZjUsJLtwkGljUKjfTRpMvgCzExai9ULBLwYOspWQXMC77VGS3LE9KiXJ52RDwRsBJL8I/Jgsgc0svaonv2/KPCa9CCyxAHrjmMCBkDNg0GWumgFWiNT0fSy6qEdqght0aRcx2xguq2yM6VPDlfRBpqlYkzYYJhfnMNGZTEVDzJTNGE1x2ypo3bUOjkshhgRYIerGcSUyhNRJprhFCCZnIrh+0UGdQBtRtHJtzFhI0yr71y14jXYhpjEYZYwcAqcluJneA2WafIWySRKECQkkVofhRjPoVj/QbK0VQ1noqp2VukHQZSSutuuSFtxFPbaz0Qy77D+io/Pv3QpQokKlGg5TGoxJRRDLQsrIGeIZ8b0hcWxz3gFnAWcbOcBhc0e6N38wwHHXpCaiICf8wTbcmkAE04i6lqW6f5QHewFt7rCFNNTJ7ie7CmHq/UJOP1EnSW+z8zd5DDsV6lO1zJiFIoEZWAmMlslcxlX4et4XHKbCw8bft2TeJhinNQY5pLK3nnR9rHAnsf9oy2FVHEbRzdso5Y5RrCWBQ7HFmoDiXJxJPNgghdMJC7fGFOREUQaLlwpdcGr4T14gTbSVV3TfaJTjVPLPhgjEQJnwdFUbWOqANdJMRMSsvuO7HojBuqe2eNggAI1+uzLrEB/GsToiQYrdouqztUoIo1Uou+AVEHrsQBYaVNZfQEhjaI1xduCu80lebAJZ4YKAhTF8x5pIdp4GmFU7WRBUD1EcEZCp5toSBGNhqMEBX5wBPUtJ7BgCAztDCwMiXuZ06MSGCHEr2DT4gu2CHqRP1oU2OFoTE0NNPwu0O9dMTnCzCW5tqGhWC7wfKCOWiu1grj9TF2KGUwKPsWKTFjTFTFZcnwwBp+SpXPHCRjY4Fx8gZgBx15jClor8j55sXuJxvepFNQuRWGK/BphQXlQOzj1kRn4OFz4FBhPTi0UkGpNkckYu9z99j8/BAZin4HSplfvdRba2OJ5+sNdfBY4w2n6AoqH8JDzrUXLqTweSaQ7NVsYPCmMoRBwSbdLsG/Etp+MhhD2JTw2sBWzmYIsrLQJTpAz589JPQ64f4oLPx7mEzCea3uF6zir/AbUoYB43MwkKlOxv2epiGbyeC6znZiHbFxhRfwZpxahWTLwDWpR3RsID2tKXVlKF2GvPrHQl6TWRmnkfvN3a8+RdlxsdFl+HgZHK/i6zDD7I7D7emiwn2aQ8fw9GNxnwJlZXB0RY+rrpSO8PeP0yoyevvh7kKne/7T55bmt7rz/EDoUJolOR5hOutcWIy062e7+N9lu7HJKUPH25sbZ5fOXzi3uHT+3KO3cakotXCbb28vdPGzCRmbwipat8n2/IG0pEpkhqkmZjjuGDu8R74O/kgzxLugH+do4xQ/+Mzgms6id8hjW8ZoLVHsck+ML5si8x/xlir5RBtYIhfOfuxspbqkrtzHYASHe95eLvBaEgm+SVwq95A3vE9+RPD14DWlq93zccN+hKalOMCHjPHarZXbjbj4B1WB1jsHrYPq0PF7s/0/</b:JenniData>
  </b:Source>
  <b:Source>
    <b:Tag>TanZ24</b:Tag>
    <b:SourceType>JournalArticle</b:SourceType>
    <b:Guid>{307c8d52-5f99-47c1-8842-fce1e8e66951}</b:Guid>
    <b:Title>Large Language Models for Data Annotation: A Survey</b:Title>
    <b:Year>2024</b:Year>
    <b:JournalName>arXiv (Cornell University)</b:JournalName>
    <b:BookTitle>arXiv (Cornell University)</b:BookTitle>
    <b:Publisher>Cornell University</b:Publisher>
    <b:URL>http://arxiv.org/abs/2402.13446</b:URL>
    <b:DOI>10.48550/arxiv.2402.13446</b:DOI>
    <b:Author>
      <b:Author>
        <b:NameList>
          <b:Person>
            <b:Last>Tan</b:Last>
            <b:First>Zhen</b:First>
          </b:Person>
          <b:Person>
            <b:Last>Beigi</b:Last>
            <b:First>Alimohammad</b:First>
          </b:Person>
          <b:Person>
            <b:Last>Wang</b:Last>
            <b:First>Song</b:First>
          </b:Person>
          <b:Person>
            <b:Last>Guo</b:Last>
            <b:First>Ruocheng</b:First>
          </b:Person>
          <b:Person>
            <b:Last>Bhattacharjee</b:Last>
            <b:First>Amrita</b:First>
          </b:Person>
          <b:Person>
            <b:Last>Jiang</b:Last>
            <b:First>Bohan</b:First>
          </b:Person>
          <b:Person>
            <b:Last>Karami</b:Last>
            <b:First>Mansooreh</b:First>
          </b:Person>
          <b:Person>
            <b:Last>Li</b:Last>
            <b:First>Jundong</b:First>
          </b:Person>
          <b:Person>
            <b:Last>Lu</b:Last>
            <b:First>Cheng</b:First>
          </b:Person>
          <b:Person>
            <b:Last>Liu</b:Last>
            <b:First>Huan</b:First>
          </b:Person>
        </b:NameList>
      </b:Author>
    </b:Author>
    <b:JenniData>z:rVhNb2RHFe0hGT6ExIZNQAgKCZEx6ddud7fHnrEU/BElmYyNQmxnovChVL9Xr1+N6716qarX7iYhMmKD2BFBAgJFCYuJxAqBhOQdOwQbfgCbCLHjDxCMRM6taru7bffIliP56z3fOnXuuefeKvtHh7XrPaVj7rQ5rF27X/Ke+FaVd4XhS6k2sieLR/MySZ+VvUzh01lESb9A6sK+dVj7RNLt6sFh7dE0ExRw9M3/HP38oFarJUqk7mj1zp/+8Wc8xU6XR6svvPnEB3gQ+zJx2dHq+utP4qk2sesnLwv44RP0qxPAXf3K1QC3X4nYFMP26hUB/1KfTvn7VwTcadQnU1764CcXAfzvh1+mvM4FfPN3704Atv71/8sz/PbRZwh+BPiLB5MpN9PfXjXl/z34eKu8Gz8gSmPAkiKvAvi3B+TkcZW/Q5JeAfDFhfc/3pRf/OX7Uym/3roYw7dp3xHg439fpkUB8KufvXmqU+hxAvBTlwT82kab6M5uvcsCPv7a6pSGb1iy5SUBf79OhQ2A3/jjk1Mpf++xU7a5LMPo3yuTrbf+xsunqjwD8K1JwD98nVgEwObPfjMF+ON3Tg3YiwBOMmxFv54y9m55saLMBGz/9b3pediiol8BcFG8O1UU897FijITcOnaO5MMP//8wmlji1cr7cTwkbe3tBGR7gtTZ/d40WPCMa4a7Ear2ep051gichySznAnmMu4wxfBjOBWFxLRvCuVdFJYplNmc65UZGOuBNvcsizmBesKJooo40UsEqw1uuplzAqVRsCUhFFnnJVGx8Jatp8JI1iuk0goy5TgpmCp0TntKg3T+wXTlSsrZxvsKWmdVIpt067CsC2dYFGDPa0NE2kqYymKeMiktZWwdZbzYsisqxIiyyUgNassJSVYwh1nPVHgyuBAszsEJcVNTzBeJKzU+8KklWKbm1u0yhNHRKrEQHaRKwXxFHeNhNOjlwGEkIaAksSHQwfn8E6SllVMN48o1Urp/bGKwxHJXCSyyj3qSFH5A7DC7iAOefz+eKELT94OC3xzMvZpWNQPakYsqUhxpOITMWH5jR2OG9GoxnWGGrdX2EYmo3Hlw9vuCnupmnrD5xrsTsFixa2VqYzC9Ylhxz2ouyWmrdMKi+ZWzpiqncwxXvVyUQQvhRsaV8fskSMSDxofK9mViTTCq4ZADiULv7lXGNbzQuQNtqNZqi3pHH7zz4NfnfHqscpkhYi84KriVM3gQ+ng0hNhYQu/NaJjFA1MIK33ZVB1Ikefd4uvsO3MyATGhxmn1N6Up3RdYXdPLe9A6mRfm73D2ucy3qXui93w+tJTZFNeFNoF7SXIQ0HFu0JRgjCa4z2oiR9TkN4PxvbJGKFEn0NzWcCouQeoM/QcSQlR8ZLJHM7p03KC9T3E0UHAynmcwXOhIykg6ATFEThq3jrL0Ch+kIAYSGkTyQKlsrIfekQMyvAU1olcwJkYDLQDT8COHLvp+24TklSYVqOuZjdI6DkQHoi8VPBf8PYzz+9EnToYCMqDrMOqAk8AwjP1SFlqgwqj7tS6RvS1qih3tFTo28ppqBHmAOga5Iyn44EEZl7DseoNdi+T6HL0PuYPpLCV6YuhZRlHmmIwSlgNYRWIERoXfQsBHYxTGVEP7g6jDxTC4IGvS2Q2+qsEMRlULHkJU4L+qxUhpjrGyDo2PAaiLUUMMWKGnMjbvoxnCO8QVKAJUpRjt3LkfMyyzAiBlxgrnMCcvU18o3W0YsK84dZOkOpsDX5B+yNrChpPzHEMmFNOm8dG8eabDh5To2ldGaRicjCgnKG8T1kWsaoSmtSweRElogSM4wNd6Dw4UrhMJ1rpHvUwmUIPR7zseSrQKRNrGFxkI0fCC1LsE9aJq8M55xEJYjQMwEUb2Ag4ZxKfyCUkznFiOg6DJCyRFuWy1Kn4KI3MuUEBMpo0Rc/nljAlczkCQAWsjqXH9bJVx0qfm1ED1cB2eyhqr5KJl29cZ5xwvsBhcCJZiyRjKB22LWmk4ODWSIQypN5UGMWj3i9xNwhzAfKEGQPDuIeoG+YurU8rMvlxQ9Oc9xt4crHBnrgfsARNJ6mXfKv1Qf9MfbwRMEjQZhj57LuVUa9lzpX29vx8D/JU3QYWzL+M+GiHwyN5ruZBsDM2YwNxP2woHlMviwR2Fj3M18VooZlTI9A5au5gIB7WHulhEmTa2ANUpIQ4T+MTJ3qzsdjGGeBw1n+Rm5dkn93Y0KYQuHjsFqBpLNpuTp20FRB+Spe1gucC39OU51INYxCEr/qiSIhvYrQStbNhYh1XOxkC99ZARGc8z3kyKz6hg2eEu62L3qy4+JlKh7DshUrDBbND83Vc8hzGPTf3hQiL0rUcdeMzWT8nT2iIdVCemV96lxv8EELlFi+sRt9ns8K7m6PQ3nNVkTwkv+5mNdp+42G5xTh7R2o9Wx2zjGWCfwhdjxMtB19YaDY6y4uLzXluBrLfaHWarcZCu9O5iV7uFgf4aosDpXGMrXlP3UncQqfTurnQXlpuL7dvdZq3bi53ljKKwHVhsHev077Vai4v3mp17vubqDfhfTrko2YrajXzsurC4mjM4MNrnrM567E9tLCuTCx2jRp8hRoBfRBoatObxz+45sd0e7bqumFJue9xg5ZTYgeP16jfdXpXFsnkawwspYaIVTHOqGR9uKGrwj32JWdEihOMjuV7uI1Y/7o26ob2+Qc1DYdTx8Zttsa2/VRK8ceJjO1BQtw+HaOjz8kEF56JTD4C</b:JenniData>
  </b:Source>
  <b:Source>
    <b:Tag>FuchsG25</b:Tag>
    <b:SourceType>JournalArticle</b:SourceType>
    <b:Guid>{014e704b-ea5e-46a9-a646-1ec061c70ed4}</b:Guid>
    <b:Title>Enhancing Data Annotation for Student Models: A Self-Training Approach with Large Language Models</b:Title>
    <b:Year>2025</b:Year>
    <b:Pages>2706-2712</b:Pages>
    <b:URL>https://doi.org/10.1145/3701716.3717862</b:URL>
    <b:DOI>10.1145/3701716.3717862</b:DOI>
    <b:Author>
      <b:Author>
        <b:NameList>
          <b:Person>
            <b:Last>Fuchs</b:Last>
            <b:First>Gilad</b:First>
          </b:Person>
          <b:Person>
            <b:Last>Nus</b:Last>
            <b:First>Alexander</b:First>
          </b:Person>
          <b:Person>
            <b:Last>Eshel</b:Last>
            <b:First>Yotam</b:First>
          </b:Person>
          <b:Person>
            <b:Last>Shapira</b:Last>
            <b:First>Bracha</b:First>
          </b:Person>
        </b:NameList>
      </b:Author>
    </b:Author>
    <b:JenniData>z:7VbNcls1FHahAww7lqzQDDP8DHHi67p16IZJSuh0SNtM46HDUpbO9VWtK91IunYuqzDkCVjxIizyNjwBbLpjwyfJTk1JuqOrZDLOjXR+vvOd853rny9675bWqZky79NJawN1t80jw0KlPGt4Q44tiSkTnJWtIMZZTaGy0mo762DFA2uD0uon8uyQuxnh08xajofHVpL27IvDw8f+S4YkjMpSCUUmMMkDZ9wYG3hQ1rBlpUTFkJK8x73iOjn40MpoXudQwXFllJlts+fEfENCIR7XuoOxaD1DIKG59+k4xQ3cz/0WwxkCwxOIUU3dcBGYLdmCO2XhuIEkl+dTCqobbTsWC9hivgVC7tnDo0l/BA/JxvtgyHF4gCXbkOl72zqQlOHGtCwQFxWu1xVYVnIBvpCNEpiN1I2zAjBT6vRMMjrQgut2bb6mUHQRv69RPbkthHfEJEW4NQjrv2L6NQq1mhPbP3g2QU9jEjQ15SazUM6a6JwB+MouWVhaxjXKM0C4QGFrcp4aYm0ilDPBveCSIp7IFJPKYyJ0qgm0Be5CNCydrTfIK63Wdhkvpt2/mUSQZBFRbrM9PHHmSVg85Pxbq3GJEEEpWCmJezWNtCZa1pwieBq0pYJbG5gj3cXDzHXjFAFcl6nJzCR8WxESnQqNChdwuaz0zQ3fYpoW5DikNANgXfbX8/qKt0mUlcd5oJkSCJxoW7Ux04e+oNYXrcmNidgvDV5rZuMoqiXO74a2InfC+jQEhCDom7caKkW0pEJTcSMirKvFYuHm4rUyXs0qhIf8beK5wX7I6gTqrPtoqKPw+5gCTXheyX+FEeUc9B/YuqZI1MbEeQqxQ35bLq2bX/Q+qvg0MiPCzQa62UA3G+hmA721DaS5iGNP8tvIynAwvNsvihocBLBH7pEp7UXv1oy34ND5s+by5tACuHW4VA0yPkNmuui9g4KcD0c4+fjDXyuUuHr+TUdPp6YtnPw5LKVBL/G3LHmtdEffQeIejVmQoYdKcymd1dT7r6V4gs4lO7Wn6RSMk7vOlg58RXoV9UfMZX2d5ey44o1yPNuW+9jGFc/GZcX9kSxfCiX9Re+2kFYti8F2UYzu7twZD4pxcW/7zrgY794bQn5Tc4ZPb86qOKToyun8+WhUFHdHX4/HY1w95S9fwKDNnL9InA/wuwu6cvumhNa009A1EeA8alhomuDfW2ge2fJ7ZeTmMaSERQxbLVQgud89sK0JveAI04R9RfI5XjQ+nd6moELk7eByFIGDQ+uXuzAO6vFq2vOL5D7bY8dRVZO1qvYajBM4yhq58u1TBtso4X+56L1XSlvDEQinSvI7ifuTo6rz8RXCjtNShZxKRVpmo2kxTlYNxrdpo+ZXVrgrJ8VgMNxN92YSk+SMwEVeYBv//c1f5497+KlA40ZQWYwHw+S23AN7UbRI/8gE0lrNYvT/BWuxW6T708+e8NA6RLlk6ii/diKjExKVUSctYq+LoK/+eHtFDHPQ+YHBEqW0hTL+0Wg8yPg/3ZMLzAxejWlk3gj+z/PfrwI/HA4yWaefPIgbweq0M487H6j2bCO5jPP/gWidPv28CqHx93d2IL1t62Y718hvHr9P/UDOY4pv/QM=</b:JenniData>
  </b:Source>
  <b:Source>
    <b:Tag>ChengX24</b:Tag>
    <b:SourceType>JournalArticle</b:SourceType>
    <b:Guid>{c0af9650-083d-449e-82a7-aa9ccf430475}</b:Guid>
    <b:Title>From Human Annotation to LLMs: SILICON Annotation Workflow for
  Management Research</b:Title>
    <b:Year>2024</b:Year>
    <b:JournalName>arXiv (Cornell University)</b:JournalName>
    <b:BookTitle>arXiv (Cornell University)</b:BookTitle>
    <b:Publisher>Cornell University</b:Publisher>
    <b:URL>http://arxiv.org/abs/2412.14461</b:URL>
    <b:DOI>10.48550/arxiv.2412.14461</b:DOI>
    <b:Author>
      <b:Author>
        <b:NameList>
          <b:Person>
            <b:Last>Cheng</b:Last>
            <b:First>Xiang</b:First>
          </b:Person>
          <b:Person>
            <b:Last>Mayya</b:Last>
            <b:First>Raveesh</b:First>
          </b:Person>
          <b:Person>
            <b:Last>Sedoc</b:Last>
            <b:First>João</b:First>
          </b:Person>
        </b:NameList>
      </b:Author>
    </b:Author>
    <b:JenniData>z:pVhNbBxJFZ5AYJddCSTgAoo2JXbRJmBPbMdOsgFpkzWK1sT2BjshEQIpNd3V3WVXV3Wqqmc8IEtecQg3BOKC+AdxQQhWWglkJCQQJw6IK0eUw15AXJAQKAL2e1U9nh57orXkQ+x0ddWr9773ve+99uv7nffkyiTcG7vfObVV8Vys12VP2N78fGaszKU+XVZp9qrMC4V/3mGbDCek0e4b+513pb2e2dnvnM4KQRsev/yv53/EOp1OqkTmH1/75Jkv/RBPiTfV42s3b/3+d3gQA5n64vG1jZ/fuobH1rXPvLPBFx9+jWxEg6sPP3C/ZXDzuXrvZAbXfnuv7eExDf7v+efo1DSD62/+bNLDDx0v5J/StmkGb3343/h/y+Av/3pCg2+cmQz5jeNh+ESDn7u5PBny38jhkxh8q6BXY4N/IvsnMLjx+tcnMfzmCUPePPPmJIafOmHIm7/+yySGV0+Y5dsb/5/E8C6V5UkM/uOFFoYv/1d9/zhJ+c+fPzhReg8J+Gjwzi++0A5549nvHKNSrj31d02BTDP4+fPFJIY/OF5Sftzy8BN/fB8digZfOPubCQ9/9elDGD77zgYnPDz3z7cmeHj2adrZNige1MaL4XuvvFZbxlNTke4yk7FlUwj9aO/bjt3kVcWZdCy3ptapSJnUzBdWCLYthswK7iDVXXZDWudnmPS0V+pCWKG9GrJUOJlrHIPgs4pLO5BOMJ7DQIkdjGuuhk66GTYoZFIwjkagHRsIpdhA+oIZuGZ6WyLxsi/It8SUFbdS54wzh19KsNXVNZjkUjsP3wQr6pJr1uNOKKlFl62Qy/ArMdqLHbg5EMzD9bg7nHbMaMEe7X2Xa208taxHe9+DdyndNwvPrUBwDivhNfWnKVfiAie0qx07x5Uz4VmmwCINm2A+wojba1/ghvPdy2xTYFs6cwT0UngrEyBYwoq33AvHXMIV70kl/XCGIRShU0JCc19broC3N9gjNAAylIe+UX3aUNbKywpQHYTnKIumzgsGk0mtQkwhYN4XlqM354T2QcqiTy4xViDdtwOcBbc88cJK5+FoZU0fLgIqPMGghTt9rmrew71pHVJGKEgtveSKOQ8mAvcsrG6urK4sv7ZOVhLh3KO9b4FoqegLZaqQ7APgWV4DU8ospSNlAoZ6SrpidMFk+mFpQHRkIjgTLPhhJRE2HIwQwVKJwHAaB/3ANCbGYIWI7ZQkJXQTYE155ZFlkWWRqTEVAfZZZEwolijunMxwb3SBu+3AenJNelHCBT6ELWUojOYspQwHRI5xidIvaZVrYWqnhl32CgWAlFQG9KDwG4bPArkK3KAKGwSlCCTgRCiYaSWjlfyZsNCwDhRC2gAwdliR1Qol4pCXULRIWauCE2sc1VYJZ3diXF12VwQ+IFFwxXOpAI6rRHIAQJN40ChgF0FByq9X5LjcYde77BK7AdWgGuM6ETO4qpAi8Jmzl5Y+TtFmuAHvmCKmRMUAS0vkFuFasJiuEdbCDsGrBZFL4jrkjIGjubDMcXK9yy6zVw9VMU5Nr1tSOdNDXCRtvSHgAB55zMFB4g6TCLSBYDq8Hhcf4C5MiszWJH7EgS2k2qNyDBnrsovdi92FLrtlgS+Qh0SX8ssBramLrFJ8GNIGK8RxZg1cAQ4l36Fd5CEpXiUsJBkOAry0BvUNhSotq7V8gOcgKaQXKexDEMg4WUPPkDZkHllOB8Zu73feX/AeKVTih0+9eIfEqk7oNPACGVnKPW/XbxCZRvcZCWsGaDmZxAXEfLzMI7kAl+A2KWaQRogdntUwKJM+gu5Yz6wZpA59I6GdwMNToMTJAjRkq5R0/NR5jVvYmoGWQK+BiTtPnC1J7eDFiL6A0jg/e1DZUXMy8FgG+isIIMCiNzg14dWoqBCi4sk2pcUNHWodrxJG2GXKDEh1/EidBCmCpgxFaFwNspKAgooF7Q2OJQLYBrJj4ywpXQN1C2WknAMv7E7rRJIJeKaFbcS74sgqai8FxCjsWIqRjUaZPFAn5xWRW2ofjTSacf9+I9YfY+e+SNf2sq9s7o4DG62t7OqM5gAwLPg6Wl/dpehoIGjvJDIGx0eLy7stxRwtmt3In9Hz+m4T7/kDPClA3DhCF96LPHbPg04BuCpIYEJlGoTocNqiw61kETEOlxr5URJ9GDoNkYPS3SAaxLiADAlNTW5U3q2GZk2vxvAwta+ht7ebWgEFn31QYzaCMEx2N2xtfApkD15iLXAUEhZ0fkyCMDiMFJs4FoQazJOoUWp/4z7cYmcsKwfXoY24F527TqkdJWj44QaIP4aUaYU76nMAW+EQ9iJq8hsMtKYyDjQbN+YZlmIyMHlIWpgOoa4Y1LZTMyC8R7OiRRcQA8Y9elWvhufoMTEBXUazbCbDXOQCcuFPC3HyKNEoQy+hnDdhP2m4GLe42BhdjYKRUZypp+zg0c82CQWhDuWFETYtLcIOTJjwPTgCzYiS0cgsTVpHGRbzSAdGfStcDSpPNpqYyXWE0FOYCzHdRmxJvNCWAh+NbnRiXONhRBFlJdHwwzAUR+s4EZvaVzUNvJEsDbPGnMeFhPQBTXjaJ2Cpgx0lAURkgtATstRMfDhKkjAWtFZSgkKW6LbUcTGEkvKSMDD8EclA0VrTRkVtKKoXMhlyTWZHrghqFIi6Nadp3pdo3ZH+YjQxK0SKabsKuckFhDMm7PoKzht0jLYJfLsEfY0OBp20XDsCUycoOIB2qAi7aAgh6vQzNN4tzC0szc69VNL8RkOFXYEg7nfenXPMG2huewrcRWA38M/YdK67dFF46TFwfZTbe7LPzi0bq+mj6Y6GS5aocl6RtVAgsPBV+nrU6LL4nWW8lGooltFqcpHjgBb3JDpiSsNCZ8rONT4c8rgz38AHgnDFE/duihQJjVY/a/7wExN3JjLF3/dOJ6mROx+Zn+suXllamrvA7Y7sdxcW5xe684uLl+ZT6Xp6Dz+d3itQVyh5sbN9d3FxbunSwuWlhctbeFVH1LaA2uLs/MLs/JWyqqOwN8CdCk7Zo6BsgwihHO9YtXO28L66eqFxwtj8Av4aeWHsTO7qHj4VKLjt8FWjxG08ngIlhcluQmTayxhzUUTYqxLUd/rKcBkjo+/gQ7PpguldFIuLq032bt9AXTVj5/UW302o6asHatx6R0ZCxYHWzzC2Ni63jYbjGT7/ZeL2UvL96aSeGikmtlakbwM=</b:JenniData>
  </b:Source>
  <b:Source>
    <b:Tag>AgudaT24</b:Tag>
    <b:SourceType>JournalArticle</b:SourceType>
    <b:Guid>{29f20c63-135b-44af-b483-36524ccd36dc}</b:Guid>
    <b:Title>Large Language Models as Financial Data Annotators: A Study on
  Effectiveness and Efficiency</b:Title>
    <b:Year>2024</b:Year>
    <b:JournalName>arXiv (Cornell University)</b:JournalName>
    <b:BookTitle>arXiv (Cornell University)</b:BookTitle>
    <b:Publisher>Cornell University</b:Publisher>
    <b:URL>https://arxiv.org/abs/2403.18152</b:URL>
    <b:DOI>10.48550/arxiv.2403.18152</b:DOI>
    <b:Author>
      <b:Author>
        <b:NameList>
          <b:Person>
            <b:Last>Aguda</b:Last>
            <b:First>Toyin</b:First>
          </b:Person>
          <b:Person>
            <b:Last>Siddagangappa</b:Last>
            <b:First>Suchetha</b:First>
          </b:Person>
          <b:Person>
            <b:Last>Kochkina</b:Last>
            <b:First>Elena</b:First>
          </b:Person>
          <b:Person>
            <b:Last>Kaur</b:Last>
            <b:First>Simerjot</b:First>
          </b:Person>
          <b:Person>
            <b:Last>Wang</b:Last>
            <b:First>Dongsheng</b:First>
          </b:Person>
          <b:Person>
            <b:Last>Smiley</b:Last>
            <b:First>Charese</b:First>
          </b:Person>
          <b:Person>
            <b:Last>Shah</b:Last>
            <b:First>Sameena</b:First>
          </b:Person>
        </b:NameList>
      </b:Author>
    </b:Author>
    <b:JenniData>z:rVjLb11HGXdKghASILFBlM2oIDWWfK9v/CghouDEzsO1XQJ2GoQUxJwzc86ZeM6Z05k51/dUSBjxFH9BQBVixaaA1AULVyzCP8AGULeoLCoeCzZFiHTR3zfn3JcTN02vo/ja99yZb77v+z2+sb9/NHcu1Sbm3tijuTN3S57KF6s8kpZ/MTFWpao4m5ciuaHSTOPLO6xSYYMyhbv3uaO5p0QUmcHR3Nkkk7TiwVf/t/bqHP4JLRP/YO2Fp79F72Jvygdrl+73f4U38kAJnz1YW//uS/TZxLEffcKAX37m9cOpgLfY4wOuPfXOz04K+PwP/702FfDrFP/xGf7ypIBfeftZSunJMny/gGtfeJ3ejAPufWfGgH/9E0U4vQwv//hf90814JWL56Z7uEvxZwn4j2cmefiZH7xEoD9hwH++QdRoAq7/ggKMAl557Y8fjNgnZrixdWcalFlR3nj3lWlQ9mbs4dXf3ptWyqwoX/v276fN4daMGV7/1J9PVynX7//nGCgzlnzDfuJvpwrK5uefnQZl5oB/2TgGyow9fOFH0SQoK2/+nTowg/S2nvve5Ai48tp/P0TAyQy33n51GpRZib19743TBWVn881joMyY4c7/35lWyvMfwg8nA774m08fm8sz0uZrdxYfoxT5cmW8rM/97ibf3mFLLOOO8ThTsi8Fi01ecssjLZmVHVdp75g37PrNvc7KAhPSlcpLpvDU5VxraZlTr8gFxj3jLLE8pvsOMwnzmUQw59n5t376h1XmVS4d09K5+S7by6STLDdCaofj+5Jx7QwTypWa18jCmk5UOV9gOYtqVlojqlgVKSIWTjkvC89M5csKefDYGizrc6tM5VjJO5bn0iMzXgjampee9iUqrWxzHeuyG+YA5doFVMKUY7FFeK6pUitjkxaoCRWgqO3tHffW4c9ZKS3ueTkvYsmEQSmF8ayWnuXcx1mzFlULk3NVMDnAesoNGTQ/M1X0je7LnFK3klYhhoyl6zhua4bgzEQej6nMDDB3Xq64Vr5GEJzVJM4OlM9YjkVoPsOWwuC/cjL0FPEGnqWywK10CMN4M+MlmgGgkTxSbDLtuFLGKlExdchjO3DNTKWJCOi0oC4KU3pKirOsjqwSzHnEl2m9AOwsYUSfRgaZ8cojrAeC48o7bULh4bgStJri5tRpKwPRumyzIN6AG056OtOBWJT1APWGHAJnWAUULPXKIwfZTbsLrK94oBzw6nxD6s1CyMECi3nBMqlL0EDhlt7xdBo67wlH5ECoWehBWTnEiXtiF1IM2YDiky303O0jJzqIRyqggzqIGJVGhdAHstKolM4Ap5pSQTCOBD0gSyAQA9pZmXIL+YK4AOkgkwhJhA0nGYsNyCirwDdCmUjYZet4llRa16ArT0I7GnYjo7QCVoK0gh0VirdUo6A1rRYp9YAKvRmhjsgskrSscthPvUJGQ1xo6VBmYxRxSNtpJHUb2qfcJZqAH0k9OThOx4TeOsktKIeKQCiI2De+gcylxiEFcT90Hv5AokbLmeCeM1dFIAG1lztHfWqgj3mnbFqvACDVg8KBV1I3aaPH5F8nGEBn7ACkl2EbAgijJrUCUAXhOlUCj9CNZqGB9QUzIOFOMCSoEazV2hxQW7E4pyIgGYiukAdD26uCalrBqBgbRkpHj0MLeBwbKzpYp+suEwfG7h/NfTLjEQkw9vXZX68bWDBYhkiaR5KYRzvRuKDxBP2lHMnhMnLrAr+npkxUVABzMeoiCj/at8iD0MPg4Vgh81KbelgSgM9AdLbNbUqvRVphwLCdprbzxI35xtmFzNHv4BjwdRif3Q/TZdJQyY5CwceURnRoeKeHGQ7LC6xTlskkoQb0sYq0NPS1McNH/RiablAHCtUgrAAPQDAhgDLZARqV8nKBHVBOfem8SknWhHiJmQmeke0mgfvgJZ2uYkXEncyf9Eu0gJ2GgYiege2t741goVDCxBXxPgipnb3NcZNW2Yy/ofKsbLTHzrdDuRnj4BxA27m5B9tqvGee8ZQq9iNrm7AXrMXcPAikArXD+RNQNfINM7yylgqEn3jZMUkHDzsc0UIOZLARhFSNGsE1lFcgc7SPWFaYotOe/9CBvOC6hs9MSWI0yBtva0Q8kvRwMITHaGRrNDFuCwae1fJztDnAgJk3AoCl1lRle6noq+CQI67IAQfLkTekZBqtkHQzg4kU9gUvD8mYqvBddq2yZH558L5AGt9gBRcjgxsOCeQpB0EWo+E03zgu4o8NrLXaUFHO6/cZTddAIThGOLRVEjk/GCcxtiE7um9h/pF4wyi2NvgU+o3709AYUT8N39ayW7ZRy5rLW+MtZMlYXjkSON0oJmb8mKOPuFEMoepqGBn0JcUGXRuWekurnQu9nC4cWC/tJoz2aO4jKQJn4OYh5kIJ2VwLo1L0uqvL0iuv5eBpbr+p+uz8usGtAzPkVoFKrUOD5zVFsypCbtb9hK7MBQiD70nCc6VreTmtBJdpMIo98jFhYeFzD6/Md5UQEE4BIyjbHdluhQEAWE7alG2ZONsHJu0JV2G1Jy4WW7zC/G8CAyZ71/gT195GIs1atQFKugweftLiZBevsm6Wp+u4nGF2nRh5N+NZu3QXn4wSjpXAHy/PxsKowWcv9LorF1dXe4vcDlS/u7TSW+5euHhhdQl39ag4xKsrDjNTYjcA2r+9svyl5eVer7eydBcfVQ3kdwH5Sqe33Fl6Li+rSCtU0aJ+JmRlH0Z0H7mbysbyltUDlnlfukuLbRbGpov4W+viOJsUtwVfl1TePrxJxVru4e0ZUFOaZAtoTz7GJQ3awVqN8SfFlXqd1HzG4xKDyYCBJG7DpFx4Otdy786jJx1mAEmxcXPUytnlkcleYpfZrq8EhF18nLGrU5OKJIUnwTTjOsGvbriGHAoq4mOw3EfWjME/UfN7</b:JenniData>
  </b:Source>
  <b:Source>
    <b:Tag>BillertF24</b:Tag>
    <b:SourceType>JournalArticle</b:SourceType>
    <b:Guid>{9765bf71-32c0-452c-b0fc-db4d4f8ac629}</b:Guid>
    <b:Title>Nano-ESG: Extracting Corporate Sustainability Information from News
  Articles</b:Title>
    <b:Year>2024</b:Year>
    <b:JournalName>arXiv (Cornell University)</b:JournalName>
    <b:BookTitle>arXiv (Cornell University)</b:BookTitle>
    <b:Publisher>Cornell University</b:Publisher>
    <b:URL>http://arxiv.org/abs/2412.15093</b:URL>
    <b:DOI>10.48550/arxiv.2412.15093</b:DOI>
    <b:Author>
      <b:Author>
        <b:NameList>
          <b:Person>
            <b:Last>Billert</b:Last>
            <b:First>Fabian</b:First>
          </b:Person>
          <b:Person>
            <b:Last>Conrad</b:Last>
            <b:First>Stefan</b:First>
          </b:Person>
        </b:NameList>
      </b:Author>
    </b:Author>
    <b:JenniData>z:pVjPbxxJFZ6ELOxy4ISEWCFRBw4JeMYz4xn/CCLrH4kdb2xvwFmCZBltdXd1d9ndVb1V1fMjHDAIob1y4I7EBbghccAXxIELB/4FtEhcuAISYqPV7veqezwziXeVrA+eHz1Vr773vu99r5KfnDc+n4RpqU53o9E3RJ/3u92uaC4FvNPs8V7c5CtrotkTnbVwuR+0o3aUZDrkTpvzxrWTgifioMwDYfhSrI1MpLqRF1F8XyZphj9nsUr6DVIr+4vzxvUoCPTovHEjTgUtePrG/7/7e9ZoNKJMxO7p+vIrt9/Ht9Dp4un6d37o1vFFDGXk0qfre+u/pZUzp16/LOAHr//67BMC3nn/X/g8E/BH77xAwE9BuN75HX2ZBrxDgK8S8N//IEjTgPaKCDf+8BWqxjTg3391tYCb5f6f5wK+RiW9QsCt5ffmWf4NAb5KwP/9aT7lO1cMePeP/6WivaQOPyXgvSffmtPhxpevWMPtb3P6aRJwZ+/whXR49NFMp6wOvk/E1gE/7M8ifPCFD19ANuuNt/5Jcr0M4c7P9udb75d02EunPEV4/8f/mW+9Nz4TKdOAuxvfnNfha5+p9aYB37z+zqwOb/517eV1CFJoUx3wLz+f1eGDV7/2bEDxbqmdGN9472jlmFlXRmMWyTgWRijHeFEYzcNUWCYVG6YyTBlnOw8fNZeaAbciYrmORLbAnBi5ZsQHUoWy2W4vLTBpWUkLnGZcKe24E2zAjdSlZRF32Oxsiz1KBeNl06XaWBbqXNB6h4ehVmFWWswAfOWuOnOB8QxLyyQFUpllLOPhqVQJC0QqVcTSMudqchwiLjCb6qFlBTJUTvKMsiiEweDBwlBQRpnAbophZaJkLEOuXDZmyJljZYsddZaPsW0gcGKCJKyHNxtEx/6RzFGrATImqD06qQZCwTM9bBphdWmwIeMqKcGAxYqIxUCO8mK3sJbW4r3MnJ3E3dvbX2CBEdxnKgZCMW2YLl2NgZ4+mzidjidIA3VGmY863WMqb8ERvAY4lA5kKiYyHmhD9Gzk/AnqvS/ClCsUImOPSnPKbu7T2y0Gxspijk/ObBng8QTq1lt3N5qdtQm/OHbpeCbHCyJ7DJqSSAUVYClELMxsRYG3i6KTHLAJ54GbXGbczKpimKIQXPFs/IQqMKk17gyEptCZdD4Fhzwd4iOW9TWPjc5xANQeCDcUiOIhLTCfJhtqcypQQYJ9bwRUJNO7tWAZILJ7hzvN7wkruEE3XPyCilMJ8COLdM6JfiOYDbFKgL/SsZQPSGs4MMHPBFoqIIOwQHkIgWbjqiG2pTrYe4h6Gwm8yIYwQcmF7SII5FwGzUzalNoPSpEFNEygKIaRoYeuTQIOn2CJTQEEfcjtaYUfJ3rsyNKfN66QxTr0DYvayojaJR4TRgrMbSFC5HjUPV7wDyz9nuMFz2qKKXGZNwseOhaV0BORdNQ7brENMEMM400gE5fCYWqBDJFNCGk7nBuM2dEalkeU7XnjSykPrDMIN77xt7sChYLSCRBV2ZbWoYY8kKB5TM1Dx6JSXuOKygb/qbRFzYynmRiRWk+QSG1kVMqEGwUKyMfAFuVRfYBkkCEyQEebquM5eIrFkI1RPCqcjvgYNuedgVoO+kwEDjP0gp3zGJtUEZXU8sMWHtQUVj80yTxQ96p3tcGnqtVI4ILBxoi3AvKWAeLzOlN8AjEtdl8P0U4GRpxqK+qYtiJ2Iq5Ke6GhxvDKIDFU3geJeKcuFSFwVAf6U0gV+1BeDWsKIDOsMQJQo5LadANSwY5C4AXTYsjHtICanfyJwVfweglfBdEqw0rcU8oyz1vVR9BxSkYZoYMK77FKwMm5wT7gIAG12C6tBdEFWfUCGwomRkXmCbxkiBG2ibLZKWSviwJyLBUKUnsxjC/LhCKbmBdTBeqZNKo+b7HHUAc1FZ0FlQ9EdiFwRPGCgvUpttprL7Tb7blMbC3GIbBCjdQoNTM5P8HrDnSPrVMoE9N6k6uSmzHrtrtLHvuhKJygkU6Pei22CW0UReabmLNcjlyJIwDogOMTnHGvHkPsodHgws8eB+9X8t1SYHainLGEGqZFg7TFAPPxAjyMTQArVSbPMdy9FSOH3CPCncATXT2T5rmWwOihzr9wE7+rMhtcHmjfHjXVFOk+3TYsu4mZaG+12HYJN0GBgMDDxXiAMCkM5iTPysqE6uGkAzobxxE3/qSodhVPTyVUBKZOJHlTC1jQQlRBUGFIpgbRg22qA+hlAYzt4jID02Cpc4W9vbiYYLaWQQusLW5yXDFirhYPuNJNuGQLlxYqt4gwO0QCsvrNTjsHdo/P7KpYnzc+l/DS34rOssrdtvEHW2i3+kvCSQc7e52bH8gBu7ml4WG4DL2tJCzAorK3MopmJKYOIvyU7oyK5wLvccwxScfJJm5PGG0iwRYVb4MRFMToTDSeXxxvaWV4VK89dJRNtTaUEf65/koYaTn6aqfd6q32++1FbkZy0Or2Ot1Wp99eW4qkDdQZXq06yzTMYsPnvxvZlc7KUru72lteWWmvLS+32901TDkBzxOj08e9Xru/3O91Vvsn2FtW9TohcTc7XVwzcsxB76F1ya553Ob5cpxObl5vm2z0deIIFFUoMSYX8b8Pi1O0CYaEGxeU/2kt80f4eg1KEjp+AG+bfSwcDGOMtVkoIeXN8ZYulWs4I7z5QEWPaXZXT2veDiZKuI0LxkWHADbciG5Vh/MuQ8nBA7yU/fA4gH18kbGNugdjXPRlaM8iQv0qVHpZjpilMzl+DA==</b:JenniData>
  </b:Source>
  <b:Source>
    <b:Tag>YunH24</b:Tag>
    <b:SourceType>JournalArticle</b:SourceType>
    <b:Guid>{b30ef9b8-3199-4b9b-af30-a070113c9c9b}</b:Guid>
    <b:Title>ESG Classification by Implicit Rule Learning via GPT-4</b:Title>
    <b:Year>2024</b:Year>
    <b:JournalName>arXiv (Cornell University)</b:JournalName>
    <b:BookTitle>arXiv (Cornell University)</b:BookTitle>
    <b:Publisher>Cornell University</b:Publisher>
    <b:URL>http://arxiv.org/abs/2403.15040</b:URL>
    <b:DOI>10.48550/arxiv.2403.15040</b:DOI>
    <b:Author>
      <b:Author>
        <b:NameList>
          <b:Person>
            <b:Last>Yun</b:Last>
            <b:First>Hyo Jeong</b:First>
          </b:Person>
          <b:Person>
            <b:Last>Kim</b:Last>
            <b:First>Chanyoung</b:First>
          </b:Person>
          <b:Person>
            <b:Last>Hahm</b:Last>
            <b:First>Moonjeong</b:First>
          </b:Person>
          <b:Person>
            <b:Last>Kim</b:Last>
            <b:First>Kyuri</b:First>
          </b:Person>
          <b:Person>
            <b:Last>Son</b:Last>
            <b:First>Guijin</b:First>
          </b:Person>
        </b:NameList>
      </b:Author>
    </b:Author>
    <b:JenniData>z:pVhNjBxHFR6Dg0CIEHEABSG5BJFYR9vjmZ3ZXS8QWNux12t7bRPv4iRCyDXd1T21U13VrqqemQ4SMYqQkLhxAnFBEXDixgH2BkggcUBISHBG8hVxQSAhKxLfq96f6U022WQO9u50vfr6ve+9972389291keyeFjq0WYyfS5Oe2lvaXUQddc6adRfXlmJLsarS1EnXU7TtdVkZdDrZsrE3Bu71zqzW/BM3C7zgbC8mxorM6nP5kWSXpfZUOGfd7CS4YI02v3o2b3Wh5LBwEz3WmfToSCLJ1978rm3HrRarUSJ1D9ZX+j8Hh9asTfFk/Vt9mAdH8REJn74ZP3yzm06m3lt6/0CfvvKb2cBq+dOAbj+6QffoFv7gIvbXyGnasCdex9nM4Bf/l2fXv3eHv7vp0eAm3/5KmHUgC/KPzQ8fP2Lpwv5RMCr577/j1nAV39I3s8D+LdbsyFf3rlFlnMAXvvBJxtZrp6hszkAN9b/+qjh4e6cIW/898d0dOTh54nSOQCv//KbjSzvvEIf5wDcHLBGUqrn5wz5xmceN7P8rTlDvvHnXzR7eWvOkG++IZtZvjSnh7fWOo0sf6CQ//SYBGAf8F//bmT5O2+cLimz8tXwcOtnvyY1mOHw/ethA/D2q681AKuPnS4pJwLeeeaFRlKqL8wZ8p0/tppZ3jqdwJ4IePeFx7N6eG7t6dPJ1yzgjZ87urQP+OZ/Zjvl0pv/nDMpd9/6e1McPsDUawB+/eXf0NFRUj5xOoE9GfBXP2nMlNfZcQ7Fw9J4UZ19/JJwgtt4KKxjQz4WzJkS8MwbJvSQ61gwb7nUUmcs4Z474R3zQ0tWzFU6Ys+zK8Za4QqjE7LipR8a22bdofeF+9KFC5PJpJ27WLZjk7Ol2aeudB7YXFVexi6c92bPB8oYcjcLR34oYBa8IPd4kuCt5Ix0TDpXCrawoYTWTHjGVXuRLXWWeufb7LbRAncVjBeZE2NsQ4oNSwvmHBNT6XybXZPW+UV6BVM8HjGTUtjaFdwKHVdM6nAmxlyVYVliOTBNYpTJJGBKJxI2qJjFIXGQ4RaeL7LJUMZDwHmhARKrMgHF5WBXxJGXoJs7B79yoT2Mcz4ClvQskWkq41J5hrWNIczDHCFwYCMEL/CcK3i/zwllps22jBUGIdaxxFZEtbsISHGbicjFXIlFNkQRRQ9LAPgKJwPQkxwlGIzipaa0sYikhu8OvgKca9xQFeNaG1+HKqY4juicefzOYqOUiMM+CYyHpQQQHgIhgdcDBTOZI26dMDeSsE1YYU0KEnCFK4RwrbTw3eaIpI6Cx3EZAo4V6JJg5jAmB+JANV5RGBDJ4iH8EzrDrwkKAmwRQE144FtzX1pBVykuW1hBcRh9kKmYazbmtkKqkTGemxBiISxYWbhUviYKHDXr65qM4LiqamctL2SC20aVB05evbeBTEi8TvIjTqzISqSElQVox2fY0v3j3RaYgpf0GLnIglFuEqFCE2CN12wiPTxHt2LBzxDYWDj8BQC/owJh18v9IhM5OikgoKYTPCBkLSZAL4wNyUQ76oTbBFnYJHdQBwVH8GBH7OPKjDIxQS8iR3TBi8ikET5F3HqUks5KlH/tIhICPgeCZSXSnxzzGH/VaDMhvlUJAhYcvA3ZDWQSazP9Rq5Fwbfz4bYp8TK0ReAqtdAHpEnJGN3ToLDNkomxo73W00M+cDiKffXUp67qsbRGU99xBVUwsaSfxEhG7aOD8i3Ah/MsxRWD1oMU4M2ICvWfmMIjHg7RRCOBiJocwqNklZa6PaFCxc02uxTHxpI6UmAoKRM6J0Vzo6wIdyDoSc6hDsRR6U1ONB/jILB2nGFS6mmIizlQixaq6cipV1DxEzGoO1NwJ1XVZtfNhERwEY7G5C8v0IAc8uLQKGmKYMJ9PquER3yCJNRuU+bYSIiCClOi6BoSaaHr1P0peNMeHLfZ9mFVzVaUO31JKTkSbOPudtQ/VXUd4/CwEQ+HGMLzIqi4K6EACA985AVFuEhdhb4L3tSDEaLrDLFRV0tSaZ5DgWGEMAPPB1XZZvcFSwQkpH5FPUFI2DkmCvEKyqFuR/SHAaJHRO0SsPeHzr0hKiSJtrkbsa1bEeKJemwzLyjj21URJAOJoklxE5oJSg76I0hLUzP2VQavHNecNXsFHqOAqKIKBSw2NBMU+y7mNNnUvGA8hJfT6IX5QIYZEgbM2yrzYEinmPIoFQxeiNoIOQxjOKiRy0my7cGlkDtTCE1tNuYSswkzYxKWHnQSHDQDJywKW6GRcK8ehwrOiegwGrwaHWeFCmJFkPvbDKaNsKAqDw0Oho88S1AtyJTgWDXIyTa7U6IXqI91huIAFzEUueYP21Oo5xPi1nxcCyUWl0KJKSTmaAbNVGOoXCU1zSusUCjN0HX1YD0uZ2LKCQzKbUEfSh3PTEHaXWrpqYCpBg7Mo9QKWufqOVSfvUuweC3GKNaYF6kbMNqWo24np5oGnLCbOjV7rQ9n9XbnHqm6Bq4FbUw67eUeljOPSD/L7ctyzBawFGqhFNvRCNk6lMh5RWhWDqBu1n2Pdlr0jsDPNEUPqSp+pdRoRAxeeb0y7IZAghNrlAj77zHbm9giatsrSGxlypNtk+t8eGC8ZYzePR2wuFmVVp5odw9rZbBLN0q5iyoJhrFM8KXaU3Fi5PTZbqfdv7i83LnA7VSO20v9Tq/dXe70O4l0A/0I/zv9SFGxY0CA/M3Ed/v4bm+131npdtdWOyurF7ud/pAssLVNR/f7vbVed/ViZ623G1bekK1dZKsfdXrR0lJelAPshNDROmFngtf27ckYHex3O1ZNz9HSjZ27dtPY7AK+JLxw5G6G4vVQGkQ/giLLWAkSnjOoK2HSm4h99jE2Kgxw2CpUr0guV1eQHH8GxYbZQstach8D2YWnrf2qWSGVvtJc76CGULm6B14qIQK3Dsb9GPIdBkCKP3cwYR4l5N1HsSW+UywY+zOx/B8=</b:JenniData>
  </b:Source>
  <b:Source>
    <b:Tag>MarreddyM24</b:Tag>
    <b:SourceType>JournalArticle</b:SourceType>
    <b:Guid>{39ccefa3-a490-4c5b-866a-0f9e9debd468}</b:Guid>
    <b:Title>USDC: A Dataset of $\underline{U}$ser $\underline{S}$tance and
  $\underline{D}$ogmatism in Long $\underline{C}$onversations</b:Title>
    <b:Year>2024</b:Year>
    <b:JournalName>arXiv (Cornell University)</b:JournalName>
    <b:BookTitle>arXiv (Cornell University)</b:BookTitle>
    <b:Publisher>Cornell University</b:Publisher>
    <b:URL>http://arxiv.org/abs/2406.16833</b:URL>
    <b:DOI>10.48550/arxiv.2406.16833</b:DOI>
    <b:Author>
      <b:Author>
        <b:NameList>
          <b:Person>
            <b:Last>Marreddy</b:Last>
            <b:First>Mounika</b:First>
          </b:Person>
          <b:Person>
            <b:Last>Oota</b:Last>
            <b:First>Subba Reddy</b:First>
          </b:Person>
          <b:Person>
            <b:Last>Chinni</b:Last>
            <b:First>Venkata Charan</b:First>
          </b:Person>
          <b:Person>
            <b:Last>Gupta</b:Last>
            <b:First>Manish</b:First>
          </b:Person>
          <b:Person>
            <b:Last>Flek</b:Last>
            <b:First>Lucie</b:First>
          </b:Person>
        </b:NameList>
      </b:Author>
    </b:Author>
    <b:JenniData>z:pVhNbBxJFZ6QKEJ7QMBtEYgSaymxmBmPPWPHSQgbx14n3tjJisTJaiHR1nRXT1emu6rTVT0/u0SYAxJC/IgLLIcVCKG98nNAGHHgikACgRBo94IQQiBxRki+8L3q+em2HVjvSHE83fXq1Xvv+95Xz/PF/crZjhdmqrvlD+a8ttdsBaurtdVFvlRr+RdWaxebzVZtkbeXm0vNZnt1ZbUTaY9bne5XTj1KeEfcyuK2SPlyoFPZkepMnPjBDdkJI/xYAyvpNkitzBvP7lfe57fberBfOROEgiwOnv/3736yV6lU/EgE9uDqud+ufg9PntXJwdXdr7/1Kh5EX/o2PLh6bXfnl3gsHHvmpA7/+RV8Ljh8yE7u8Ecv06bc4b2NLnmfOHzwCQp4hgjvfXfnasHh2jN/prX/5/A/3z9NMY0cbv30HapT7vBT/GPFGlZ+kfzlxA5vvvEOxXuswyt/+va7qeEhh9+cIx+5wyu/+UERFFa7TxU4WQ23fvjcNMLnH7scJ6DsvXlylEs1vKpeL6Hs/fw9RFh0uDb36VKEg39RBWZx+PbZMrEfnJyHJYfXvvGrIg+v7d6aMeX1F756qJffDQ//l8OD27RUiJAeZ3C48eMPl1BO5t9DDd/69bSXXwj+WEJZ3Jsxws2PvllG+cqMKG/+/tUyyg9ndHj9y8+VUb41I8o3rvy9iPK5vw1O7vDFr31oqjZbpz9YRHntC5+cURy2fvaHEm1m5uGL6lsl2uzenrH1bs69QjlO1eYfM6rNzbdLV8AxvSweZ9qK4Zn4vmBJKoxQltlQMC/ixjBfGpvKduamAqbblkslfBakOmaCeyGLtS8i1pc2dLuazAhrpeoYdv41keoq00pUGVfYI/o1E2o7zzCAsLYe7bDcdA2Tim3KjqmzlrNdrjKEkgjPyp6IhlVaX0sSoXw5YGt11qw32ZayIq1xpbSlKYetdVIhYgrfRbO9vWMYN2xtbICPxp34OOORtEOmAxbxtogQLaJkJms/yg8cx2SYF/IoEqpTg02V9QXrYavPLUzgSB6KgE8iOL+1tjbP2sL2hVB5mn2dh4RMbAi7QqGuv3S31mKvoFyuQFWWv7itROl5c1TAKtshVHjEtnnaEcWN5YWpA6ppeW3sLEeDIrxjufKEM93QnRiDoInzStQZcUOksIwZMmOZoZpRSjxJUg0eCHOJyXm2rkOh/rr3HcO6WOHMeDoV7Lx7XWWLF1ca8+4ACdvNSEhjYFy2zV+T8YXF+foRj7HgJgM3XMjTgk9KjZhS4JPCQz+UERI9dIwYWNCI9gNfq1mcRVYmMMy31dkNgTI4sEWcRHoIuh8OgkqWcJn2pUGj6DjhqTTUIJTb4QPJWPcweEdRIWDupRr9RS9dC+FgNECdreQEEQW6M+DUN9MDD0cDTmYoyLSrJpjpthEp8Tnk9mnbUq5AB9fQjXpzhUrSqF9Ycu7MlBJYW8zXVhbdmj/mCDWnL+kPB3CCcqFC5pnWytggq3Gufl+n3f3KB0LeJlZ6dnj24ZYPaxkMyU+GwM9BcBKpnPJQCHk0roMiDRtPK5TVuL9YXE9xwIqPPaChMwI3kR56mCuEQLinKH00ZF4qLeKNXBpCheTVJ34DQrT3a85hlcU87QpLOiR46oVVlmjIhtvocUAuOwok8zJjdSxQK1RaEnEQVhBJz+3UkVPOKjBB01kcw33EjLI5QaGsYA5C2nHlYD2hIAqD9JFpBIwySPaofIQDz3BsLkTEY0Du9GqUGlzovsBJcKJzP9C3sVwj7A4HGqlDjCvoIUJxKuaKHUI2J20xlkDq8MV5tmXpHCtjUUPkJovJR56HsdHwMlsiFTgGGE9nkU9AYGnoACTieFh0YoJjHLgQZaWlGRYDuuwOaOJwElxcUo5qUo0J0UcqYJwjjXOEYIltEo2XE8hdCagBL5MGmfgyCKSHZBGax+EBEQCPvFoonDKoqGMgjsAVYVESigbBgVJ0YRqgik+AXKIAdQRpEpniZXvoKJ8Kj/CFQ8TqEoycAh8G9TxdD7kck6REYsAUtxlJ9sQUYktOKP3zt7Zfms973YlVRHCTTVnnKdb8+iiTRrAwA/SFMo+dUwvReqCjSPfHQp9fibmk8shosu5Jn5YJQk08dVfALoEwukvcDCFR31FLYTuqKlVPRz1ANLl9c+jQ7yPBQY042s2Aa0cwwz9oKm7pWqJxAePa4JG47G4Ud/T07jr+dF8g/HxEOHr+WKfHtBlp8TEB6CwtBlBnd0nd+CN8t4LRoqcdRWFKQ9DoEsYkVLiOx+NQqfOcDONE0HAyMMDJhZVW3pA1R/HPCN+XthQVmlZEiUEeUCQnwBT37p2NdYZxhWPWqOdP1Ly4ByhhnygRYJ6zmcqJQi2VZpiBtKq5lxMV8AVdhbyNjyamCh1m73iKWK7lg2Ph6miNXk1ujEPIFC6smHfzyD14dZtH0bMka6PDoN68xyWAQyCfDa1NzKWFBa60GsaQ/HpL49KsG0+SgC6kC5RyrbF5YfNBPeKu/4S/gep0lhpLy7XGxZjUl0badEsFer9yuoMWCTEr7kUSEu/ZTfzo1G/Ul5tQHTT/4CM8fVn2aKZJlUAhdhW4mEIlhvMReXPTMjx8iSZ1xWOB30HAYxkNwx2eQhj8oehgj+rs6EzJLvdTHYnKUXP/NniRm3bvZO02d8APn2YerEPhlMw3qHvYhNKx9ZBDxJ62R1zPkvEZwQ5X0oRPjQZzTTe3FNsZKpwbetLHV4dnPF/LwbOLjXprdXm5scDTgezVl1qNlfriymqziT8j2moP/xu1FxJGaJlB936r1Wg0llqrzcVHWMpybB4Bm1atsVJbasUOdQN5z+E55WJKj5a+S3dtlnpiN40GHydeEC1cEDrtLOCLzoVpMB2S8WFCuXU57mIvEnfxeApUFDq4iWmm+FpY0H0I2wj6Lvxrw3WgZisYJgLcOjQ63McoY/K3I458nnh3CZMb8nHshaDNfS5TuOGhN+L13Sdz1MfFV3eezE065hlWWtp4MjfpHAjSNs0+xfV1rBeUIMjnnj2fcnw/1OC4imDsKlTkvw==</b:JenniData>
  </b:Source>
  <b:Source>
    <b:Tag>DerrickK24</b:Tag>
    <b:SourceType>JournalArticle</b:SourceType>
    <b:Guid>{3a594e30-c4fb-4dbb-ac96-403c9c7f982a}</b:Guid>
    <b:Title>ESG Sentiment Analysis: comparing human and language model performance
  including GPT</b:Title>
    <b:Year>2024</b:Year>
    <b:JournalName>arXiv (Cornell University)</b:JournalName>
    <b:BookTitle>arXiv (Cornell University)</b:BookTitle>
    <b:Publisher>Cornell University</b:Publisher>
    <b:URL>https://arxiv.org/abs/2402.16650</b:URL>
    <b:DOI>10.48550/arxiv.2402.16650</b:DOI>
    <b:Author>
      <b:Author>
        <b:NameList>
          <b:Person>
            <b:Last>Derrick</b:Last>
            <b:First>Karim</b:First>
          </b:Person>
        </b:NameList>
      </b:Author>
    </b:Author>
    <b:JenniData>z:pVg9bBzHFT7ZomG7cK9UoxQBiZCn45GU9ZPAlERKUfwTiaSspAiSud23u6PbnVnPzPLuUjFtiqQ2kAABki5AeqZKEQRIkRgugiBdkCKA7LiyABeEAX9vdu9uT6JgGxRAced25v1873vfG97PjztLaW4i6Y097px7VMqU3qmKAVl5OTFWpUqfL8o4+Z5Ksxw/3mGXCgeU0e5Xx50X4sHAjI8755OMeMPJG09OXjvqdDpxTok/2V7u/3gbq8ib8mR7/8Uf/RkLGqnYZyfbex8b3tnyuvR1Df76/bbB+7/762/PZvBg699sYWbw+sUzRnjwwYW2wb3/PzljhA/SEs/zCP/+C3735QZfYaBOM3jxNx+3I7x3/Lf/LBp86Wsa/Jb65k/bKf/xI16eweC3Ny62Dd76bOerGXyZEznNYP8nH7Ux3Hv4iTibwc2/PF6o8ufVV8PwuQZfX3nMBJgV5Q//PGPKV3/5mHOcRfjkO4zAGQxe/3TB4P2lC0/x8DkGX31eld/4/u/bVb7/4StnNLj9rw85+FnK/7v4VOu9RO9VxtNk6ea+Kcirgpyw5EjaKCOL50pjnSs5ULnyE+F8FSvsGSmficJYEj6TWviREZGJcWJVFCRdhRcytUQFaS8cldJKT/lEQFEFySgTpVRWmGR2SuoYjkpjPSzi8CH0N6WuuCFS0njO1c+C4PKZ/ch4/9+j95344Ij9e1gpZ0FVuVdlTo1loZworSmNo1goLZZv56ScE+tXX19fYafyFAe3TEY6OPjHn9hAqg5Jh9M78pDT54MzQ1f6KxynI6tM5USuCuVnpgYGMSFMPlEbCwHLPBexcjOMYJKxtASYYoGiYMOkK25WXpArKVK8Dug5KqT2KgoWS4BUwFckEpwE6kDyWbPasEM1BJy7nAibYZBRWJw95Lo4VQTMpCOOOoY/k1aoQ4R6yBRDMEWNFmyLAfkRwRzqL6OISjgJeFp6RDimtCdbWppjIYWnMV44EeVgGNwGBk2BC0x6vg+lE7NmAQ25qSdwNBp2xY4SuxWqqEz4/E4uUZflfq+3ucK5A1DOFsVCQgiDFwPKUElTBQ7O3UWGkkRFKkA3AglqMmpYqbOIpZecgCMQNAA3pBHFXXGAfYmyCC34WcVpBZqfGlrE1Q9RKBnYOcipWBUuM6OGHnPCTBTlsXivUp6ATJLAK+LUVQHQYEccyhyAPBOrsQ78FYW0KB22AVRv1aAKd5ZACkgCxx+j/hYB+uvhuKPIwHGNVQgFn04CijV3CfESnJKO+LEJHe5hUoXacpQqQhcKb9BbXmSQqRbG7YgLA8CakiDDwomEsak0WlcYzYT0lBqLVmCAYxpgzfEbbAmnqpqwgWyh4xfkSulYRTgQW3NI4i1TDKSNV8W+nmDn2k6FCiFAmXendEHIMTcYs8t5/MZ+8HHK4Kk9SAFw8pyOBLwTp1xXxCNjh8ed1zI5ANjonMnSd+9yVViCZInQRiRoXOa1bCK5DMmSTmEQtmvdRKOhCGjwgBX81E0K9whtVx8qazS/kjnSMKwLNbGQn9WSi7K8u39nRbj6XUFoZbT9/h2RgWupNaMgZGh3SG3YH3xE7G2CpmxUFNlXoEXYytByzyXWFCHuBJTSwTzoAqqFCAI1yEJbAB/MckZST8SgckqTc0iSIxiAYAWYD6EJeozJAAYE7mIgcJwhYbzENKjqrgO2XP2m1HN0ptAzNNOpc7qF4DpGz+YYFKgt4g1pMmOn6SGYFqEKDCmOOzDCAM46BgyKWh9TaHwDbzAeNdINoQoldg1jNI2aXQ5qA+5AoG0YJ4NJ8MclQSScWKtkokQKjGXInUcQtjE3ggDRnAdtUIPviJhTGLrBXdD6mdjButKObw2zQS4jayBJoVRgeoTRWafNva90lFcxVqVBO6kIwWckc59FrCCMIgRmiA6aXhm64geQVLYNZSQaBvgQG6pMIqvgZYEjoQahEyrvOTuKa8416C9sburTFDrkDtDa9Z4xA5iZuu8oXCvm95mIBVglNfRzJsHQ+lYP1xginpnNGJvryJRdsFjIuL6WGOjyVCLqsjggUYskCoFXg1y5DHHVZK9JzroBvw7zDk43FoKr24gl9GlrICVezVl+SrPNh8MUPFlCn/FM7lrQ0oUw3r2xs7uHQxG3h7ST2W52MwemwQujJrRR0+go0PSWlUudVripQcoxT1o+Vxv2cFnfymUh+6viYGtVvM2TiNXrbTWuH27ffefm7t7Bqrhz72Cju1Xr2b2DzW7O1wooR7zDU6Df62+trfcKFl6J/OxdXAiOOy+msvIZ5t0RLl4lVPc2foyNe92tDVxofU7jb0j7Q3Uolm8Zq9Ed4oHmoedQ2JWcrYXBCAv4KuCFWMuC8DtJZKHySbpDFoN2SOEKSG9KqwoMk5w6kYrxTcD5KDZqfGG91928srXVuyTtWB12+5u9fnf98uWtHlpqoI/wv9NHGbQHikXj4cPNjat9/LvSX38URm3I8BEy3Fzr9df6l4uyqsnTJHkuhGWfTWAI/oRGf2Dzsci8L921S00UxqaX8MXFpXk0qasGflJyfkPorsI17ADLcygtmeRNTLf2x7i54dKJvXmE2RzfnNzC1PUdXFID0SKKH2LgufrTBup3uR/3Z/S50Sj0tUYEmAy1DHCRn+JOi9CvihZ7wIUEf81Afo5ijv7lqDo9WczdVrJfAA==</b:JenniData>
  </b:Source>
  <b:Source>
    <b:Tag>TroianoE22</b:Tag>
    <b:SourceType>JournalArticle</b:SourceType>
    <b:Guid>{318f2acc-a9fe-4862-814f-bd91236d2710}</b:Guid>
    <b:Title>Dimensional Modeling of Emotions in Text with Appraisal Theories: Corpus Creation, Annotation Reliability, and Prediction</b:Title>
    <b:Year>2022</b:Year>
    <b:JournalName>Computational Linguistics</b:JournalName>
    <b:BookTitle>Computational Linguistics</b:BookTitle>
    <b:Volume>49</b:Volume>
    <b:Issue>1</b:Issue>
    <b:Pages>1-72</b:Pages>
    <b:Publisher>Association for Computational Linguistics</b:Publisher>
    <b:URL>https://doi.org/10.1162/coli_a_00461</b:URL>
    <b:DOI>10.1162/coli_a_00461</b:DOI>
    <b:Author>
      <b:Author>
        <b:NameList>
          <b:Person>
            <b:Last>Troiano</b:Last>
            <b:First>Enrica</b:First>
          </b:Person>
          <b:Person>
            <b:Last>Oberländer</b:Last>
            <b:First>Laura</b:First>
          </b:Person>
          <b:Person>
            <b:Last>Klinger</b:Last>
            <b:First>Roman</b:First>
          </b:Person>
        </b:NameList>
      </b:Author>
    </b:Author>
    <b:JenniData>z:rVhNjBxHFZ4NNuGEhQDJ4VSHCNmyd3ZmYm+yhoi1N1k5xNgrexOLU6jprumunequTlX1zk6E0AYuSNy4IG5IIMEl3DcXkLghhQN3pCgCCQkOSPxc9sL3XvX09Pgnawlk7/x0V3313ve+99Pz/knvfGZsIoN1J721g0pm6m5djJUbD69PrNOZLs8VVTq5rbPc4C94LNO8Q9vS/+ik91w6Htujk965Sa5owek3Tl98/7e9Xi81ahJOt7/6la/RtyTY6nR7b+1gG1/UTKchP91+8MFf8a3XOfbzzwL4dcJoAKe/Pl4B/OfPzgbc7s1+I1YAaVMD+NFn6csCcOcnF+iwswCvVF8mR1rAG2RUA/jnURfwwQcf072zAL/0n+/RuU/i8MFffv6dFcB/0b2zOPz3+PdkRgN4e+/Kxy3g/j/udYNy4Y8f0b2zLPzM357rAH7z/GAZlP0PGX0BeOtPzz8DIKI8X+GwE+W3Xk0e4fAZovypgL/8Fd36/wG+/YW/k6I6gP+jy29/d7Aq7McsVO/WNqj5+S/u2FyVnxz/1Is/fHhVIGuFLn2QZaKuindrWQY90coLmTmlClUGMVZhplQpwswKWZY2UPr7q/icil2jtPdAA5i4xNBiuLU5uCy0Fzp4kalSOWn0e1wBRLCiqE3QlVEisalyvi+6BtG2VE10qVIh+cKrorKf/PDHlRLD+HZVzHLlFC7T4pArYcdeuUPsqJwdy7E2OsyFnSxdiLZib7NBHVUqCXTE0knp8Z0sxP1U++D0uGaTAWTkWBlQ4r3OyLLxnJctyQCFqT7UaS2NmffFG2X0cj0x2CP4FazGKshWGlWAQR3IosQWRaQmkSapjQyKHJeJs9gMxAigsGGWaxCnF/BsVwcv5MQ6GLSl4sgqmeRxt/Cqkg7QZN9DHXLhp2oGXyJG12MA4fiCNCfqEjFSPuiCrFrSRXwCtS6UMHYmfGKxqi92cSYb4ZT0tgTvdciJHzsJUIZTlXVBWJAH2w6lqWNfII9kmmr60hf78wpUGWGreFMi2HKhwvWWdBCU1E4mc3EJn6CT/b0r+3fpdRf/7+Lz5YVUOKYq0b6JJ9GzxOEQlF6Tp/BKZNakgjIilQ7f4SmLjI0mAcE31g4sA/cq1QnZGTUmS/gSlOua2ZK2O2QryUQxFCNxiQ29LC5FK3Gn0WdiayyHocHVJHQPZg4p/rt7dHUijV+5DLcXi0uVgVO+yvnJd+KG9tblvrilElnj2iPSLJCSJHRi3Hi7iBG8nZFkyDbIE/5xMSgQ5BpxJ+Ep7ZBgDqIrqJRAyiVCBl05ZJqZk8ihPwBB5nmNNVQ0EOtGsXwOVMyqlUEYQAc+JCrJ3xC72nlkMsWOwDkMn0I2hyduZuC6gnliDGZTPoR8ie72RTqzbnrSu5DLMdJAJmH+fLnP92EE0qtAPQJkkH7KWlWFZbpkKc3cw3wiDI7FArG4jVhaEdQRqiCLyMZsYmWJHFnTrgMdeoIsI2wjy6xG2e6Lm9AqV7YYGzL67p1GI3C93d1QTWWkLimSYFkXldGJJuZRrJyaKOd0mZER6hC+kDxACApzvAgIhQCBlKATFCai1dfjAwQPiukYTuuhqAUIvbM2bA2LjtpDKQQwjlYzdOSrlAX8QnWs/DzJrbHZnLXTlCjCbVbiIsZJtKFpaWcgGhRWlZPaoy6096Qu8BLPlZoPY4Xqcto2rWgoB2BBGJhdYLXksW7RpWJeH0qnSTQN043OoafEZiUnXad6EcGVstTRDHoAG+FsneXsOR0fUWAapUEsNAiJAUQZKAVwXZeJqdNYqbjWexaxRhNbgCDupT1UBtFBrmMd9Axxt5BcOgqvDDKcQgqvkJsV3YUrvCv2GxIZBL1MaWI4s2Aj1gyoEe2Tyh2oelCjg7Tc+wXX1Ilwo9UgJUAKO42tqD8umunCeAiln/Up1iBCRj8EylfDIAUBHbRG3QDRldOoTFA7pTobWaOiuEDHkrOYZBQuUNWuUanVoZ0igEo6NDaq68jJ9yKTvtahOw88LiFuko9mM86htF0SROQQwGoaUHBaRBiWqApKI18QXNIPco9iQDajNvPAAa10R6gYScgiqrDpJs2EQSYs6jOOjcF58qG5MhXFHDqg+W3e+kTVIGNXITSkeZJrBITjgObIRaOikYKk7aras4F+Su41mm5qGE82CLFPMCaQ/DmtorDx3Jdx70SFR/nABNOS2pY+DBiJsYhrbBVLRXECoHvCGBxMFTtqmSp/y9wqXEeOExRnDhHZ2LQTr0Jd0dxkZ17AJZo5mwwGe09DakJAhx5GZ7ABLscTKBY8QzqLMY9qT+xiLHXKpr64V7umy2lKS2rI3QguOqxCrUzZqAjQGSI9mkLD6Rj5tyqlVAUU46eaz1r1utBEfqcRM72o/5jPuOS37hK1SECa6mCEQb0veTpgH2pYhFMgsceSg6bIVGcFGzCpXRyLCiImJt1Ccs3EvyzqjyTWgUWXWbRggxEORU+lr9Hu0WB0fX04KGAkZb1yb5QTS789NOPkscGBaNO7+INjw2H/5U16DqnVGvpXMOrohZ0VL+5A0DVGXJ34yaE1GFsvDqsW/U77i4amB6b76MAKz18IGpJ9D1fWcgSRP128bWgbj8ow5Af0mEZdDe+TiQT782zfWS1LqzKQWU5eLx1CnzprVO/xxdN7eDQzv/sFT9m8Qd2RGGqftj57kxp2u/a+RYzj2kSn+K3lXJJaHYaD/nC4OdpIrNHvyHcGg2ubQ+TfuDzGqy+/rwevbA3XR4Phy3p4/aXB+tZLw1GOwg2m1NH04bXR1vXhAP+uHTCnHJMDxGS0PthaH7wCYsdGe8Q9hmWNjTy6fNN7m+jlsPLUEEzRl2ztEvWWM0ffzkOo/I2NjTgq9gsd+iqt2fgNridGreMnpQ14tvEkzzZGg83R5tZg5WIfOzIMMGFeEX3TBgiPFmoN9ig7eRMNp3tZBapwWGswwaj01nyHhvCLL2DOxPBEDSd9iCnRx8tlo7P5axqNmp4r4OK3SMvNgPR6R/P7rebbwYOyksvyDdDEhXeH5ll+jrgZKwLReJ+znxtYLP977fPGBM/94PI4JRc/hychc/RiS6XVfeuyJ9L1Xw==</b:JenniData>
  </b:Source>
  <b:Source>
    <b:Tag>ArtsteinR08</b:Tag>
    <b:SourceType>JournalArticle</b:SourceType>
    <b:Guid>{1a0f6657-d898-43f6-990f-61530cd7804a}</b:Guid>
    <b:Title>Inter-Coder Agreement for Computational Linguistics</b:Title>
    <b:Year>2008</b:Year>
    <b:JournalName>Computational Linguistics</b:JournalName>
    <b:BookTitle>Computational Linguistics</b:BookTitle>
    <b:Volume>34</b:Volume>
    <b:Issue>4</b:Issue>
    <b:Pages>555-596</b:Pages>
    <b:Publisher>Association for Computational Linguistics</b:Publisher>
    <b:URL>https://doi.org/10.1162/coli.07-034-r2</b:URL>
    <b:DOI>10.1162/coli.07-034-r2</b:DOI>
    <b:Author>
      <b:Author>
        <b:NameList>
          <b:Person>
            <b:Last>Artstein</b:Last>
            <b:First>Ron</b:First>
          </b:Person>
          <b:Person>
            <b:Last>Poesio</b:Last>
            <b:First>Massimo</b:First>
          </b:Person>
        </b:NameList>
      </b:Author>
    </b:Author>
    <b:JenniData>z:pVdNiBxFFJ7EXfEigiJkc5AySExwZ3ZmNslmE9HdbBKzSZSwiUQ8iDXd1d21U93Vqare2bmYTUAQQTwoiCDiUTB7Ug/rQQK5eNHcPYneRETw4GEP+r3qmdmZZBXiLDs/3V39vfd973uvem5sVSZjpQPutNmq7FnNeSxeKdKWMMHRudlIGxnLbCLNw+icjBOFl7NYJ/0tUmf2/a3K3rDV0utblYkoEbRg+8XtZ65/VqlUQiUit71w8InJ2zgKnM63Fxb+fI8OREeGLtleuHzrNxxVhuI+vjvgDbprN8DF7xo/jQD+TaHHADz1yeabI4A/Ev4YgEvXDo1Qvj7/4IBV+yXRKgFPn/meROsDrtz+eEwNz+w/tzGc4ebzdDgO4O93RoqyuX9MwLN3EjYCSIzHAXzpo19GKN/6nK6NAXhOvTFK+dExM1xefGiU8lML4wGef/It8tBQp/wfyg/v+PD8rwdGjL35NDXOGIAXvv2UOD7ocHj3bYrbB2SvUx1KwIsfTI1Q/uK1e4eDuFZoJ7oTf1xJpGVK8NAyp5lLBLOFyY20MouZEbZQDme5Y51EZCzkjjNuBEtoLHaZbYuOCKdZoENhLEt5l/HYCMF0xrhfxHKjc21oaDIdMelEaoEllaArYRFQHJ5l2pWDtQxGIWQWChEC2hgRIAndRwwFhZhmXUGpCWSpJG9JJV0Xq0UUyUCKzFlcSLnMmNKdGjt0VhvEYVKpwjrjg00zi1QJIpQ2KKztJekppIDoCWCJDihSqrRSF8ZCJxHTGotE2WVkSDcfqc3WGrXDzKt6v5DSTrNEd8SaMNNsFXnISIqwxlaGGMg0V1KQDoL1z4E74lYdoAppE9YSriNQDmxGIsZmJYDbKno10pnoXwCaZQhGuqQpEfYC8iAoDA9QqyzsnRkwDqARV1b3U46MTqkUoG1kKjMA96SogSXUExaLoG2/ClVPIgP7IAGaBRUkcQ+bgUl8/ajaO1TYISNibuBrC+EjIoVVhpZCdVpLNw2tJ1tlTiBhd7jGlr1tYMmEZ4Go9uzjjTRkDYKxIrPSyTUA9jLyCiCrezIipuCAf8Etjr0ZyTod6aAds1QzwcQ695/Ix3V0vydIY384VCtfIl+R8jL4aM+RLlDwkxQhKow/6eFlBOE8bxUUytuXdSAHlYpbW6QkCzrHr6HIaEaDhxgsKLspBDeJu2F66nMsvbvho//wDetKoco0LAfQGlcFsb5K4ahGBfVSDoFJH1q2WoQ75ucICOwsFhk85XgLGnhlyOGee84NcFEie4Ld/ZqETLiCSkDabTwQtUTCPkQfqVty/6BA02XWX/VtNYowUke6vDJUy26NhR1t2luVxxLeojEQuO7eRV9dDogAmdNXat010SU8pJ1oDEeyeIryF8YPrEEUjiLGNKRyiNSbY9pAvGUHQ+Sa/E9ppBzveJNBaYkCNjWq68GofHk5/UYYDDuWZiw6mdZfMDLPRRZqE0XPAk3lCYYypqpQij4vB9o5XMilj7SkMRVw2OZ5zk/2R10vrQIthZgjvUHNSyOKA20wmFFX27YnPSKMBX/0tgW/G1HD+TyqSrbJgMOJQ+YQfabhRWwZvq0RlvwGc/msyrtKeWle0LRN86KMjDRUOfhIvGm/ybSwWqOuuBnVN5Kmkq8Qz2jWDRdjkPvPGx/SjOx3iTSefMrbPSn8DIHJe/dQF+Os74X+wRAvBoUy2NigjDWFiQpaIjxNPmvWm0erjXpKXYH9R5jlLNL0g4MX8JKxGwoNDeedxQskGo3a3DEhYQIxIZx0SqxPLY3Qv7hDP1rTCr2+70A+QL84+BkjaYNf4WhEPC9gazHWXcKZqb3PJYr3v19RdKeR0AK53KQniwzNic8o4qlU3WTROOsEoGPMxixY0VlotBKV+5dGl7TAplkujF+GkWWqy8WBDPGLaTIItVxr1GuNxrHmTKCVrNXnqvXZI1XThBFb2QbebXZT1o/PN6rNemNONo7O1qvzs41mkPJ4tdk40pg7hr96ouF5DnHaV3dOrnrZvOyrzXr9eLU+X52tQ7uWwj7ZV36PT3v98KK1OoBXqLzkln9VuQ0XYpMPxKtGrb+QOJefmJnpdDq1VDoag3YVV2m01rSJZ0BxBr8UZ3ajudKMbdFy3ZxUa/dmzBUc7kFQoaML2FqHT8N9aBKsVQFmYXiqu6SLzE1N/uWMiDAMsaWFVzHBrD+/752eYWaXybzVJT/4FwcD5D9JRnhUxMdGSNk9gicCtX6QqFpwBSVPbffK/QM=</b:JenniData>
  </b:Source>
  <b:Source>
    <b:Tag>MegahedF25</b:Tag>
    <b:SourceType>JournalArticle</b:SourceType>
    <b:Guid>{98be4e14-8f6b-4bd5-b7ff-b6e9513d53d1}</b:Guid>
    <b:Title>Reliable Decision Support with LLMs: A Framework for Evaluating
  Consistency in Binary Text Classification Applications</b:Title>
    <b:Year>2025</b:Year>
    <b:JournalName>arXiv (Cornell University)</b:JournalName>
    <b:BookTitle>arXiv (Cornell University)</b:BookTitle>
    <b:Publisher>Cornell University</b:Publisher>
    <b:URL>http://arxiv.org/abs/2505.14918</b:URL>
    <b:DOI>10.48550/arxiv.2505.14918</b:DOI>
    <b:Author>
      <b:Author>
        <b:NameList>
          <b:Person>
            <b:Last>Megahed</b:Last>
            <b:First>Fadel M.</b:First>
          </b:Person>
          <b:Person>
            <b:Last>Chen</b:Last>
            <b:First>Ying‐Ju</b:First>
          </b:Person>
          <b:Person>
            <b:Last>Jones-Farmer</b:Last>
            <b:First>L. Allision</b:First>
          </b:Person>
          <b:Person>
            <b:Last>Lee</b:Last>
            <b:First>Younghwa</b:First>
          </b:Person>
          <b:Person>
            <b:Last>Wang</b:Last>
            <b:First>Jiawei</b:First>
          </b:Person>
          <b:Person>
            <b:Last>Zwetsloot</b:Last>
            <b:First>Inez Maria</b:First>
          </b:Person>
        </b:NameList>
      </b:Author>
    </b:Author>
    <b:JenniData>z:pVhNbBxJFXbYBK2C4ATaHw6plXbBFp7JjD1jzxiF+Cdr4tgO2fwoLFEENd1vusvT3dWpqh57IoEMQmhXXABxAYHEgd8LByQOXiS0cFshLVokTkgIwp0Lq0UiQuJ73W1P25uwziaS4+nuqlff+973vtfjr+5NfDDwwiwZrPk7z/vzRF5jdqbW87qdWqvjzdVkh6jWo7nZbqsx3+h1WkGkPem02Zs4sZXKgC5ncY+MbPW1UYFKTsap37+ogjDCj7NYpfINSif2u3sTH/B7Pb2zN3GyHxIvuH/+nd++NIF/fkR9d39xsvF7vvKcTu8vnuupRVzQtvJdeH9x7rk3+Fnl1CfeO2D9qZPiIOD5Z376eiXg1fkrjx7wEMLFcMgX+wEvjZ7afTyESxee/tEhhOt8+agIf8ebioDLZ35T5fCFrdePEXDxlPpvJeBqc51pKwO+8XeGux/w+T/8+G/HCPihztOVgBfNaQZVBFxZoy9VAj77j08fpyj/+cTPmOpxUcYpX3jrU9WAV//1Vz7svRA+8es/ciIPCvjiz5cPyeZt733JZhxw9ZW0GvClj3370RFCNuOAn/3i16tVvjp/5jGFffH8rw4FfPvJ96PDSsC1j9+oyuaTb/3iMXt57Z1/H+6Ur3HRH7lTxsK+9KfvV2XzmY92HxPh+i/PVVO+On/nGFX+fxxuvPqXqmxWv3n20RFu6g+PZXMk4LnT/3xM2WzSV7grx7IZHMMcEHCTiXpQwMtLz1U5XPzyn49ySHcy7Wh0MlunkYjJGeVZoRIvynxaENdUnEYklgJDFFPihLLChSRSo1NteCoJ3RdOxVTcN9KRsUJaq4Ikv2NlTCKSPYrqYilyoc6CEPFdppwa0rRQTvgauxPthPQ8neEQzELhhTLxSMj9k+tiRYeU3Nv9nhXrMk2lmHzztSlxq9W9LaS/lVlnH7hP9MhtEwHMtt6HB9QYqVQLMHM9GQlfOrkg3nxNnBNXtLj3ynfEFRLN/Q/TYjskQ/wI2eueJTMkv3KCTHxeh4e0k5LnDj3sjUpIdT7AyCRAsn2jYw7fFJN2ZB3FGPCe8JU92DclnAaEyZRMHyHHAafqYgMH4jA+dl17objVbkyLtN6ca98WNgtwgAP10vGBQxllOHCfhEZ9rplvbNQ7DWEoNWQZ5b3dH9isZ51MnJLRvd0fVolfjUhZC+ZL4m+1m7eRqqPEt5WqDPKHgB1nkVMsm5LuSeT66k/E7NQ0CyOLVRKMpWHJsYTKpfwLmUURdEGxrYs1x1obKp9vl0zWPG3MUZ5jkjZDlVgDicYZZV1ZN+DcVIRzqz0DzURWi4ASvHtF6i6iHyORXoZCRJHeLqQ2lGbEueRPawy4FD4DAvZlQ0kik9oVQ74CBBxB/b7yFOO91Z69LTLLaSUIiggJRDCEclMkLFFWACjFjHxrnDC3G/R0QGKWKOCIczFDyyNWEBoYMLEy5w4yichasJzYvOE4apb0ZMSBfRFLg5dOpqqyk1sZoI4SwtnHciSsU6iPHqIn8BHSBT8UKdlTkXIjbpai870IQI8ElqjQ+Pi68Le1GexNfCSUEJ+RnhudOnE9BGrrMn/EPmG0n3l58fsGeuH1OfnEygZjoMFDZJxCicc7YDYmYMtJggw2J2LtUyQmNzY2p0QPuYImB/EW8BTKkb9cQ5q+j4Tsvjgj6Q1YmMhR9iJlQ7BVTRObsbqUHmzNR8GXfJnmiFI78kJduCn0CztlGVk4CQmfUGuUL9c/i8tCfgh9J1MmlzKW+TSkSKcHfswJqwQZKwZhUyTM0biRSx5gP+BK1vJ7+AhB5rKsYq6Lz2UwSGlxZk4v7UgGgvjgBRihg4QgbrYEWDpSO0wSDNpo1LTZEqATjV3MibwGkcTAqM3W5mtWJwm5aRGkrtbSnAyllmhQM03cpDiWs9MiiiR+12dgXKFqFal4Gs8Sv2ZqaZRZuMW2ciGwQbVwqohBACscsawpADWnZ9sNqAr2CX7rYpMfQHQUgyLwwR4RYkqW7BSUVPSCg71Q0TAv2lGr5QO6jVq380IuBJBVFpFhgThonxun30cnQM5jl+UxgCO4mblCOA+GxIMmx13a/4ED9lGESDH6m9w6eZVz4DKQClmIa057g8sozNKVtWKUAkQZqoCPxcgWPpcnAUvIbWMS8zRDU43g9vNzNVh+Z59UC+jRPpHwCDWgsjQLzeVxdRZmcZGXZr+87Voo1SATOnPlUUxd3nJMLKY3mRT14G6AS5Txy6WcEzRVmFruE5g/voKxIQaaP2OKpBlgJMTwl7IZFKYd648bU9pBXj4UExXN5wVmc+FXhSgiFStXfF8u9D62jYNBUpm5QQayGQ63GEQN7UeF004f6s8UfpIAQkHHg41gWlDCXgGg2gQyUXcLHOy5GsYQF41udWZYLfnbyuH+4vxsHdaD55b8C+zrM42Zdq3ZiJG2Q9Jk1pK+3pt4IpAZbMfYXWScgrxV/GjjN+rtWXLKRbTzrDSfV0MxuaJNQijGjQSSNJgDo6mIo+W2jAjf4JfKBCzhdz9X4yjYpEDC8ijAliRclUztZt03OqKJdy/3V1DMYq16Gfnf2/3Wpexhi6NLGp5TW5UQhCk2DTZyuSgLEh62zdsgKuG8DJ0F4bZ8KJyb/JqVr+1fUnKb1MNWqi9sk7ORxitwvnxrLaG7YlMaVQb3lI8/wpzyfK12nmk26q1Ou904K82OGtZn2o12vdnqNjsYcr1kF//bZBe+TclSXsE13zXnW91Wt9Ntzje7ncZMq92dmw15hUSBBjdbrWZ7dmau25zdwuasKPlWXvJGuzbTiNOsGD5l1U/k+M27KzrY19UNE+2cCZ1LF86WMKHFs/ij0tkx3ADvem6UMg+D0juv4/IE2CfdX0fDVW+Tg1eMsDby8I7jL49WuM0nnKHS+Pyb6C5b3C2lt3M17xB0zwXy8rKKa1nKXxkK/+HxsSCWxOqhmf7iwUw/Lfi1rTrVl4vRfZ1H98rhrllKi+HAvdbH1x5MzF2f83sS9vcgNvCyUWHjfw==</b:JenniData>
  </b:Source>
  <b:Source>
    <b:Tag>LiM232</b:Tag>
    <b:SourceType>Misc</b:SourceType>
    <b:Guid>{97461011-2417-4303-91dd-165b64530350}</b:Guid>
    <b:Title>Kappa statistic considerations in evaluating inter-rater reliability between two raters: which, when and context matters</b:Title>
    <b:Year>2023</b:Year>
    <b:JournalName>BMC Cancer</b:JournalName>
    <b:BookTitle>BMC Cancer</b:BookTitle>
    <b:Volume>23</b:Volume>
    <b:Issue>1</b:Issue>
    <b:Publisher>BioMed Central</b:Publisher>
    <b:URL>https://doi.org/10.1186/s12885-023-11325-z</b:URL>
    <b:DOI>10.1186/s12885-023-11325-z</b:DOI>
    <b:Author>
      <b:Author>
        <b:NameList>
          <b:Person>
            <b:Last>Li</b:Last>
            <b:First>Ming</b:First>
          </b:Person>
          <b:Person>
            <b:Last>Gao</b:Last>
            <b:First>Qian</b:First>
          </b:Person>
          <b:Person>
            <b:Last>Yu</b:Last>
            <b:First>Tianfei</b:First>
          </b:Person>
        </b:NameList>
      </b:Author>
    </b:Author>
    <b:JenniData>z:rVhNiBzHFZ4Nsi4JAUNAtomhIBG2ws7s9Mz+zAqMVruKrbVWliVki6AYXN1VPV3a7q52VfXOjE5rAjmGYHJwcrEhuYQEcjR7MITkFnILVgg+JOQU8CWQkJAsBn+vev56pbUxo8P+9PSrr9773ve+qt23jxpn+1FS5vu7YvjtzTgI4rjbbq7zLm+urot2k8cBb3bXet12J27LXtTrpzriTpujxtK9gvflK2UWSsM7sTaqr/IzWSHiq6qfpPhyFlHKL1A6t+8+fdT4ighDPTxqnIkTSRHHlz7dO/+3RqMhUhm7463dd9/cwlPkdHG8tfXVkB7kQAmXHG/t/OIdepzbdunLAv7xHzXAB5YtBnj5R/mbNcAXFgTcvvHvGuBHf16w5J0n7x/WAH/82wUB/9R4vwYoKeEFAK/85Ic1wAdn6XEBwO++/jWq8fHJ5sVz79CrWckf42khwL88TQizkrcXlM1LP3uvBrhwyVe/f55SmmX4c1LRAoC7z/6qBvjR8YJd3v1rUJ/ljQWb8vL7H9QBf7Mgh9fCF2qj9+DZBTnc+9bv5wEv/2ufIr8I8D+//ANR/SjA67/+cL7k8/98b8FZfiV5rTYpD/63YJdvXPi4BriwsG98wh8v4Kuvu/osf3NBg331A6/kx5fhzXP/r8/yuQW7fHP4YR3wGydLlm+V2snRmU+u6kFTHkizzFTOrM4ki7iVdpkZ7qSxLOMjFkq8jNNS5pEULBwxyaOEMe0Saf5++FNLsSrvY1EqucBvzGm/AhCC8b6RMpO5Y9I6leEzy9jdjTda7EbOAFHhsITnYpnt6ETmHvMaLwqOTy2zlB9PGePigOcORdgW23WMR5Euc2cZrjYeaLaTS7hjA12mAmlGUWko6whbRHKZFUYfKJ8mZ5k2WEcRyItlktsSH+gYm03BQukGUuYTRiKdFdygMBRpVVakkhXSRBQ5t+huDwWerIanVuNbqgdzSVvQbZt+Efad33akczHNOsIFTQlpKO8QlLGKu9BKc1BjGTz6V3JYyKjeAJAwxmuxy0IouvUhndHDvCvL8DNVEQ9RHyrFFbEp+7hDRujEATeKXlg2UMjEDTRDNZ5LxPkwklDG9ylbRcQw9NBCJkCbsEwMcCAICWrzvqfdSCu5gbpiJVNR9ZmSAc/aOHTfr5pEUTuQG/TJB2gJAVDlqcqUq660aH/8cBuIIZQ0ZhQdQWNzLDiYJofsmS2RB/Q38AMHIv3qZTYAGhOSp1ScJ0BlIU+JVshNcMeJDR9FysbwWFZg2nKnwJ3Pn5QEiELmAkM1arE7kz32fYa7eTWGhAKAKQxnuayUJw94WpJmfcGYkPSkeirRUm/GwjWyz43XvTYoGzinNNVPj2fHek26BKjzHa4WEUm0e50fSjM28BdkkY5YiZar+6RCyn7a+7ubGI9p0dVCDBY2hw1RzqApsxfRyryJVp/c4/m9O9cusLtB+w3fzLdKLsiDolncJPBmFRhgOzHQZv+o8fWEh9YZHrnRE78D0VPJCWlVH5Lx5RuJ5HU+HjAvJnA0NrqxhVRmOGN4eTzMXvQ5PmlWjQYWmAUPbsSe371160LVyjmW6DflPYXb/RaDKVee7A3ZulKAbBZjVJlNMAdEElKA7UwZpj0tiR4eS93Ea8ixUrLGOFDeMGA7ViHcGQT7siCpCC+4GXlt+sQLI/0CtFcZzGJOsiEkes8FskVh2JsLgR18waQETCloJcmgSmLPlqDPF4k+8XQEdp6rp4lKsQFwkxFmJEEL0AA6KPJ+63ZCPBlEwjWETA+8PCB+2ssga8AWZUgu5QtBM/ZUySQ2S1vE0fb1HbZDcwkq/f6eJloNdTv0EE0bIUljcJBUBxfeVcqZZukVlkmXaKFT3fdpK2tLJAMUYOeThVX3J04OClrsNj4uDE49z25UogBLxPjwgnqIocMUW5nCrKkIrDyRgNcVlI3u42eVfVaUlcPRuT1u2PiZ0jWS7NKPOsaXxmluIi10Rv2ZbTBvVuSjc6ah8gMN4gWaISsjfW5iozOGqGejgpiZn3g0qmLkS3jUIxKZnSgkP5JKmc8Z2KmH0knTGoM88trht8U5VVnQzF4nnRWSkv7C7Cm5z0+NOmfUeGAeneBpplodlZMGjo20dUXaQkFAuXZ+2uiMxIDTbMYxSWpcwWSGqYbZkFzC7QruggsAxcwPplAWEpPgGuXYCClWbSSLVDFCoHzCkrgA6ZF3nxKHLt0W5mGquQHptxSq09A/yXN64ZoPxQ5litsc9T0yZTQ5LDEkAk9Uhykt2DYuIcesXLuVAox8TVwhBjvtzlozaGc031zl0uzC6I4aT/R5iUSMPcTdgDzqRXyhU6utYFP6YV6C4blU3ptZRgzhl5k8l3qvUGGJBfYHdBPPeSbxM455ptJRuKdkH1eHXFxHksLoVDYejope4nocdlOBg1PCwu+VVVT/NqJiqarASAn8q+5sJLQaPhO0W0HQW1+xQafXW2u2O91mEHRR9300LcwP8d3mb6tgdSNodlbbGykOivyyZ2lX2E5vs7PWCdaCYH2tuxp02+3NhAJ4Kof7d1a7vfVgvddur4siUyLpbqx31rvtzXueJM/xPXDcbbZ7zc4aXAjuazFHFc1Lvpp8W+nrkOgOpgT39n20Spe4IL9m0uHLiXOFvbiyEmaR15BphQpDJ8jMEdzCgKz4a700K/hP5crpxfYhd7gOyFuC70kdX4PE/wsbhPhBaBphLMT2aIfAnrrkjIwxl3RHu4NrgPUfP1k1fTg8aWiTq+H4EomjZM4QTjvaHzaEizAWFSVjfyHlk5bk0OFq7Cggxp9r8N9DQYU89QymIh1+Z0IRmt3Spv85FHwG</b:JenniData>
  </b:Source>
  <b:Source>
    <b:Tag>QuilodrnCasasC24</b:Tag>
    <b:SourceType>JournalArticle</b:SourceType>
    <b:Guid>{3d399df0-23a1-4c1e-9bf6-3fb0c0333a9a}</b:Guid>
    <b:Title>Towards unearthing neglected climate innovations from scientific
  literature using Large Language Models</b:Title>
    <b:Year>2024</b:Year>
    <b:JournalName>arXiv (Cornell University)</b:JournalName>
    <b:BookTitle>arXiv (Cornell University)</b:BookTitle>
    <b:Publisher>Cornell University</b:Publisher>
    <b:URL>http://arxiv.org/abs/2411.10055</b:URL>
    <b:DOI>10.48550/arxiv.2411.10055</b:DOI>
    <b:Author>
      <b:Author>
        <b:NameList>
          <b:Person>
            <b:Last>Quilodrán-Casas</b:Last>
            <b:First>César</b:First>
          </b:Person>
          <b:Person>
            <b:Last>Waite</b:Last>
            <b:First>C.</b:First>
          </b:Person>
          <b:Person>
            <b:Last>Alhadeff</b:Last>
            <b:First>Nicole</b:First>
          </b:Person>
          <b:Person>
            <b:Last>Dsouza</b:Last>
            <b:First>Diyona</b:First>
          </b:Person>
          <b:Person>
            <b:Last>Hughes</b:Last>
            <b:First>Cathal</b:First>
          </b:Person>
          <b:Person>
            <b:Last>Kunstel-Tabet</b:Last>
            <b:First>Larissa</b:First>
          </b:Person>
          <b:Person>
            <b:Last>Gilbert</b:Last>
            <b:First>Anne</b:First>
          </b:Person>
        </b:NameList>
      </b:Author>
    </b:Author>
    <b:JenniData>z:pVe/byPHFebZShCkSJ80mSIJJEDkkSKpkw4JIlln+4Q7+3SwDpcyw523u3OanVnPzIpkKgUIkNQBUiRFkBQu8g8EkCsDbly5MNy6MeDSlRsD1/h7syTFu5PgwoVE7uyb9+N73/tm+OfLzo+LrGzs2bGa/WqoxnuT4Tjvql3Z745I5t39wf5Ol3b37owHo105HAwL4zIZnb/s3HpWy4LebaoJeTnKndeFthtVrfL7uigN/mKAlU4btLPhL5ed19Rk4maXnY28JDZ4fvCbrw/+2Ol0lKEcT4MPPvgPnrLo6ucH733z64/wQFOtYvn84KT/ucDjWtTXr3H4+28P/g2rpcPf0gk/tQ7f+OSLizWHb/7r/xx6zeHG9zt8IcN7X3VeyLC7xe9+gMM3//GIU1o5vLv3skN6v3GR5huvHbmS7JcX/wzigaxrKTY//XBrW0gRItAOUWfSiIpkaDyJWMoo6FyaRkYKeCRh6JyMcLmQhSeqyEYxoTglsiJOnfAw9AFLc2eVmPL+qWuMwoqgWU1ZJHyfi6yUNqNtMZVBZK6qG14HFwTJrGT3HCsglhXvN4S0wAMRXbKVyKxsKmmFp1DjBVKb6lhijwskCrIg1iIOu4klMhUPH74jQkZWeu2C2AxYOpUTQ2Kw1ROnMEP0qjEyZfEySDqIQnMycPnph+J34sR9+be/n2Bz+4FCSkJaJ45NOaibBPLnSOIanPC6xQm4AyXsX2xaIbS2aYlVTxxyaG4GvOdiILRV6BY3piafY+PVtm3RX3t95Q0s0PDAXxnMRRM4CUsF+n9ObYAgQlMUwF0oHVbbW5wAemMiLEo3FZVTCey1GIzfVc88mdQLhKt01BzEWbH5eLCVwlLmurnLGnTk8S54iOaCgmiDN3PRWDhPwGTORprFVQOZtehCv3enPxqmiNjdE/fdFJTx27wH3QCq1kU0eS4McmV2cQ9Xpb6lC2b54K54L4MM2YJxrV1AnnjLMb0zQk5C9DJDxW0+iaGrRG6qG7sz8padRspK64wr0mxh38Tw8ubjcYsB8jGp7ZYC43BnQcjQVJzQy1wMyJWbmnkHc2nMWlQep1KnxnE610HXE2rq/Nll52flsrL5xmdHRlfcRqZEQQwCh7Ci8RinKKDeE+TOkyRBLkukUmWJybVWQiuY6ZwJx/3lshTVxs0TNKhCW+vOW9iDM01KtyeeYpLntYOfoDG6SW8w2POFAmBpZYxKEVzNMSSQqTTw2qIqvQgsjMZIycgdnTQRxKskDFLP4MHAvwKu6JhSwI8Hjqda1swWfAuxYecVJ41gImtaEVEyykDAzzU+Y5HyrhKParKHhmYsnCxJntCjwMV5SgRyPtWwll4tMaUo+UnKhdF7KAEu/tuigU6LdzBKBv2HUAVMQmhAM7Tz7ZPTUdethT2G2EAqFqosoo6GustWIoyG/ibrV4ILdKbVVKXRl8CwbiN/jAznk73IgbVxRYfYkzRIK3Ku3J4XWK34WHB1qz3cfe6VToRmIl5xoaW2ayIkHwm1Qm+WGLCcAANWeKzbpdzjJGF9b0V/UfnyRJABVE3yqTGbOesgKzWvof0LXs65vhqgtMjP0U+u2jh3BufLwpccTdR81HiRs4ba4koNE0FbYqJN3QmYoZZJZ5zbMj4kRzZFIv8ia0g7pC1Abhv7CuRXLE8RuP4V5nClgUIW88YkZicscukFpIePERFqzCPT2LumKAFs6gAGH0MFJ9kcygg9TLxJYouk0dUnDxYFrKJvJ//cEZaInEUTk+GpwMuuLKzj+wF3EKts0Wqkxia+Hbi0EwdGKi/xfyVt69hyX66f21Y2KtiAzMsbxwoIdnh4zLvJ8sm1DiDgYaK2+wpNoWdkloEEpO7xyk5/Z9zt71ecMGSB/LHN3WXn9UI2uDX4cAE/jPFb+HNe9XvjIaXJmv1C+j/oc7F55LwliO0Ti/Z6jPh8y6zKh4e/8pXNyorwmeey0mZeP25wi1X+4//a7pEMwDpdIvKjj/8XpFc4XKjz6i56KoFIazo56t1kVh6aUiomXOv0XZ3B8Cbr/B70609yYXtP43omb7S9DxaB4otkJShpbrKtHjRoFpku7lLEyGNLAWHTIdzov3hbG1xJF9bq0NpF2plWuPn/KFNOz34+6PdGe+Nx/7b0M33e2xkNBr1Bvz8eg2ATe4H/wV5AcqCIqdHHKg529gbDfWwajsf74739HXwr2QI3ntnZ09GoPxrv7o/2h8+wuWmZ8QzMGHUHg+5gjFsoTuaAq0NLjlspb/9q489wfqTT4Ik3s1+WMdZ3by/SdL64jV8yt6/SLUIzifOa6z9LlxtDp3i8BbqSyx9AYdaXKfLAw9ZkIIF6Y37kGhs70VOOCcaVQj3F3IV2dcFQfeqmoBPfTwiucCwWa4N3jbi9fDz8VKwPYXPz4ZTjx4bOwoXign6CE/K68nEUrZX/HQ==</b:JenniData>
  </b:Source>
  <b:Source>
    <b:Tag>YuM25</b:Tag>
    <b:SourceType>JournalArticle</b:SourceType>
    <b:Guid>{95190589-6b82-477f-9aa2-3c97f4e46018}</b:Guid>
    <b:Title>OntoMetric: An Ontology-Driven LLM-Assisted Framework for Automated ESG Metric Knowledge Graph Generation</b:Title>
    <b:Year>2025</b:Year>
    <b:JournalName>arXiv (Cornell University)</b:JournalName>
    <b:BookTitle>arXiv (Cornell University)</b:BookTitle>
    <b:Publisher>Cornell University</b:Publisher>
    <b:URL>http://arxiv.org/abs/2512.01289</b:URL>
    <b:DOI>10.48550/arxiv.2512.01289</b:DOI>
    <b:Author>
      <b:Author>
        <b:NameList>
          <b:Person>
            <b:Last>Yu</b:Last>
            <b:First>Mingqin</b:First>
          </b:Person>
          <b:Person>
            <b:Last>Rabhi</b:Last>
            <b:First>Fethi</b:First>
          </b:Person>
          <b:Person>
            <b:Last>Xia</b:Last>
            <b:First>Boming</b:First>
          </b:Person>
          <b:Person>
            <b:Last>Yang</b:Last>
            <b:First>Zhengyi</b:First>
          </b:Person>
          <b:Person>
            <b:Last>Tan</b:Last>
            <b:First>Felix B.</b:First>
          </b:Person>
          <b:Person>
            <b:Last>Lu</b:Last>
            <b:First>Qinghua</b:First>
          </b:Person>
        </b:NameList>
      </b:Author>
    </b:Author>
    <b:JenniData>z:7VfLbhxFFB0eCmt2PCQoIYESyePMTDJ+ZAN+xFYUm4SMTRJW1HTd7q64uqpdXT2e3gUh8Rd8iHcsETtWfAariAUbzq2esSfYZgUb5IV7Zrpv3XvuOffR/u6081bqvM60fYeOaxeoufHrfTvR3tmCbJBmSYxcovlTWiV23YS8lTYhcfP+aPeWKCh4nYgj604MqYyEroS2OXkcNo2ogq+TUHtSSyJx1lIStM1goWo80lQtCU+l8/Fu6mVBJ84f4e7MbyIDZcDHhu0tfGEgiTRJbWTQzorCKTKVCLl3dZYjTlG6SvMjaYSikqwim0QfDQUEF6WXAIIkQg68ZyCBpZDaVoKKMSlFSuiiNDrRnAqOeco4pvONUC6pmSCcrpNcyEqMNkabS+Jga2e7Rfhg58lIjAbxu5ee4IKmusIJGEuLH63rJZFFUpki50Uhk1xb6jJAJDA2JKQPlOL3srjPDpgqcC+cDc64DHkhyRRnBJQskHKV5MijEuM6AKewLgiplKcKYMFb9Fm6ck4fA2whRF1T7woh65CD9gCLCdNylnflap8wkye5hpvaQlXwB9bAlpEeFWCkzWqJL1EXcXNvb/8WsoVRTAkBUGlteZTeqRruRAXAFopIE5lOnPcoFQEr6MjhcjypE21RD6CTWuhVrstZPcw1nDmYSKORlZdlXi2LR2Bqvy0oyA3uZ9Q13azWLPNZ5TGFKApwXgdXxGBtgnB+CVcujUpcaII2cEvlpUUTchmEK8nHPAC2Agkcl93NoD48c7fL7mLD7T9Ez83Rx0ISqfZV6CZGQt4zMUDdvISVZiojK8HFGAtacD4LpQA9oAYYO4DZOSk4SUgpsFDzXunKExQ1hMvinODjqN85r4tVAf0XQ5JFcjnun+iQnwmPNMgoFgeIKZAvtOVah2Jo3qDx2M+kDieuW+ayIhFVbpGj6cc4gdY48xiaEibkcRZjhI1iRF8b6o5xHEUTG0Xgmhzh6LyoS7QK+UnrLKbXNTRBKUe2UNmzn2BrQm0hgFmyFY8QzpPkWBsdGr59oXdEABloZYCvW1jcE9xmrP2ieUA86UFKlbuTec38rXIXtcTgAK5KrAy76z2B4koA/ZwPmSTojwRlgzS4hsXagtWMCsxOozklntdFCYlnQt3p9s+tuUteb30m1PAMOgfUqtW0uiIZHjuJq1CaKRTRGMlN65rD4jaczxXlxLj1G+6w3nKv38VlIA5H29GnFHfXRNAFcl3whVnNgrBebXpzTMuKq/i0824uxww4CddL7nrJXS+56yV3veSul9z/ZckZpI6yJrXN62TQG6x0e/0C8AOD9w9s6vDPXtYOveqlgSeksIM/51Vv+c6AgMXQ9APpn+mJuLnlMK6NEYcWsnmsmuaWYW9eY+TCww+nnTeVRffgM01loU0zfl5TBmub7aOujrEAvTPUuWhIT+QYOkZb2iEsqKssk2datnbppkO7ZFcZqueYyLPo3+S4NFf7PJC2tcx3wN1UbC5fZTrem2f0FWLntWwNU3TmY5W+SrSqTjtvJ8rp6fv93vLdteGwd1v6qZ4sD4b9AUQdrK0rXY3tS1wr+zLHPMQopOnR07t3+yvrw/XhyhCPHslXL2BQt/K9gHzDbn/ACpb1GJMTLxutgm9EhP6iOkdo6Nh7h95MRR5CWd27PcPifHa7VOntc0xZVY95dsAhqphc+hBq/UF4FzIN0jfY2aQ2my1X29AJnlJ+2UlIPeU3l/burF70+eK5JzZs3EOxebc9E8eTsbtRVZhzKPid13bQxtn++YeNsIsSaTdIGlyJd6PvTzs3UoWD2gLpGK10J3Jy/DhvKt6uYhSbBfMtztvWaNxfjVblFjq+xuydW+FZetDvD1ZbL9OPNtSEZwPeA2P8L4kXLj4wkpE7Vdjb9Ofnv/3+40+dTicHjwtRVH+1N4h+Tjbwvsdti7MPsFqM0RmH+y/A9wb9YQv+w9F8ED6lcRwjMznwfjFH/kvv8It/BXk/mhd7OqUrUM8oXdrUjkcvasA3S1FRQGz34D76iV9yvYAR181Mj9V+rz38Ke4XpCI3Bxi8ArOFt9blyf1sPvn2suTu9Nvkji/EU9wG732GtWGmH3PbvNY1+I9hoWuOuAS+5n5z9q2/AA==</b:JenniData>
  </b:Source>
  <b:Source>
    <b:Tag>IwataT25</b:Tag>
    <b:SourceType>JournalArticle</b:SourceType>
    <b:Guid>{c20dce95-0f4b-4373-8bee-99bc463bba24}</b:Guid>
    <b:Title>Aligning ESG Controversy Data with International Guidelines through Semi-Automatic Ontology Construction</b:Title>
    <b:Year>2025</b:Year>
    <b:JournalName>arXiv (Cornell University)</b:JournalName>
    <b:BookTitle>arXiv (Cornell University)</b:BookTitle>
    <b:Publisher>Cornell University</b:Publisher>
    <b:URL>http://arxiv.org/abs/2509.10922</b:URL>
    <b:DOI>10.48550/arxiv.2509.10922</b:DOI>
    <b:Author>
      <b:Author>
        <b:NameList>
          <b:Person>
            <b:Last>Iwata</b:Last>
            <b:First>Tsuyoshi</b:First>
          </b:Person>
          <b:Person>
            <b:Last>Comte</b:Last>
            <b:First>Guillaume</b:First>
          </b:Person>
          <b:Person>
            <b:Last>Flores</b:Last>
            <b:First>María Eugenia</b:First>
          </b:Person>
          <b:Person>
            <b:Last>Kondo</b:Last>
            <b:First>Ryoma</b:First>
          </b:Person>
          <b:Person>
            <b:Last>Hisano</b:Last>
            <b:First>Ryohei</b:First>
          </b:Person>
        </b:NameList>
      </b:Author>
    </b:Author>
    <b:JenniData>z:7VjPixxFFJ7EhJiLIJ4MEutmArubmU02P7wkMcnuhmgiOxsihoA13a+7K1Nd1VZV78zktDlIEDyLkoOC4M0/YG8BT168iuBB9F8QEYLg92pmdnpjoivxuAu7O91d9ep73/ve92bm/lbrYK5tIoN1W619dyuZ0/W67JGTncw6lStzoKzSbFXlhcZv8Fil4gZljf94q7U/7fXscKt1ICuIFzw+/5votfCTasrC4wsrZ7+/gKsk2AoXV77bxAUNVBqKxxde+/oTvmyc2npKwAun00McYhKwffazL7cDrva/4rOmAd/9oxL/HvD8n/t/ejQL+MaDB4xiHHBtdL+JcPHevl0gPP/74V8bCHcE7HaP/twI2D36w24Q/lPARw+bCLudH5mO5wi4vnCEH22nfLj64D8HPN+9OKvyEwHfrl9+zpTXH366k8Ooh+cIePPwK0zaLOAXrIdmQPqwtoFGh1Yu9nxwMglivSCROztQJheqrKwL0iQkbCbIbChnTUkmSD0nvE0U/5cmFbndIGfiwlQGKZQRjvJac7+N4gplNsgH3isSawINgxeF9LifOJKeUhFwsCG8QEMKmSS1k4HmsCCQqxwF2dO4HMfCLRNbU2qN+GhZg42OsM4zvNi1jNlYM58pRgaswinf93Oiki6oBOgcNofCeuKtyBQxgLw2oKJOQu1wbWjgkWrtEvILYtUOCJkCBh/JFPk6KWJGjinwo3lHyBobIw8DFQpROSSpKk3zvZiosa4Ewg0SmZMlDaxjUDEQCGEabhrFIa5P8ljRtgf0l2xZcYVAT7f2QSItUCIuA5G2VaR2xUrNCY5pAHBGmalEMu0FyCKTcx4oMpKeHS+kIxFGFVYyoTTkCIwVdMipMrQ0eQ3pzOFV0hdAYFLpUnWPiyeH1thSEU7nEqUqy8jhBFvGjCpnQQOKCDkkWnofUXF6wo98oNKLms/r4bEtS3KxXpFDbN1QKbhdEFcNgimPAlZchAHHjZkKKTyVal7WwTK3iSgJhR1rCdUZFzTWa1bavrEDTWkeq/+kcHYndlDPNDfVM5bxAGhv1NBxBfgSlUV2XsTRMoh9KyAZq20+EilxleYYaomcKxlY3aK0KWkgHp8JrQLntALjh9CK5eSAJjREtS03bi6scFT7KBSwXLE2/c76MuA1GkscYvKJU1UszPJUHlO9zAKwXGK9EB+tHOUB4dMGC02ZmEqMEQUQeyh2PVcK2VS2Ym8gLtvT6pE7WRUAJiE6ZSDPBsEJtMCc42RfUcI6mgm5kXwEjY2+1oAEyMJD3JEIhgDMxsMIGNJsO8slxlfZiNWy7TZsQHyD/QQCrbSK9Y/9vcOO0MeT1lRahZHIa8RDEgyoAwHDJ1KWIri5siuJHbvSXTk+sU9GwKbZI2Bg9vCehp0BWeNNDE7Ds5nbKchehTpKem7mx5MOBco+FVZzZ01dGPHR/ZwPKoDy7HTPDFXG9rGqUlDvEXm+lH2GBZnDIVnktxdP3lmAohKmtrJaJazxbY+CKTWc7koNYyBp2PKs+WXzcw+bcyg2H7/tcmMq16II+LDLyhE4hNiPXequXT4ubnc6d2JWTWNcjsihaeUTbT00hhCRBGb/dqd9Z9b4guA5eBeYN+dW0x9VCfVBjzPX48WoDaxuGh4lTnn5VuulYuqao4Pv703UvYm6N1H3JureRP2/Jyq6Jg6d9DJSzxfbi0vznXbJvGA9uaugbav1Qg4NFxhcmxruC16X4xxL2wtLJwEhaBoeke49tYFhYp0hrdkt2Hpw2nEdnUj10AbOf8SfvwxSw/8sk6XSI7o6QEtRjg2mWPf1yPpCpc5qih/WnlgMwwk0XqxWaqW1rDFXnrE6W9aWmyguN+9I9+03EgMzx175zBOuWZPa8RZaG6F1nxl9VXlpJkszLMXnyfFa6AFffxxIUquGr3baC6fOLi21T0g3VBsLi0vtcwud9rnFRYy9ntnEX282C8xwVIqG/VunTnWW2mfPnDxz+i4e1ePS3I2laZ+b75wsq7qnlS+m1dkXYbm/M99H6rGDbjo9fL0IoXrzxASEdfkJfFlzYgYm93UPZsvp9eMo0rSOy30QENnsmjJp8zZME56MtTrhqfDW6JKtTWgFR3BYggrTW2zh47sTiRQXp/OJZ/6l2XgSSHAylvDuriFb1HeiU/Sds3VeiC476sVtR70xNSyEm/ipNRk+uavEb6acz4uY2U/LHhOkkf1f</b:JenniData>
  </b:Source>
  <b:Source>
    <b:Tag>KushwahaN25</b:Tag>
    <b:SourceType>JournalArticle</b:SourceType>
    <b:Guid>{f422c83d-b8d7-4262-9b1d-37351f727f9a}</b:Guid>
    <b:Title>NatureKG: an ontology and knowledge graph for nature finance with a Text2Cypher application</b:Title>
    <b:Year>2025</b:Year>
    <b:JournalName>Frontiers in Artificial Intelligence</b:JournalName>
    <b:BookTitle>Frontiers in Artificial Intelligence</b:BookTitle>
    <b:Volume>8</b:Volume>
    <b:Pages>1693843-1693843</b:Pages>
    <b:Publisher>Frontiers Media</b:Publisher>
    <b:URL>https://doi.org/10.3389/frai.2025.1693843</b:URL>
    <b:DOI>10.3389/frai.2025.1693843</b:DOI>
    <b:Author>
      <b:Author>
        <b:NameList>
          <b:Person>
            <b:Last>Kushwaha</b:Last>
            <b:First>Neetu</b:First>
          </b:Person>
          <b:Person>
            <b:Last>Singh</b:Last>
            <b:First>Alok Kumar</b:First>
          </b:Person>
          <b:Person>
            <b:Last>Sheikh</b:Last>
            <b:First>H.</b:First>
          </b:Person>
        </b:NameList>
      </b:Author>
    </b:Author>
    <b:JenniData>z:7VXLbuREFO3wnA0rVgMSKgmEhEi/3J1kMhsIiRKiQCaiA1mwoey6titdrvJUlZP2LiMWfAASv4L6D/gE+JBZsYBT5e4QMWQHK2bRdrt8n+fcc/1s2Xs1N1YWUr9JTxvjqd3444BcLT2xyghynkktveSK8SxrLM/aTeZL6VhO3MlUKulb5nwjWgZjnirpSnKMs5Q7UlITQ3zE8FRY7qUumDAVl7rvaspkLjNmtDfKFBJe19KXbO+YudZ5qtyAnXLfWDo5YibPyYawlhqHLCFsowUiGh0zWKotOdIxBekraY2u8IjCrXRzt8kE1aQF6QyZNhnXIlZlr4KP0TiK2WtggAO4eYM4JdcZMW+5djW3cG6jp8u44qvmpWauQetSd3XhHnwE2nOhOtfUtbF+wA6b0Ay7NnbOXGkaJRgt6hAOfQAtz4S8QpcIuskcZd5YlJEZnPGCWEqtga0v8beRyt/tsuvHEpJ3vKFr8GN0QMOX1jRFyRS3BVkA0RHAlSw0dclZhgtIaMgNRChw2Xu75KlD45l/ORL/95FQIJqcI3HAQVoySrb7o0mVgSZ4kT3WuVn2Xit440tj3Y2SVY25OcTPWDEdTBLy0itafHCI4rwMtAGiPesD2wHYY8CukBxoUn5lVFPRg/o2/hcGtRi77G3IGm1/xXVBy94rcLbOn+Hknd7DX38sFb/zpIK3lWkDR/c9rIXmVfDKc15J1ZYnjSuvecmpAMKaTokwsdYo6r1oTDOAVnaWl3vKzNlJU3F7n3k+K0nOV/bp54POLi+5OxP580wKt+y9ngkjFw/Ho8Fk8mh3mFsuBwB2azDe3p08mk6EdKm+wdXpZzLZTqb9R8k4KQ0GlgPJ+cV0CsvdyfZ4KupKinI6niZbo60duDzhzy/h2HR8XYaw/XHSH00BkS4aQJSSruqmU+aKvo3YhPmLoS9JSD6HgkxjM/raqsV16X3tHg+H0TXrBzJcP5cK11h7vnaWemBsMbyEK8p1Q35LdT8obE11PM/gPrwXh2Et8sI1qW/rgPB85XGOxw1IiUx+IrW4e0wYW9XCVmVYWeKzdh9rwfc8pEBBriQuIDcXT99aDea3663yGKpZr59O13NtrhUJqA3bqi7jZtHR+lbXcUtwdk4Ln+y3NSBlvK6BUNxFuTe1zMIMvpF3OkNtqRR8EhF/ela2DqaKzbCGEM5BsqREZ5SOd6JVvW9AGHbT2grv8vPxKBlvxfeLd2dUcYCfsQtKY+FPbpcoucxY+v2T3/bYd71erwScd1KI8c4oiUGu71Hkf1H5ONnpoize2xNXAUbBjiLAp4RvisLNh7V4W/wvP998+q8U35mbmYmm/1j6pCvt7zYrzHcgslj5h0dk4lAA9SAiW3Ufn1n3rWIzbJQ78P/0w8do4IUOJpPRisP31/Gw7M8g1biqA5UHdEXK1GGtiyCEB/jsqsVHazlik0S53SuieUDym6BLozf+BA==</b:JenniData>
  </b:Source>
  <b:Source>
    <b:Tag>MinC25</b:Tag>
    <b:SourceType>JournalArticle</b:SourceType>
    <b:Guid>{63dbc248-bc73-4265-9314-6406f18d45a6}</b:Guid>
    <b:Title>Efficient Knowledge Graph Construction and Retrieval from Unstructured Text for Large-Scale RAG Systems</b:Title>
    <b:Year>2025</b:Year>
    <b:JournalName>arXiv (Cornell University)</b:JournalName>
    <b:BookTitle>arXiv (Cornell University)</b:BookTitle>
    <b:Publisher>Cornell University</b:Publisher>
    <b:URL>http://arxiv.org/abs/2507.03226</b:URL>
    <b:DOI>10.48550/arxiv.2507.03226</b:DOI>
    <b:Author>
      <b:Author>
        <b:NameList>
          <b:Person>
            <b:Last>Min</b:Last>
            <b:First>Congmin</b:First>
          </b:Person>
          <b:Person>
            <b:Last>Mathew</b:Last>
            <b:First>Rhea</b:First>
          </b:Person>
          <b:Person>
            <b:Last>Pan</b:Last>
            <b:First>J.</b:First>
          </b:Person>
          <b:Person>
            <b:Last>Bansal</b:Last>
            <b:First>Sahil</b:First>
          </b:Person>
          <b:Person>
            <b:Last>Keshavarzi</b:Last>
            <b:First>Abbas</b:First>
          </b:Person>
          <b:Person>
            <b:Last>Kannan</b:Last>
            <b:First>Amar Viswanathan</b:First>
          </b:Person>
        </b:NameList>
      </b:Author>
    </b:Author>
    <b:JenniData>z:pVhNjBxHFV6HJIqQgGOUXCghWVpLM+Pdndm1nYDiWf/GfxivjTkgRE139XR5q6vaVdUzO0EomwsHJIsIceEWDghxBHHZG+KElAMSyoEj5MKNQyRHinzhe697/na9iqO1ZHu7p+rV9977vu/V7AcHK68MjUtkdP5g5dSjUg7VnaoYKC83Muf1UNuXizLNruthbvA3BqzSvEE7Gz48WHkpHQzc3sHKy1muaMGzd7547dcr+JMalcVnFzdWvv5XPCXRlXj473f+jQc11mnMn138wfufCzwunHrqKwbs/e5/iwFvPfyEVn61gN2PPt6fBdz68Z9/uojw9Y8vngzh+dd/vpTyB3+nz04Q8MI/b9BH8xo+PWHAt598g/KfBdw/dcKUv3ftX8tdfvpiTfnwuIDvvPT75ZQ/I8BfHvAJwXhewIs/+QvlOA/4xYvV8NiA/e++SUyeBtxO//ZiKS8GXOLh9hs/W6rh6/94saYci3D78//QwyzgL6+esIaXPrn20bKWSTgnCHj5T39ckt77n52wKVd+9a3lLj8lwCcIeNVUiwGvtp8cTlk9rlxUk1f/cD/XQRhd6BhEzJUoXKrMp/u/DUIOtNFxIqITYWLxWdDvKSGFcUOdSGMmInG58spGIW0YK98SLovKCq9CZaK2Q6GtGHgdo1HCeTwlriiNiniqYlnF8On+b0rpo04qIz0CYn2O5Nohyl0VBEIrX3odFH4cae9sgVehI24DpLfiyr27gBaiKkJLhCrJhaQkHNZXQaUCg0Fk2kqbqJYovUsqryhCS1y/1wLoVBTSVplMYuUBtyWGymKgAN9IhihGzlQFYLhMhOgrWoWgtK2yCy9SGaWQiXchIAEgTpy1Kon4CMWsjALgK/NMHlfKa45KtdIWp4wUaiaDs1QzN1IelbWZHlbAguklPAVpiehRZ4DFK2lEqkplU2UTBGuJJJd2qKg3eODM9LDZPax0ivNiLtEor0SqAV4PKgLYwE5RGi4tb21K2hFXUT+1J6lnCBqCCoEQEk10UQIJlUaKpArRFcCcgj6zY9HLnf5dZtLO2d71/p0+qj1Boo8rDRRG210KZtRQJhPR3+7fFVllObsgxjrmlKFX9QDHttL5SImCQnjVcLOQSCWhAhDw0hmNWJww4lPh73uZ6qZi9/rXprlxIbQx7VBpqgMxJZISgCmlrApicDt3ZQtHG8aACLMudcQ1L8u8PZDEM6+AQo2wACQbcbWlsBL0wKtMxya8QvdDoqz02hFi0CWKRJZEo7BIscXWcmLYMwAFiAFgR5CmOZi4NKEqNn2kouI1Oomcsb6QXGPGStlLAlho7mIAu7m0BA5KanOexImyRBnre9NynhRidRrsjJBpCuBgBTOCPaTeRQUE1KXCD8guGtkw4sWEd60bG5WCwGBPmYsMKDlocJVPFHb6ssIxrqmECArKhW+wDckxdXPeBKb/tH+LPbvMMgczU7XHel/gPSKQQ1A+KR+0hwzA8FktKSogaT8jBHo4zjW5DjbjI4uUHFtEEBZiaHqHtMgYkPGhNDuiH+sWiqgLSIwzZoJOs8HOgYMUAFmDWBVRDEKEj9fBAQUpw4FDNeCYjc7BHVJjY9VUeXIk7s1hyUMjRPxZN46SrbakpZIXSlJJs4rwxJzYbIwbT92hSQJlJNcoqGMwKF0zQ5FCYMmcAAm1Nrx6lLSazmE/tS6UgEw6TsfO7x6sfDOXAyBFYyavrj7klpVk92ATgDE1KGriQmyrLNNQEIqTeVkoCsBch7qMY9UscXtGn341pMLg3bV6HJBIFmiPVh47mB7mGhBmesvBhJC7sW10pxjAc7hZ++5cEDMyt+AR6FnqSoZBAQcKTGO1YSFkRQWnqcnWWNUS5J5jhKHcS6o7xMCAOckmLD0ND4yQCtSq7wBBrN66dTtA5jXx8TEGFuwVMXnzYfMDkdDv2hMat0PTjVEYTCQVGK6NHhMRrY9jR6KmV9aNajW9JVbXcdrc/SbNCYfdYZ4RKlLqkr2+5j3UgI7VgksxlryGV2IXtHDn1l1UbeDhvkTuYxQ+03btQUuDPmIHF5muMBABzi1wu+DCYp+me4YAJCrb2xxtdYMS4u+jY761NRnMvYrIHNWQugj4CD6guSXyCe5Njb+zlwjSTNRgdM1HHpBzhjurmFBzzRLR+C5FI9SAR5Bne9rCqVtMa4CI4C7IDEgV3X9guwuqwXnUMIxzvuwEBUpm8A9qDj5rRvih+V+ru+BeUUj851AoVZQaI5uMTHmAhKkkqiO+jwMb15BJXjtfhXycWN88zbF6nS5+wr0DI5ZvcTATco4jgwb4ePjzTwwQDWnL0L5REYcoFtb1d2BidHkANclnyB5H6CpdLr2iyLjOAtQRNi6xD7PSOwAWMkb2twu90zz9oJeF/OgVgZjeL49wGmLbWu+cP3dajOAiW5ud893TZ2i60KzTQ8uNtxGkAxGrhBjH+qZk6pLwSGcP5JsRuTopsL6LB1xojUbveE6JDLYzvUEB2SFDXLwmwevgUaYNGpgUHCKfaNMxZHwzD1y8MTAzcb2n237led4CXo7jqL6Epx7pzT2wbmQpGT9hG+OOSNwtmZc4qQWSlgbFJXev73mpK/DclinuTuz5Mz215cy853PfyKSe65dJahtrG5vt9bUCfaSWKf+uzdzByteGsgJwH/aharrbXsVf59O1zmZXwSCM2ntT+h/pkVi95LxVxogHlkZXQBXPGIrGl2pE+AV9W7MQD/7PMlloM0lu46QhltvhJagAtpF6Z9TK0ZXZbcxTNa4Xp/dyJY9bmdyVTczBjc6x4bbpOwMUSuvUjgSjjlv66KYKuRxJ/55ulvcHoPyxkW9Ki69W9dKyX0gvfqjDWMIQ8V2k3pXoFL+HeyVJnd57Y32t0zu/ubl2Vvo9PepsbK6d66x1Nza28IVkYPfxb7D7xkFufe7Xu6k/v3Vho4stW931bnfzwta5NZgc7idoxu7DXm99s9vrbXR7j7C1qtv7iNu7dq691sMwHBgdcK+oO3yKE/BHu7c7JeUDb/a+ncdYvnW2Aen88Cx+q3h2DnYI74yTkgqxy19djbqPx1PgvnLZTTR28bWKdF3CWpPQuN6eXHKVjSvRq4yuO4lKH8JgQ/22odnwyszWb85cgpUpwJ0F7yEjmw0SHlcPFsfVfRpXJKVbrNodVi2Je6cWd4ZfFcD+9lNK5zWI9XnJ47q1kPz/AQ==</b:JenniData>
  </b:Source>
  <b:Source>
    <b:Tag>HanH24</b:Tag>
    <b:SourceType>JournalArticle</b:SourceType>
    <b:Guid>{c2b71334-d68e-4612-88ac-1d0de6113b41}</b:Guid>
    <b:Title>Retrieval-Augmented Generation with Graphs (GraphRAG)</b:Title>
    <b:Year>2024</b:Year>
    <b:JournalName>arXiv (Cornell University)</b:JournalName>
    <b:BookTitle>arXiv (Cornell University)</b:BookTitle>
    <b:Publisher>Cornell University</b:Publisher>
    <b:URL>http://arxiv.org/abs/2501.00309</b:URL>
    <b:DOI>10.48550/arxiv.2501.00309</b:DOI>
    <b:Author>
      <b:Author>
        <b:NameList>
          <b:Person>
            <b:Last>Han</b:Last>
            <b:First>Haoyu</b:First>
          </b:Person>
          <b:Person>
            <b:Last>Wang</b:Last>
            <b:First>Yu</b:First>
          </b:Person>
          <b:Person>
            <b:Last>Shomer</b:Last>
            <b:First>Harry</b:First>
          </b:Person>
          <b:Person>
            <b:Last>Guo</b:Last>
            <b:First>Kai</b:First>
          </b:Person>
          <b:Person>
            <b:Last>Ding</b:Last>
            <b:First>Jiayuan</b:First>
          </b:Person>
          <b:Person>
            <b:Last>Yuan</b:Last>
            <b:First>Lei</b:First>
          </b:Person>
          <b:Person>
            <b:Last>Halappanavar</b:Last>
            <b:First>Mahantesh</b:First>
          </b:Person>
          <b:Person>
            <b:Last>Rossi</b:Last>
            <b:First>Ryan A.</b:First>
          </b:Person>
          <b:Person>
            <b:Last>Mukherjee</b:Last>
            <b:First>Subhabrata</b:First>
          </b:Person>
          <b:Person>
            <b:Last>Tang</b:Last>
            <b:First>Xianfeng</b:First>
          </b:Person>
          <b:Person>
            <b:Last>He</b:Last>
            <b:First>Qi</b:First>
          </b:Person>
          <b:Person>
            <b:Last>Hua</b:Last>
            <b:First>Zhigang</b:First>
          </b:Person>
          <b:Person>
            <b:Last>Long</b:Last>
            <b:First>Bo</b:First>
          </b:Person>
          <b:Person>
            <b:Last>Zhao</b:Last>
            <b:First>Tong</b:First>
          </b:Person>
          <b:Person>
            <b:Last>Shah</b:Last>
            <b:First>Neil</b:First>
          </b:Person>
          <b:Person>
            <b:Last>Javari</b:Last>
            <b:First>Amin</b:First>
          </b:Person>
          <b:Person>
            <b:Last>Xia</b:Last>
            <b:First>Yinglong</b:First>
          </b:Person>
          <b:Person>
            <b:Last>Tang</b:Last>
            <b:First>Jiliang</b:First>
          </b:Person>
        </b:NameList>
      </b:Author>
    </b:Author>
    <b:JenniData>z:pVjPjxxHFV6HOLIQCkJIELhQysmWZ2Znd3bsdRSJ3djx7vrHhtiOHMcKorq7erp2qrvaVdUzO5aQliOIQwIX4IDggjhw4ra3XPkTQEKKcuCQGxJCiOXA96p6pmfiTCAZy15P9bx69b3vfe/V6/3R6dr5gdIxd9qcrp07KvlAHFZ5JEzU30y1kQNZPJ+XSbovB5nCP2dhJv0OqQv7/unac0kU6ePTtefTTJDB2Xf/tfPrNfxJlEjd2c6Vg+9/gFXsdHm2c+PiX0+wEGOZuOxs5/Ar3/wNlnPHvtT7vB7/3GLzHi88+cGKHl//8VNaNB4nq2K8ee1PBGrm8fLXV8V48+OXFqN+/8MVPe796mgx6h+uinH/1ulCrlfncf/sAn0189j6mA74nx7/vf4qxVJ73Pq99x88HvzldwseP/zazooYb733wSKP7/1fGD/D4+3dry6o54JaNde3//4uuWg8/nTVXN/57R8Wcn35y6vm+u6bZwuZuTCh5SoeD587IFCNev75RXh89Qntqj3+8Rckl5nHF/+zKo9vRH9bUM/lbzyjHvGk0k5Mzv/jQSZYZQXTKds7PLQM7ZoNDC8zJopYJ7IYsLQyLhOGiWMeo6VzJyzDA2wy0g5th5GPXFgL/+2SW0ubchFnvJA2Z7IInkujgcDvTgV3lcEHHhttLSt0QosiYSIZCNtiJcAVTnKlJkwJ7mE4TafScoiDCLAVhZVOjrAwLNZFKpOwC2cijtzfLiypjN+OvVMI9BifY2Bmj/u9rXc7bDdJAMhDD7EBvlKiABxmwJb0cJMRL2KRYLMc8XjSLvFUmJHfhYAL+aTy5HCH0GJdFc4TSmfLwgkDkIWIHTwUngGKwrONmA33LGNzwZwBQ1PUCXeccQsPiSgFfsArcRWijT1JibTOyKgi1xelTC512PcCRgoU2HzMeWUdi+BRWDkoYFrzT6eQLwDaIzT3dvdYKUuhZCFaLDU6rzUB/DinCt6QkIEoBHBj1YIDO2Ua4Te5mc+FETmXhcW3MUU/zqSirDQkAog/6aOTX1pWOamkm3gKEz2mowXPmeNedR+d/Jy9flwqOOSRN3zlE2smLUNOa02Ql1RbZMGfZIgLaJNitRM8zpEDYUsRB9nhqwyV1raOD5HTRAfkSg6hQT5usUxw5bKYG1BE6UhxLsQBQfW7LdbbaLF+Fx+uXYO6ruu8hGHiRWygZ2IDmHB4q6Fcp6kwgFxAAqQysRiNy4yuBlnIFr6SsXRgVIUhKpMlbUXNYmck3FiIoi4shDIjlj3eBB5ULCQ+c1LLktwwBK/H3j6wMpdmFAWqzwTxkZyROccjpNAjhaS9B8cx2tXBej5TGYektVjOh8Q+zsxhQlwUFj3DTDXt0zLWaDgh7ZA7tSeDfN+k5THPSwXC65DyyinZznTJqPC8xOBw7FPc8hYzcmOUFaSvxAihDAK6WVzQldUFIStRhQgh9JqZ08ebVzdbbKt7BYndRmY3tvszFsMOVNkIBclAWdmOJpCNKBdogUiIWTrDB0RnVChmA4EhyAyke05zkUhPtS5iVVnPKAKiokVBU83CGjHIlBRB0BGSFx59EWtjkMmCOht6S5NGX1BKD2TcYQkIHp6uvZjxCCXFYzd54Sf3BPoHHKk2rwY50oGTmupmF0HhJaonjt4MOGmlmo4XKr6WLZXKQqmCBVS79xJNANefQzTwZFYHcz2ixWwVZ9TvhoUeK7oQ8GgolSIKSSJaK1wh1JTEMQij/VZXBkd3QrpbdJB0JHwchj4Us5dDJTT9Fxb+rnm57sTUv6h2LCSKawB9KxNwrokDXYXLaVprnwTciJqzgVZoyzANkLyISX4kWHQ/6Jm8gRzVRhYU0llSEQaN4BoihrG5Uq6FtLOMAwkyioSgJ42lzyzgyyImzXoanb8rQS/+0k1VlvSYDoV9NqVEdkSn6TUdto80QkYtiND3NFAzCn6mfWmM64hySwB80si61oTGR39fTzPgL6k6DdNaqwpJLNH1NL1w6rotRGXAgMAwAhEArS0xW4SKxS5oaqpg37RQTXTpIE2JP6jRSIJMGSvaIRuUWEIVmnV71nzmEjcnqlJbYA3H+W2Ekew5mtHc9Q8eMEX4CAjqrKP4a0lSz6buVV8QkCAghSgjo/kswaGJhxChMI1rhuAGv3PH1SL3rFPaEarBuENTVH0wLOqiRlCxN6/KttNtUINyr8xITIg6qoAhPlInESUW3nEzpqCaybVXFsEAu9Rlp13KZTDINe7wWuaQo7+qqVXDaY4FmPG1sgRDg7nD3qjM9Hkq0fT8MOYzwNH8FOYXxNJwa3guqE1RoSYCd2uosGlEeakLAAFbqARVeQ0hKOPHHZrrSKBzstVmgGn06acoeE64iD6MunQ30fZYI+VPZzNNmNQoFc+kHYWQyQgdgAYxQGouZmgONwRVybSJ+GESQSVU9jMJIBQQbNAaxbjhYS5dQajI1fz9KjjqIGAAeswKGF28I+CIK5QQJYwbGM0JmmBEhmCDhRymdGWEq1sjOlsSPj8ZtsmNhH4LDmp1WeJmBg4nqdfOZdQIpFLCm5+5yiqC4oGUYAGtnzQdy5wr7Svr6wN0pSrqIInrPs42Ag2f6ENHYXL2Te4G2Blsdjf77Y1uDhF7T+YAnfd07UsDXrlMG3uiJEar2N3EP22SbqffE046JY6/zc3bcsQuXtemEEqxtwrfK1CElxR58+MyPPyM3q4KyA3/pynPpZrE+7wQA6pjsc/1pEqMVmLtWbvkIQeh3jB6tNQqvZ/pHGqZOjRmssw03qt0sItvc7n02BuQZDAb3JJ8UiGhy0wf4cva4x2x1KPa5wp9CrPKCLOYN5d3Oe5zvK1lyzaJe1CIrHHcm6Dn73aW2cq71RCFdSREsD+6X0UYP1CHfCn0BzNys7clL1Kcssw22q/9Rm8ujTHer3gN9h1M9nC+9OQ7epbW1/RSq3cyXicreYANS+3uZzyr7Q6FVEtlcovIr/lMdnO87i2LBHTUxDyCEtRnHd6QCKko0FibxjLBL2HPx4mWx9/a6Ha2tvHass7NsRx1NvvdjU632+teQ/lHxQl+2uJEabx87vraPEjs1e1NvDhf3d7ubW33rvT6m70+xnCBBiSOhw+3MCp3exvda/0j7K1CLR+hlrfaG5vt3kbuW4SFIkI5n/OwzbOlOpwOUm8Zdfwd6iBoIAElWvo6fqe83qAd2Cpyk5LCH3KD+0SJB1ieQ2sTOr0NQucf49UFzRK2Cq9AInltcp3e11/AlOZbO17AHuL+sf7pWt1T+s2YvDsbk/eaMbkZuCy7OG1pl1L8VkbG9iQhcBfw5vtpoWAWnwvlvw==</b:JenniData>
  </b:Source>
  <b:Source>
    <b:Tag>WuY25</b:Tag>
    <b:SourceType>JournalArticle</b:SourceType>
    <b:Guid>{197ef36e-3096-41f6-83d2-dd310a9bded4}</b:Guid>
    <b:Title>Query-Centric Graph Retrieval Augmented Generation</b:Title>
    <b:Year>2025</b:Year>
    <b:JournalName>arXiv (Cornell University)</b:JournalName>
    <b:BookTitle>arXiv (Cornell University)</b:BookTitle>
    <b:Publisher>Cornell University</b:Publisher>
    <b:URL>http://arxiv.org/abs/2509.21237</b:URL>
    <b:DOI>10.48550/arxiv.2509.21237</b:DOI>
    <b:Author>
      <b:Author>
        <b:NameList>
          <b:Person>
            <b:Last>Wu</b:Last>
            <b:First>Yaxiong</b:First>
          </b:Person>
          <b:Person>
            <b:Last>Bo</b:Last>
            <b:First>Jianyuan</b:First>
          </b:Person>
          <b:Person>
            <b:Last>Zhang</b:Last>
            <b:First>Yongyue</b:First>
          </b:Person>
          <b:Person>
            <b:Last>Liang</b:Last>
            <b:First>Sheng</b:First>
          </b:Person>
          <b:Person>
            <b:Last>Liu</b:Last>
            <b:First>Yong</b:First>
          </b:Person>
        </b:NameList>
      </b:Author>
    </b:Author>
    <b:JenniData>z:pVfdbhtFFHaBSlwhcVkkxEgglIjYddz8lUpt2rRNStPSX5Vy1fHu2d1pZme2M7OxLYQIF0h9CIS46QtwlzvgDXgDHqNSb/jOru2sG0cqStXU9ezMme+c7zvf2fx82DqbahvJYN1h68zzQqZ0t8z75ORyYp1KlfkgL+JkR6WZxk/w2KWqA8oa//Kw9V7c79vhYeuDJCPe8ObK683fWvgTa0rCm83lV69+x7co2OLN5u2P7wh8oYGKQ/Zm8157YRNfG7e2/m/Av5//2Qx4efjsdAF3/ctZhF3eeYqAd7541UR44fW5d0C4ufjVH7xtXsC7a8/40RThFXtKhA+yn2YCXh4enDLgXx/N1vDTU5Ly8Nyv/84E/Jy/NgPSi9IGGp29tGMHtE9uSdBQ+aBMKqKsNHvtvvQUiwdXt0WhCtLKkBc2CWREIpUWgwz/e1GSU1iXjkRpYnK+oEglCgetEw53KDzJSx1UO7MFVqS3BncsibgkEayQIle+ncsQZaJPYUDjqCOhDO4KQppYhIxE4mSaYwGhY+B0ql9yQwGS8GVRWNeArpGQFrSvYjIRIRIuxgnal1osPJLY96V4io8l0ev2VhY7YtvJImtm7CwfRmIit8iAkoSioPZJ4GYZKB0J9LqIZBFKx/c60lV/44I9Ywea4pQq6NJ7244UHmIXgBeoES6ZYpORs96L2EYlZ+fFwj3CTkLiulPjuyR2pHlr5WnZXFhdFJHNC7CAWtm3+euIW0bgYVBRqSWIrrLlNBduMMxmZMmRDJIsI2CRIgHt7dRJfAC0CSqM2hE+nYoaiWJDkYmF29uLYqBCxmDy0mAvqMlzyRJZwh3aDupaTbgAVhoW2qog+hbnAg2D8CpXgMmnuYDjS2tKgc0wEYDYEY8y5WcB3t5mflA/CMZ44SmXOB3hWEZYbpT7iIhm+AkrS6w4R/0RHss+pA/qiHCCATDIEuBrvQdgxPOxhLioAEVVGyBhBJgqhwUzpxOqJLVl7daxZwOjLScQZFFoNR4jrGm0CfoVLSCNH6APscWikUUOzfGFDU1tZ1jjBBuauSS2uIWb7C8egYkB36a4QSzcnFUfDn6fcQ811/poouNGUumi0VY5hczGIE0yFSJBppIRshScjKltk+TruZqr+anice5R6bhHM9VXVW2D3UMqkfUsWqRQ+5S2Hg17TARL8C6lCQsSEpjeNCnX7F0eioGhAa8pJQ7H01aHAuOBdXuHrY8y2WdfiMLo/X+aVjJVeluWE/NKyeBVoeJtATVZRIZopgyFhujRSxqlLWHTMJ6YNMq/u3vHj/sK6iA36zGsKiasPVc9VTHm2i/c84int3hB6oadglswRqXQwu/MSobRdIyOiogxwNnqn1D1asKwk1UGO7f2T9jXg7NxCcz3t7bbKCZMph4eU4+qnYm1h/mRE/OF3pbInbsKRa+3TzJGyBhVOVa4ylGP6OyIb5Hq7E3oTmclphgnglmF2Ndt1LtfzTKONv32Q/tH/K3Sm1jtPNR+4qWcpdYMt8nMklB5NaYmfYYYUk9ck4enKwBY9hUvdsRVEVBUDLNZQUysOKcITa18ztZn0DUatuW54HiMMVxVwIt9JatpPFYxgo1fATrixhAGqWrDgbh31U4pn1inMQMB6A7fuWMLpkn4zA5qGsbEVZWAGHEYnmnLgFBQdu7R5YoHbWOicbSTjGW+K8oIypQRSoZHbKY+q5aFoQEPRhmrND/JnzsaxwnuGV/nwc9m117u5kwL94K7ZRJ72Ho/lSUgOH+gQQuc4CZ+rIu7ndULhF7RNPxEuu/UvljYss6Q1uKxgXM5D3IWdUUyv9Egwi/8qmcgVnwmicQwHPWflJRit0mfyiFyS2Mogqp3wrc2XrP1xuwbJc0IXXPSTqo8fBIVIUclnbh3F8HGe+kh5HHi/dGuGiONOWa9LVIxfgc6G8VWDc8tdzsrG6ur3fPSDdV+p7favdjpLfcurGMk980B/vXmQNuCzNWq7Ldiv76+sraxfnGj21vbWF5bXV1bWwNDaGAUde/JysryyvrF5d5G7znOIgmm6XlFU/diu7eaF2XF+ISpMxVkd5yFPUfeli6ix04PP8tCKL4+P0ZpXXoev9KdP0Kb+rIfRgWnvle9WWl6hK9nQA7Z5DZspLmMNsS7APbqSKFnro22bGlCC68qST2SYjTKnq9Xx3KpvaK9NbaEaqyIB9N+vTodKNvTgZLg1V9F/iBmZB9C8/PywKhq5PEf</b:JenniData>
  </b:Source>
  <b:Source>
    <b:Tag>HeC262</b:Tag>
    <b:SourceType>JournalArticle</b:SourceType>
    <b:Guid>{52552d98-8227-452d-9859-128639c6609f}</b:Guid>
    <b:Title>SSKG Hub: An Expert-Guided Platform for LLM-Empowered Sustainability Standards Knowledge Graphs</b:Title>
    <b:Year>2026</b:Year>
    <b:JournalName>arXiv (Cornell University)</b:JournalName>
    <b:BookTitle>arXiv (Cornell University)</b:BookTitle>
    <b:Publisher>Cornell University</b:Publisher>
    <b:URL>http://arxiv.org/abs/2603.00669</b:URL>
    <b:Author>
      <b:Author>
        <b:NameList>
          <b:Person>
            <b:Last>He</b:Last>
            <b:First>Chaoyue</b:First>
          </b:Person>
          <b:Person>
            <b:Last>Zhou</b:Last>
            <b:First>Xin</b:First>
          </b:Person>
          <b:Person>
            <b:Last>Yu</b:Last>
            <b:First>Xinjia</b:First>
          </b:Person>
          <b:Person>
            <b:Last>Zhang</b:Last>
            <b:First>Lei</b:First>
          </b:Person>
          <b:Person>
            <b:Last>Zhang</b:Last>
            <b:First>Yan</b:First>
          </b:Person>
          <b:Person>
            <b:Last>Wu</b:Last>
            <b:First>Yi</b:First>
          </b:Person>
          <b:Person>
            <b:Last>Xiao</b:Last>
            <b:First>Lei</b:First>
          </b:Person>
          <b:Person>
            <b:Last>Liangyue</b:Last>
            <b:First>Li,</b:First>
          </b:Person>
          <b:Person>
            <b:Last>Wang</b:Last>
            <b:First>Di</b:First>
          </b:Person>
          <b:Person>
            <b:Last>Xu</b:Last>
            <b:First>Hong</b:First>
          </b:Person>
          <b:Person>
            <b:Last>Wang</b:Last>
            <b:First>Xiaoqiao</b:First>
          </b:Person>
          <b:Person>
            <b:Last>Liu</b:Last>
            <b:First>Wei Chao</b:First>
          </b:Person>
          <b:Person>
            <b:Last>Miao</b:Last>
            <b:First>Chunyan</b:First>
          </b:Person>
        </b:NameList>
      </b:Author>
    </b:Author>
    <b:JenniData>z:7VbNThxHEMax8iPllGsiJS0fIlvaWcOuBcaXCIONEdhBLA7Yl6hnumam2Z7uobtnf25EOecVojxDpBy45DHyJj7lkq97ZgmxQfElOYEEy3ZXV31f1VfV/cP50u3cWFlI/TGdNsbT/EM7apznUvNUKunnTEiXKeMaSwzrWnArHLtL/aLfY9sHOz022hg97rHDzadbPbbz9GDERoN7jMM8M1VtqSTt5ITYnDxTpAtfznvMk62kNsoU80TAgHoMrlkpi1LNWWaNc4mlnCxpL7nqYUcLslIXAGGbzAOOwBGu5k66eFaYqcYe8Yo1jvrsiBiiOzhgo9HuNnvWpOzuW9xGF4R2tZkqEgWxbcvrMljfAyYWPHCblfBlvPHzmmIwqcGAZz4Qm1LKasU9ElkxX3LPvOXaha/uUspwxDDeCOl5qoiNLwIWISBSurvt7uG8NU1RIgjb23ueZICPJIgeo1lN1idFIwWY17ImJTVoHpaoy9x5qiIoOPOEhDTeVNzL7AIAwznkMpcZlo3uoTo6l0VjI5qsbPQY2e1d2CeupiyYB+ZV7eOmNSkSCH6yxqGaWxeXQ0ZgNSHNdUYJn4bqvyDz4ATujOUgOZW+ZDkQJ0CIDxQvpIJV5LngnvcDXZBE6pBVo4M/0WSBymXX4DzG2S3Lc892t3tsWkoUBxKwNJE0DZnKwMmHfwKsUAWuoKnAAvoWLFSBbSKXIIevUMYi5wFL0uaZcXECfG2u+mwDzBUlKXc4UQCNjXBYbnlFU2PHyCYWgzwhQJEYjYhFQ8gVz0DCLerXwYzQNg9ebjGD1RgEJpfjZy3ARbGCPRdoGQmJYw2yCwEd+sUz9A/awQXZZbSQdjyRZabR0Fu3FPuKiZi8sN8FASdUHbLps8c0N9iIkgyQFaoXyxHM27IniiakGHhAUMhBiBpVcNFlrqlrY73r+hireeMijd3tRFiA18xzNwbl2LgUEw0UFUquQARFg5gjuba3u5KGbjSNRUJje0+4ktAOIKAHLnVg10FvzZ+ugdBzoeZdHTJUFOQbMW87V1CFUoQUAwZpkXiT4KMFsMjDaYPAIZ8OeQ86aLswzAFe16orWhBl3aT4Ci3wCZcqdhqCTKfTvnPjIimbtA+QfREkdL70WcnTEDvzN1P4ZgrfTOGbKXwzhf/HKaxakZDYQtxisDxYTZaHFRo0zCqyOzo3eC4XaOrSWHemZFWjS57i11ix3B8OyEuvaPY5t8dywu5uGqtJKfZSgzhE4uf3VPBmZYq5YN1P50sfCA3p4jPPeSXVPH1GVITKFJslN/OGRFD80ruG4nVpmtY0O8ZQvsYsfdUZ5TA6kfw6O3pdcl10/vZIvpfdK1ThurhHXdz01bW+xLHk5t9DlnsSIZGKhansXevx6AJcunWtw/S4wyaeGV28h68yAD3F73W2wNS5LI9IslC6a90+vyCNEjd6vshhXnK3L/I3mRQOKsN1n+oz/HX6rMR0whVLs/HR2spwOFwdrq0/wNa3/M0JDCCSINiTVrCDZPCwioJ35UKztyII+64ex4tOfmnVjJXe1+7R/fvczuSkb2xxvxb5/cHq8rC/vLy6ul64Jg1XL9iMOUZWpugQX2+hy8jku1Dh5WVMUQx82KpMYmg8nm+GIbiEp0F8T2QkjjCxXbvadc73i+H1iG1o9qQdFdvtXbu/mCxhLIVL+UlVm2m4ldn7Pidc7k0tM/fj+dJHucDNLDXwpZhew5ih0/0S75iMKzbKZIDoCGNZidYoXVmLVvUmBlqD98DCCnv54crKYK31MvtyQ0zCPBLdI+YFYT4pfPhwRzlymbH05zd//PbpEn5KZPVSFLGytjyIfqYb7d2DhxfbwZtCKVmEcO+Ab83NyETTq6E/bAlu4TER7oALqw77+sPVFvvduBHjspZnuE3DuIXGOHuOt15BVXgOdSx+//mLK1k87FjM7gQN4vaPw3gUn0jtbfK3r/+kHOvDdn9252DxeHyLAtuPr5zgtyPz69dnv1xZkpXl6MtdwUWElvgEN5OafRU66B8NhPf8pQYah/p/F1rP6Nt/AQ==</b:JenniData>
  </b:Source>
  <b:Source>
    <b:Tag>BerniniF23</b:Tag>
    <b:SourceType>JournalArticle</b:SourceType>
    <b:Guid>{f824a758-c6c0-4f76-bc00-6aed552125b1}</b:Guid>
    <b:Title>Research in the greenwashing field: concepts, theories, and potential impacts on economic and social value</b:Title>
    <b:Year>2023</b:Year>
    <b:JournalName>Journal of Management &amp; Governance</b:JournalName>
    <b:BookTitle>Journal of Management &amp; Governance</b:BookTitle>
    <b:Volume>28</b:Volume>
    <b:Issue>2</b:Issue>
    <b:Pages>405-444</b:Pages>
    <b:Publisher>Springer Science+Business Media</b:Publisher>
    <b:URL>https://doi.org/10.1007/s10997-023-09686-5</b:URL>
    <b:DOI>10.1007/s10997-023-09686-5</b:DOI>
    <b:Author>
      <b:Author>
        <b:NameList>
          <b:Person>
            <b:Last>Bernini</b:Last>
            <b:First>Francesca</b:First>
          </b:Person>
          <b:Person>
            <b:Last>Rosa</b:Last>
            <b:First>Fabio La</b:First>
          </b:Person>
        </b:NameList>
      </b:Author>
    </b:Author>
    <b:JenniData>z:pVhNbBxJFXaiLOJPIHEKCCkFgk3Czow9Y3v8t0iJExwCDkT22tkjNdXV3ZWp7upUdc94ckBmD0icQEh7QCxoTyAOnDhZQoCUEwe4cQMJBQ4cEBcOe8hlv1c93dPjeFebWIrjmemq9/O973vvjX9wsvBKpI3gubEnCxceZjyS3ymSgbRipdsPjVWRSi8lWRB+U0Wxxk/ucE75K8qk7icnCxeDwcAcnSxcCmNJB57duHjl7p8WFhYCLUO8u7r53jHeidxkz24cPPrp9/BGjlWQx89u7B/+nE42/H7qRQ3+++/0qDbY/TM7n8HDN6+ShVmEix8twl0yURnc+CvZKA2yd3/87lyE378xb/DTH2CQjp1l8Cub/8LrmcGD3qmUX9Tg1b/1KfiZwftUo3MYfM38aL4onyH75zC4+Il/0KNZhP8nSM9hsLt3eZ6Hvz5nUZavbM8V5fDgnAZX/jucw/Dgly+FIQVVGuyfvD1f5d+8FIYzg+s//OO8Uj75UinPDG7u/2c+5eKleDgz+PqXPjcnvUNDz17U4F/+WRv8+v9en+Ph4drplOWjwuRycukPuxOTMp4G7B4/Gkutnx7/zDF2rbfU7V5ngQxVqqiDMuUYT0wasTyWLDEuZzAu9YRZKUyUqscyYCaVroVLTlg1UDgbWSnT9pi7mN5xx54ev0P3ndRS5GokWaCc0MYVVjITssw4eMPHKkVTT3zvZnxgipxxJkyS8XTiA5TpSFmTJjLNuWbGMmeEwqtMWn8xFbKFAPOYroaFRpxTTxQIhZDKCOZnrtreF/7hoaO4YNvR6GjBNoWeGyas5LkEWsyMpIXNOl5hbGYsPVQJQH56/At2LeuwjesddhenYdOysbEBrJ0JOOJ22RQSAaeA1roSvgZ6cIxfkySRuVWCAEmKVJUjDnFzoKQSH6mVCOfDQXOFaAvpHJVsHCstWawCcpQZ4Em2VU5HCd0arIGM+Ujhk2s70tonv0vbh09+q0UsHzMJd7rTYqy31FtC3m/EoEwzL5UKXYAciMrlQDKhiluAza2Iy/Bnqed0e6gAEw49BwRoBJ88Y0hk6MG+ZQx81UGAvuvXW+QS+WuJujSIdu0et7lKEXPjPGJu+bIAZJUCX0QiWIiC+yu7UrJX2R53Ih6CWji/jBxvamdaZax1IlVyTiJVkyjnWeTLx0BMlRW6LBjOgTDRBMHHphlJ7zoVBKYyPoINYisb8wkDT/0bB8Uh0Ca2AInPozSTrqdgyEXeYo8KBSgIB0ks8dZgS8gMZQ7PlCVALEOAuOkMEtKSe6I0Ib0tdYIUX2Vsu7ADngIWaiFb7HbhX61usfuoEA48ePIryzlIh0/7W2xfwmmzbmtb7E6hjub41NtiZxcggKiGJwufjfmA4BT55GPv3Jy+nDKQEy8qXXhUoGDKyFiZQzyaDbgYRtYUwJQgVilQzxUxvmphFaihNQkuDwq0EUiHUSFQYtGsRYc9mGmYOoRTA2RY8+NRQdaJEso3GzzRcsQhtFBJ7fnu8iKYeFXiPHJ4zp/zR5R0JDOJixb9uPbgcpmxzBr49mrLeD7V11hp6paKZA0gjeYkNVP29ELnCjSBWOa4BRKHcyiUPqck9L54yvXk8ZSqCS/zIjf0CckamnJF5ltSFSWJnOSW0DDDQIErap9kocZsDvupXOqkoTo79R/XS//0fo4EaRxolQ7Rs/Ix7MxZa1GHLHIvRJyjQFCG6q3gmUJnmfYDNrCGB02djLguKACkVjc1L8xyCNWzo8N2FOxpqiXCKivim7I3VeBsaHkiicSluUYmziTQRSItvtpEs+Kin4BA004F/ipUd+pehiFKdka9bk3ZWM4+uIHQw7aVUdWKwLHU5FMDZa+Gx6AQ1bSM0GsrHF0BgZFvnKMwMJAGRkME1XCAtmsiZKRErzKFRlzNKkTom6YnOqqEBHCWBwHSbExoEJEEicpj8YCYGhGT41m4GvNJY77htABkKVod5WNSzGjQG64tJja134C+Qk5OjcJGIxvQqoGuXjaLkdSG6M041JZTBWlieokWqMXsXod9t0CXIR045GUQGfGbpX7bKi9EUSV8Sios/GCp6nq6SGghiM1yrfIJXW+EOG0bzQ42YxF4Vva4Erp5zp/yCR4WaDg8MKA1mQSMmBgJF0CNrGPBacwYIBIaUSC7ad8ykChNhLNRpb2J5FCqaLYgRbQ7pbShsWvf2L+DJXOWGiYIrUTQTWFpZ2oxA1jPlEtDKehwz3VZL5NKolU/B81iM6b9oxRqqWOoN7cFckReuE9tsGr1tD+gKmgyaJin1qe6HbWAwIQ4RjPHxdxKNFZaYrB0zSaE99XRXPidK7hNlzHEVttL6wnO5BCLtHfBYPpTBy+wuVp3rEurO/jB8rja6felT+wi6p5refTlbwEf6lgowz2wL/Lkx5y8U4McjowuEnn5i1ntZbf+QwqaRyT3OMSFLxjKj5H7+OTzF96ONa9e/17TTWz0BS65t+irSIoq4HcY8kTpSbQNX1g2gMZIpmrHkl8neEAMWXj+fLBnHC8Pxzt8oAzbnZ4VKsDfbV4RgVFHX+gudbpLS2uLrru0sbHWxsBvL2301/vtVTBmkB7jf5e+pbrL66vt5ZXVNdVdXeu1N/rLb0K0Mr3pkb4b5N3llSU8WVnbWN7oLXe7K931XkwnOBAcPlhZXu/3Vlbw66HH1pfmIe0XKE27t5FkxUArBzaW1bngszm6sp+RVCHufYF5KuRr29WUvicDxYegEooj5IHVR7fjPM/c5uIiDaSOm97sYDldJGxRs0X87WrxgzPu4HGExptPMgJySAus0PINvL0A3koTfhu7cvNjCZLqCc5qgZ0v2J7cwoKTX/4qllP0Jgo4eAAdufLj8ZRQD/dqAZUin19/aEHZrPRYtnk/5kuNz+ZuSVvfKWoB+FHR0F2Ib6rYZI4DyunjogBMX6tgQv07xkYfAsj7</b:JenniData>
  </b:Source>
  <b:Source>
    <b:Tag>ZhangM25</b:Tag>
    <b:SourceType>JournalArticle</b:SourceType>
    <b:Guid>{712a464d-6bb2-48a7-bb5a-20893ff4454e}</b:Guid>
    <b:Title>Unmasking Greenwashing: An NLP-Based Framework for ESG Report Verification</b:Title>
    <b:Year>2025</b:Year>
    <b:JournalName>Advances in Economics Management and Political Sciences</b:JournalName>
    <b:BookTitle>Advances in Economics Management and Political Sciences</b:BookTitle>
    <b:Volume>236</b:Volume>
    <b:Issue>1</b:Issue>
    <b:Pages>272-286</b:Pages>
    <b:URL>https://doi.org/10.54254/2754-1169/2025.gl29576</b:URL>
    <b:DOI>10.54254/2754-1169/2025.gl29576</b:DOI>
    <b:Author>
      <b:Author>
        <b:NameList>
          <b:Person>
            <b:Last>Zhang</b:Last>
            <b:First>Michelle</b:First>
          </b:Person>
        </b:NameList>
      </b:Author>
    </b:Author>
    <b:JenniData>z:7VaxchxFED0ZDIQOITFTJrGrTqc76WRJTijZlm3AxipLxlVkczO9u+ObnVnPzN7piAxU8UUk+hhyAkKISHg9ezrJxlVUETiSqqQ77U53v37vde/+eNr7oPDBlMZ9TK9an2hxtdmPojChjsI4FUhG40q7EG0kcXD0UNw8cDMTvKvJJWn74sgrw5/SafHQzyg46RTdEk6GIJOZURTJi2hKJ62IbUzSODkx1qRFX5SByM1lrFBDKI/A4KKo5IxQPJGLpjCkB+LgxMTEZ2JqtUFKTVEFMyFcWFjzA2mhTVTWxzaQaGRKOdGkTSLIQIDfBD8zGueVtHJiqS9SRT4s1nUARidkgxNSVR1cGSPFmPsFBdp0eAfiuDIxY1gwvuB1qxAgnfj28eH6REbgKIKsae7DFM351mlcMk5MCE0ZH8BBV5ervGqlS6ZYiMrPhUV7LXephGqRNFay4fbklCpvNQXRUFDUJONdHIj7Qc6ZEO+EqZsAtLguaulkSSxN/1wADowtdPSuk0n50pnuTvBogBXuiyYuFCr50oAiMFaTdLhRtFYUJBOIRadgl05SkCqhL5m4GYFmdV9EFCUI2JVoZJBlkE0lLM3IwlHB15nPQI0PKQpfiO3hUJTWT0BKNtxAPGcoWfqAnhILhZ4U7EFIJAMDEjeP4ZqjR/uHt3KpCOOiNkwoJtar6frcwKozGQwbEU5Rvm58RMPcPwNOaKFlN2ZTwkywACfO8ECZK1lTnc/GFFqF5nE8d7Jq7GLHPmQS5iZVOQi2loliAr8wj+qo9nNoyATChix7NvYDH+Yy6HXr/bSbgbo2iQWMwOobo7iK4QtCWuDttGV0nXtSJ3FsSCGlgksF9A8lwcNnDXhXZjCZhKx6RuUDalCOzIIv5XxLuoG45x3GOmKKYBJMBqfArHbMsBv7LCoBy8phOD/hagvc4Rm5OEV9Ma8MdDXRW7CkM3Xruda50XxRgC1rQEYeIMR3CwfC2pZ4Egkq42hrYaaz6ZbcLpLCwzBDS02AlwQ2nCAk7IRglS8sC4aLsOVaAOfeTk0XoylxDGQ5n6WLGwvCM0w+gIFA8zmDwdYqK4DiFIHKFl1mqg1ojN1XLtrNaogDzdvitHetkhNGr9LlDr7cwZc7+HIHX+7g97aDrVQ8hKTvM/LN4eb2+mhUg2FelRS+coU/7V0tZZsqBL8GKQ3KPcAviBsONkdkYmxpjRWwdLKzr2fsfN7f4gBpfA0XiSer1ZCrH3powZMujpRhF8di5m1b06d/NKvSj71i7Ke9NdMg+JmEkU57V2C0ENMhrny2dq2y8uz7dcuRWMstd4n3+yvaYRnisyhkbeyCvq84Rckbt3pisG2tJR28pV5RyXioiz+V0fG096HS3px8PhoOtseb2+ONzZ3tMUi5vbfB9AxKu7m3vXMbKk7ca/yN7iezOnL2bWen8g1hwOlk+mI8Ht3e2t0b56Cn8q+XmbLM+Msl4+ujvTK2k7RoGPFUBtBj6Rj/rkFa8sU3xumLl7GfMDY4azF2pO8u7mHfp14KBFMwpfoFHgOxu7oU5+vnrpYxj/rDC066I/a7Z8jd/Ax5sHqGsIfYsM/y1hTfwW2YcljRu6JbDz+f9j4qtK8hGKBMjJabmXXfPZhX8hIWjtXdkclonM+cfHG3xcaF+fpv+2NfKcYNbDhfHI+Go9F2F3Prng8AA+aWz36Aiw3WwHK+l1gRiWe0D/T3l7/fqHr4qcDuBRB6NB7u5pTzo25osYJQ+RzIe+psd3fYxbz5aiOO3nhZ4Wk6y3nW2K+/bYh3N3Y7ZzRPZJhCeVf+n1a2tt55pkM92t1a6nHj3zgfYQFhfR5g9WarnOH95frT1+/Au7U17FgzqwjNY/CJaoM92ahSauKdjQ2M5MCHcuM/pnLKxoVR+X1j7R8=</b:JenniData>
  </b:Source>
  <b:Source>
    <b:Tag>GeorgiosK25</b:Tag>
    <b:SourceType>JournalArticle</b:SourceType>
    <b:Guid>{c26e36b6-8fae-49b4-9c26-3e8b64907e31}</b:Guid>
    <b:Title>EmeraldMind: A Knowledge Graph-Augmented Framework for Greenwashing Detection</b:Title>
    <b:Year>2025</b:Year>
    <b:JournalName>arXiv (Cornell University)</b:JournalName>
    <b:BookTitle>arXiv (Cornell University)</b:BookTitle>
    <b:Publisher>Cornell University</b:Publisher>
    <b:URL>https://doi.org/10.48550/arxiv.2512.11506</b:URL>
    <b:DOI>10.48550/arxiv.2512.11506</b:DOI>
    <b:Author>
      <b:Author>
        <b:NameList>
          <b:Person>
            <b:Last>Georgios</b:Last>
            <b:First>Kaoukis,</b:First>
          </b:Person>
          <b:Person>
            <b:Last>Aris</b:Last>
            <b:First>Koufopoulos, Ioannis</b:First>
          </b:Person>
          <b:Person>
            <b:Last>Eleni</b:Last>
            <b:First>Psaroudaki,</b:First>
          </b:Person>
          <b:Person>
            <b:Last>Pla</b:Last>
            <b:First>Karidi, Danae</b:First>
          </b:Person>
          <b:Person>
            <b:Last>Evaggelia</b:Last>
            <b:First>Pitoura,</b:First>
          </b:Person>
          <b:Person>
            <b:Last>George</b:Last>
            <b:First>Papastefanatos,</b:First>
          </b:Person>
          <b:Person>
            <b:Last>Panayiotis</b:Last>
            <b:First>Tsaparas,</b:First>
          </b:Person>
        </b:NameList>
      </b:Author>
    </b:Author>
    <b:JenniData>z:7Va9khtFEJbBBSkhEMBElK9K0kk6zmc7AWGfr67OBhU22Glrpnd3TrMz65lZ/WSmCEh5BF4A8nsH3oBnIIOiCgL4ZlcSZxtlUCQX3Olnu3u+/vrrb/TVRef1zHmda/smP6td5NX15TiI8akgq8SCp4JytjGIKUtXsqjYzynoOQtthWKpg3a2V9JM27wrdBQ6COl11JKMiA4hQecWwZGN0amUCKsQuQwiFhSFdVE4a1Yi1FXlPJ7WIZK2NNVGx5XgDPDS8XUUZIITeU1eARRiQhQlzreIKCkCR1+ceGa7oFC0cPrc76YYw6TwjZDO4xCK/PIx0pAuQ1dULnAQJEo6d17Igoxhm3PqhO1ce2dLtIDWKu9yzyH0xWMnSKn0Hh2l7jdJXdCXGvdO1ZLFccmejHqorerihIxk7EkU81qKzFPJC+dnDVE5ECa0JJQrAbIXKhCdIW5m3cKwAiDEVIVY6FgIz6jBczI9qvMEj5UA0TgtcZKgUx1RCF0D8pYejCaybGm7hA1Ma6NSL1vIJ81ZmXelUJi8D3yJyONHJ+LGC9x0RXBSp9ckodwhw5KVvAekacSgOdQe/ScQeIjOaGpY8FwrRlxXuCyyTXPDcPMktKadF/qfEgbVnrBWTgo15PHMkIVK8KZ0ik1IBZr5CgpICgklxob+/qYdcU1n4hy6SFQ33G3ng3Rg2XyddIJ541k6M3qyoSKPj91tD70pyRnmgJpKS+g3AaVpo7mUhPQKhfQUyl8UaLYVoJBk00ZMeU0MKwxniaXTCXXAqkAVlhcvTnKdrCiClYhmStQGLoynWbLL4yVZQCwQOda54ohNxS6TlLUnueqmukiD9NPYwOGWYkDARvCyArutsJ7V1O4OCqF9lZS2GdSDBw/BUpKnw+ImLVlGBDZVZNpyL9YNDfiY1NuS0ldpFBedt4pEFODEKy+68qIrL7ryov/BiwxgYD6s7gFCPhqMDnvDUSkdRIUcf4pFx0+nHGounA/Pjca5Mt7Hn/Nq0D8YpXYML98l/1TPxY27zlu4jvjCNrMF1j2TqnkNN0GFby46rykLCeA1y6jUZlWcsPO5hgvkyLHFGbl6pkNXeWe482q8Gnu9jo1nrs5c5Wrj0PqpwyR12JXHx7AI3SbOJoG8qxU8dOc5cmKojS7PyGulu+Ie5sC74vXxnPIcol5nFRMdHUa884CsaZzbaDehimDSWRo1utmVdD5BwEq7uOFAPw7I9LRJyQoKE5X9IrUKF53rUjm9fGc46H946/BwsE9+qef90eFw1B8ODwc3lQ5T+xz/g31euIotYZizJ0d4eHj75u3RER59Rr+eI6BuRXK+FknSSVVPjQ7FRifXGqz+VQ3koZ7GVYU2rkHF7LIzrMVvDOMyK7RmpIaBfrK662obO9FzxlhtyeoJfCK036519vDSXt0RY3G2dafGMXvjrR3f3xpN2oDLl5S4t3HhLLpKy/D1ReeNrPV9oJlqRQdNJ88mxSo0t+ojqROgwLAHo9qg6fCoiaruYhnrtMDrKDzLHg9B083m+XIPbgK3wMUHxx3DNWFq8Gpxur2gcVXdeDo+3eMAk+c/Pvrp598/7nQ6BWi7dKAaHg1GTcnFjir/RR/D0VFbZfneWM3TpaJarsWnDHUbvMREM2y+Bf/Dt39+96+Ab8Pdo+Zm+2foBy20l2Na5INbt9bI3z/GzwTZ3gjr0NPGyODuGX54baB//6MC8legHxwMh+tzKGPY7+eAQV4WKon67Q9g5Ga5V8RYhTv7+1i4PvZ6f+fOzRJdX6bNcLbzFw==</b:JenniData>
  </b:Source>
  <b:Source>
    <b:Tag>YangZ20</b:Tag>
    <b:SourceType>JournalArticle</b:SourceType>
    <b:Guid>{db21b3bc-c3ac-497f-a2e9-6b1dfaf86779}</b:Guid>
    <b:Title>GREENWASHING BEHAVIOURS: CAUSES, TAXONOMY AND CONSEQUENCES BASED ON A SYSTEMATIC LITERATURE REVIEW</b:Title>
    <b:Year>2020</b:Year>
    <b:JournalName>Journal of Business Economics and Management</b:JournalName>
    <b:BookTitle>Journal of Business Economics and Management</b:BookTitle>
    <b:Volume>21</b:Volume>
    <b:Issue>5</b:Issue>
    <b:Pages>1486-1507</b:Pages>
    <b:Publisher>Vilnius Gediminas Technical University</b:Publisher>
    <b:URL>https://doi.org/10.3846/jbem.2020.13225</b:URL>
    <b:DOI>10.3846/jbem.2020.13225</b:DOI>
    <b:Author>
      <b:Author>
        <b:NameList>
          <b:Person>
            <b:Last>Yang</b:Last>
            <b:First>Zhi</b:First>
          </b:Person>
          <b:Person>
            <b:Last>Hương</b:Last>
            <b:First>Nguyễn Thị Thu</b:First>
          </b:Person>
          <b:Person>
            <b:Last>Nam</b:Last>
            <b:First>Nguyen Hoang</b:First>
          </b:Person>
          <b:Person>
            <b:Last>Nguyen</b:Last>
            <b:First>Thi Thuy Nga</b:First>
          </b:Person>
          <b:Person>
            <b:Last>Cao</b:Last>
            <b:First>Thi Thanh</b:First>
          </b:Person>
        </b:NameList>
      </b:Author>
    </b:Author>
    <b:JenniData>z:pVhNbBxJFXaiNVpxgQsSiEshscuuNB7PjPPnSIiM7dnY2XiceOx4EwlEdXdNd9nVVZ2q7vlBHAzScgEkJA6ABBJcOHDihqzVSlxYLogTF8SBTeCCOC8SihB8r7onM2NiFDRS7Lh7qr5673vf+17Z3zhbWo6VCXlu7NnSpeOMx6JbpIGwUfPKeqtvrIylfiXNov62jBOFr9xhofR7pNHue2dLl6MgMKOzpVf6iaAFz77077N//XppaSlSop8/u/Va+quv4inMTfbs1p2dOsODGMooT57d6hU/uIXHmYM/9n8Cvv3F39BHzwGP/kyPCwDebX35dBZw8PMFAXdf/4hyfA44/NZPFwPsfvY7cykPfrcg4N4nP08IU8C/frgY4L3LX5mr8jt/WrDK977+C/w8w+HjBVO+94+PKMdpyo8WrPL9x+05DovPLcjh/b9/d74oGwsC7os/0sO0U95/OQ7/Scy/EPDD1+aEPXjychFeCNh79Pgc4MvJ5mLAP7w/L5uPLwh4sPfqrGwuX/3teUDxuDC5GC8Pd3QurPYuyRVzYWIUt45xHTExyoTNHUv4QLC+KfAqkv2+sELnLBJ9qaU3V2b6LLZC6CF3idQxk5rNrOxLoSJXZweG9Xkolcx5LlieSIeFODySLpSZkprbMWADfFpjBzxQgl1hmRUOII45kwqWckCXJ6+88Og62xIq5WX8G4UNuDbsjVaj2Xyz3CcinIzThU0ZlmXGWCb0QFqjU5wDChiSxkRJuQ6Fh8mMQ56gIDRpWmhZjhTGA1Pk5/bObEW+lOGUJobzXJEKhwB4ziT+0fnOSco0NwwfptxKh1PBmU2fnv7IXYzvQ8OuUAFW9seMEJGRFjHiQ7RIbBJ5nfVkKlFXNa7Ngs8nFHLNAjENIyoJqpInvAl2nd0dEwOIYJePhkKpCceZNdhBWxGY4FaA3VGmeCmwGsDjWLicROJZ8LVbmejGCkgG/BhfIyeUCP3ZpBBlXGGRVX8aktSejJlq4FSTZlyPfXrOhBKkIfBzNHLAQjw1NpR5Mt2nBHT5nD8rBkJVYSMiZBYVnnZmBgJMzlATGpsZS6qWKVqszrbNELstNpIG0DhIKwddvjkQWG5lmAPC0gkkyTLjp6c/TLiNEPy5lHGCpqr5pphNG//+t0JkrA1aiGWJ0OggzVGCMKHKlrEyHiHQXDqEVmMD6QqA+E/QjAQw4HEB6SsuU/TwEVcnqCl9cAQmqOqtaWfNV5O6kMU8g6jyIT5Aej924zQwSoZPT3/iQehVERA3xCS9nXJZla8qVh1S0wiL8mRTn6q8yTJlcCRoyi13ROmM/4APbxQTaCJuHvwmVQA0ZaZsKnAMkeZF5YpkQlSKmm8d9A1SnwkbhfTyGXs9gb2yBUB8Co1RH1ooq0SOAO5MnUVDY0/Olj6RcMBYhDFevuQNw+VFNGYFAfgmGCMbKnZIgpRiyFIBzUZGmXhMgGLEU5CPwgu7Ui7B1mNTwNSRH0qLRkT9i0BJl+AjOCgBH4mAOOmFUkArtckPW9Ki6fCYWdSwKnUnFZariO1oR6OHRQV96GFajUbj6en3W41Wg7Qnjc8SlVJjGNm8Ne+QZTCTQQpwmBOBYwgiECiiRMC+SCA1FytmSHpC9YRFIA4JvNHb67g3a+BSDkgdZSUourRQMJTJBJspMjbtdjcdXAn1oKNRGWgPPjk3rfLECp7X2V5hoZWQ6m0wmKhRZ1KZ6vL8qKMz6P/EOMwDUIXfReIqQ9Q/8zUovPvSsraTHEKCLPIhiY47r+63JCyihmecgnF3fqR6nUsd0nqyV+vHMdEHIaE06F90/AOjTtwQXaIZNnoL46r0l7JRuMKskARQ5CY1gYSfiFRighBdEc85ZoVAG0W1Mi94N/mAF7UlvTNrvAeRr1eOVqaKEL5WTSXcUOy0rERkFTlWg4RCoyEiOCDZGc1J2kYsk/wTM6wmpD9/0jdCx+RWOHee/jQFEqoCWN6HWtBg9D4ocBaa9sK6sBBOi7aDZInPgLy4tGU8WRGjXtWM8HNskqPJiAbMzFxCk5SsMkPf/QJ+QcNg4hXwSljufLQmDKHyGk3qocTQRAipr6G/B+F8X3dtcI72pqLpwkA7AhpSyuGSAN8SOZIlcx3CBNG6EYxLQpiGHI/OQZdqlBk2laMMGu4MZO8Vspy9aLITgc00l3xf+jkVQlplS0IdCX6p9kmiIgUERr1Tmu8MO/4CgtGE+VPVKxBQNgByb2qVS6SYtInE2KmwcMsQNMTC0o4yvxRXJsXDEOyJaAsVjeEpV1eajZRMHfc+YXewh/4SUEbnThViws638GVstFa/0RRQciGWqRZKjGp3KhcEqRsTQXQAZ1IZltWbzpT+wCiQ/ans+XF3n//BQdLFeZ/DD3EPB7Ho1Ht485nl3ye4fVU//0X56SNRKgT3Lt3YNU9pR78Pi1bj6CEhxBCJDh8lMqJGWvrvZfH2B7/84GeTlbYbF+Mn772r0SZP3vs2vhcXbQy7ePSbFG2C+LYNTrxoeb9cVO3A7CHsMevG/MIDNrkpl8tyOddJuTaUEf7eshyi+YbNRn3txpVrq8eBSOs0F+rNtVbrKi40gT7Fd6e/KfF6feXKlbU12bzWbK40r62vh7hzHK81bqzfWLu+drWV0JiAd41OjqYvj315vTqOCXmlsb7SupFOZlslkEs+7NHrD6TSsnDsNhwCIxIdcyDChK67ih1qpGFxfxufoO8gk1AcWjXaSvI8czdXV6v56eqDOC/qKl+VuMON6lmSrd7Z6OyuVnN1NcKgUoZHqz7H1Wajcf16jKtBPs6IuJNq3QEeL6FhhOm/DaTZ1wK3NjXGWoXBJKKN8SacPf/033J/GaaRHB3hquDK17iiemkHt/c7ne5Ru7e9073NNjrb7Qc7e4f7vZtss33Y6/TwC1T7nb3u3u5D1u5usc29bq9z/7DT3ez02Ea719lie13WZr2HvYPObvtgZ5Pd3Tno7LcPDvc7bL/zYKdz1MdvkmiT04hyeRXGpUZfmNCDOteNjZHvC2v9Hw==</b:JenniData>
  </b:Source>
  <b:Source>
    <b:Tag>BraunN26</b:Tag>
    <b:SourceType>JournalArticle</b:SourceType>
    <b:Guid>{e41e053b-a853-4f51-8abe-c4fa279776d4}</b:Guid>
    <b:Title>Enhancing Language Models for Robust Greenwashing Detection</b:Title>
    <b:Year>2026</b:Year>
    <b:JournalName>arXiv (Cornell University)</b:JournalName>
    <b:BookTitle>arXiv (Cornell University)</b:BookTitle>
    <b:Publisher>Cornell University</b:Publisher>
    <b:URL>https://doi.org/10.48550/arxiv.2601.21722</b:URL>
    <b:DOI>10.48550/arxiv.2601.21722</b:DOI>
    <b:Author>
      <b:Author>
        <b:NameList>
          <b:Person>
            <b:Last>Braun</b:Last>
            <b:First>Neil Heinrich</b:First>
          </b:Person>
          <b:Person>
            <b:Last>Ong</b:Last>
            <b:First>Keane</b:First>
          </b:Person>
          <b:Person>
            <b:Last>Mao</b:Last>
            <b:First>Rui</b:First>
          </b:Person>
          <b:Person>
            <b:Last>Cambria</b:Last>
            <b:First>Erik</b:First>
          </b:Person>
          <b:Person>
            <b:Last>Mengaldo</b:Last>
            <b:First>Gianmarco</b:First>
          </b:Person>
        </b:NameList>
      </b:Author>
    </b:Author>
    <b:JenniData>z:7VW7chxFFF1jClJCHskNwFhV3tXu2JYwBJQtC9llyXJZgJz2dN+Zaamne9yP1a4iURTfwE/wA8rI+A1/BBQBCadnJCPKpYCAKgcKdrdq5j7OOffcuz+cjq5Xzuta2/f5ZXKRl9c/2UshCm1FqY2OS/LcOR8DCc8kvY5aCkNIos29LRIhcAgt23iLlhyp9sz2SIRG25qEVTQXdUKeEboN5KrIlpJV7FttmWLD2qOB0WfNJrS50CHm5Kfbz6h1ik0gI+QheVcCl0U3ii5nBqbOCwk8HG5RXHYZmMl4zTIXcJZC8pWQPDY8Z0OdiJG9RX4jgJQte2H0Mco45w167+eKrnOoLBDtRctIGHNVaalBkar86Mj5w6FEiD7JmDwH2t7eAUyww9MOLQOVS5KuLbXNWKSz0QsQmzMZFr5/eKRjA43IeQW1DXlhD3vg5QGDFkJBVIoud4CwQrEi1auDtw48So5HkDtXlx5QKauRX2ThBXrXyaVwJv6EdpMn0YGhkA2hiPMYLDAHqvGtqGLRt4LqCVxQKQOotIEIubE0DoIyWaezQuiRIqZ2jAI7HMUWED51vs1JMFAeKLRtk4l6/A8l10Xd6uO+fJ52x15n+wQggr1cCGMJNLXzSwocsxUCKW5BCwqCY0g5Bfa7YAg3B0L0tEp4RaUIcBRe0FGjDcMQc8agsyEJNRSPXVW9Fg/2xgCBoIeUx4BtUNn4meFrlwyAVR7+6eiDRpQZjoxX63K1Llfrctm6wImYbWD1MGMspsXaeFq0ebpYGPaPbeXwB1SLFBvnw4nRLcwQv8EHQ55ObhccdTS8+Fj4F3pONzect2wMfWehjQ/oumJ6r+gyISX8dDp6R1mYDr9VJVptlvzAi2S5RoJtn7I29Ii19Vo2yjvDozcz5K6th3h+wsLypXE7wg1x8nnSl0XVG3CW12KIVJteH14W2uywrYVRZ1X1lha2FV66IaFqRHimqt+lVuF09K5UTi8+mk0nd764e3e6KvxCzyfF2nQ2KWbrRQEDlvYE38GeNK5jjIoXh/vrs2KtuLs2m97Dq13xxwEC0jCfg2E+s3Fxr+1SaXRozkd0rUfq35S/DqnEKQGJa5g3u+qJtupPuBuXBcSM1NiUB8sNl2wcRc8Ve8jFah9HIQxPz0b81aZthJXZdtvC1knUTDvDPcvH83nvXtq6eC8fYof7Da6iwzULP56O3quUa+Et9C61Erd73C+fNcvQn+G9fJfgSK40GzUElbP1PqrbcKCdd/csCu+qb2dZlP79YgXbh9OAQ48lue+jzmcORR/bCFE0rC+Zbr64/3iFA44F//X1bz9/ejIajRqIdKGhmq1Pi77k0SVV/g8e07W1OwOPz/awvf0RoftwBUoOF3C3w/HFEdvpb/A5h19nN169LRwKeHfg8PmjfNv2Ombc5gx+Y1myLxNs9y9nnLP45dUcJP47C5XN/eENmbxZrDQxduHL1VUs3sT5evXS3TvM/3nf5w1xdvQ3</b:JenniData>
  </b:Source>
  <b:Source>
    <b:Tag>SetiawanA25</b:Tag>
    <b:SourceType>JournalArticle</b:SourceType>
    <b:Guid>{5ac5dd90-6525-49eb-9eba-a246c7f31b60}</b:Guid>
    <b:Title>Institutional Translation and Sectoral Readiness: Localizing IFRS S1 and S2 in Indonesia</b:Title>
    <b:Year>2025</b:Year>
    <b:JournalName>International Research Journal of Multidisciplinary Scope</b:JournalName>
    <b:BookTitle>International Research Journal of Multidisciplinary Scope</b:BookTitle>
    <b:Volume>6</b:Volume>
    <b:Issue>4</b:Issue>
    <b:Pages>410-421</b:Pages>
    <b:URL>https://doi.org/10.47857/irjms.2025.v06i04.06292</b:URL>
    <b:DOI>10.47857/irjms.2025.v06i04.06292</b:DOI>
    <b:Author>
      <b:Author>
        <b:NameList>
          <b:Person>
            <b:Last>Setiawan</b:Last>
            <b:First>Amelia</b:First>
          </b:Person>
          <b:Person>
            <b:Last>Haryanto</b:Last>
            <b:First>Haryanto</b:First>
          </b:Person>
          <b:Person>
            <b:Last>Soedibyo</b:Last>
            <b:First>Agung Nugroho</b:First>
          </b:Person>
          <b:Person>
            <b:Last>Wirawan</b:Last>
            <b:First>Samuel</b:First>
          </b:Person>
          <b:Person>
            <b:Last>Djajadikerta</b:Last>
            <b:First>Hamfri</b:First>
          </b:Person>
          <b:Person>
            <b:Last>Faninda</b:Last>
            <b:First>Sandra</b:First>
          </b:Person>
          <b:Person>
            <b:Last>Mardiana</b:Last>
            <b:First>Mardiana</b:First>
          </b:Person>
        </b:NameList>
      </b:Author>
    </b:Author>
    <b:JenniData>z:7VfBjhvHEaUSxw5yyzGnNBAgQAKS4pC7q5Uviday5E2iRFiuIx/T7KmZ6WVP97i7Z0n6JCOH3HOzfbEP/oj9HQM++AN88sWveoZcrq2FAcM3L0BJw2F39atXr161Prwa/LJwXpfavkHvty7S5o3fnFckSuMW0ohQ6SKK6FbS5yJEaXM86A8IX1p81VYutNFxIzw1zkdty6HIvb4kKxYbcfrkbC7mmcA2MZ8ORWOkoiBK71ZYKXKq8UsQzgqqyQNDKWrplxQDjhTS6NKK3NUUolYi10EZF1pPovFS4RVCrXSshLaRvJVROwvItG5IxfQtjMWpxSd3loKWQ/ymEQvHvD1/Cshla7p1eK6RjCi8LGtCuDxhdtZsRCORlzR44nNKL/nXdG5KD1tqWjm/xGHnlQ5gqc03gi6labEUmYBNTzLXwIBci2s8VjTtwiA15epGWs2LkXbumvg96tKBCYoCaC9kjMAJ7LyFj5A56ifVZggKQQcQoyzDtD+AD+dBjScDXFYRw2AKrjkF+kcCAbALlFwSMCFbGxFAmk1AXisZ+GXeKiYAB39HAXyStBYhejEEcONqMZ0KA9axp9C+DkIq70BElvW4wlC0gWsSIrjVhWZxybox/A4ikiFQFAGiY4jRRRwA+Fk225eEjoTYK8Ijb8AnZyXKFRcVKHo+h/0DGGW8TNzpfH7yxcuPAtcFGfnN6ERit3ja6py5SqdWnmjUOChABCUNJTZaXgb6WRL7WDoae/KTOEfK5eSZf72li9aKKEeAhxPRkFfgeiyeaAudlKzHS0KesZJRrCqNAytdVqOOi47HjmQEqB3O5Gr2JWMF2M1+bQX6bsm0JsJHAQ0CntFS1MRqLOY15A14FY6MlZIIty1VpQGk44kBoBO7tuQm6Zvg5OmNlhtCF2XJLYvyJfyGSh11DW0yQoVWRWQwQ7HS4FLonJUMSmrJPVaYlliie4SmDBELtYTerIK4hZKNVNgF+Jt64biNjLRlK0soANFLsuiC1Fu1jow3sJdgPzjr+0kZwIo0Ql1SV+9TZiG0BZp+RXLJnU19Y3MKps1TYyO5zki23Y02wT4RnCFslaJoLYwKvQLB9nbjPMdgeXeN6BPXvb5PLRpFAp6OWF8YsBpE5VY7O+4dGASy5llajaetXaF/bOgy4fTgZztT1AisY9uZ3Q1PMK7UKnkXBTaq0Bqc2VroNaiOdxIWUhWYE99TEKe/QLkq9u0u8t5Re2UaLVptWNtj8XZRIAp7TLK6np6bhgcg77e6r0Pnw3v87SQ4FIuWFRlcJ/51ZPvpwDNVaR7haUmVM9yBZEsIpNuaaOg8DNlZ56GFzvm2ihnnbOxXg99WcsHupOLddLybjnfT8W463k3Hu+n4s5+O6BtMGbT5Y7BaTifTo9FkVvNRvMmf2sJdDX5VyjZWMLKXkBOyjU/wx/l8Mj6YkQ6hpdcIjBhaPzy9ManOwLj0qhJ/cy3eJlt7Bvo161CzAUokO1euoeLSmbam15vd2f9wism4GtzTDVI6g/bpavALVAWpP8eb3937uDJy+/y54Z1egy8g/R9W5haDC/8Whay12VRzgJQradGtGN/Fo5rNKveQ8uAVq98BNGmj61bvvt66fu4o14tNv75+VLawh3+2uApUt24qX2gY+A7RXNYtmdsWm8cX8gJ9uCQfZb/jHVkXXt8a/glmLtppF95iXtyawDO++GAY9glvv3bri0qG53nxtdJ5uBq8pnKn1yKDAB4cHz64r/1FHcZQz+H4cnKkJwfjydH04RRVXtiX+DvYD/X08Hg6Oppl71WoNrRA6+WLg4Ps8Ghy/OCAl/5Lfn2RxJS0eMHRRpMMnyW6BPpR9K4360kVYxPevH8fCMbOl/d/CEQZ2kXcNJzpMt0uDJ3j6z0olFzxd/Cz/5owfM0Gaw16mvKTzVuutXEQ4VWYvPCz/AXfhLq3vejfY1O7NoTz3qS47VOvb43obOuibwrWttEf8AT5ji3A03bXpyK6Btb136vB6wWcHV0BYAsM7WmqnZu7NCjmSjOyQLhZmLxbssgO0pr1H0747oFDh+IZqtlZQzrskVKcBTBgfXGeTbLssNvzp7ecx+jlod8fgUZuYKy6H+1n27swJQf95i9fvvvJXweDQQWu90Dk2cHkOIVczfnqQ2V3iboG8mMym81euaZL4mB2lHVJ/PmHkni8m4XbLD7741cvX5HFbJZ1WdinxMYr5piTuMv+9OAnx33Vsme4O7jcYXZ1lJ0m32X/vLlzZ7HbHP5//p9PX51Dh279ew5wHfg5LhZQ/3XEnJvl16r9Mb225P8m/BujCdq/9y0=</b:JenniData>
  </b:Source>
  <b:Source>
    <b:Tag>GuoH26</b:Tag>
    <b:SourceType>JournalArticle</b:SourceType>
    <b:Guid>{5c390070-a8da-41e1-93ce-79b1c4afa4be}</b:Guid>
    <b:Title>From OCR to Analysis: Tracking Correction Provenance in Digital Humanities Pipelines</b:Title>
    <b:Year>2026</b:Year>
    <b:JournalName>arXiv (Cornell University)</b:JournalName>
    <b:BookTitle>arXiv (Cornell University)</b:BookTitle>
    <b:Publisher>Cornell University</b:Publisher>
    <b:URL>https://doi.org/10.48550/arxiv.2603.00884</b:URL>
    <b:DOI>10.48550/arxiv.2603.00884</b:DOI>
    <b:Author>
      <b:Author>
        <b:NameList>
          <b:Person>
            <b:Last>Guo</b:Last>
            <b:First>Haoze</b:First>
          </b:Person>
          <b:Person>
            <b:Last>Wei</b:Last>
            <b:First>Ziqi</b:First>
          </b:Person>
        </b:NameList>
      </b:Author>
    </b:Author>
    <b:JenniData>z:7VZNbxxFEF3AgitH4IBaCKFY8q5nd+PYygUZRyERAVuxEyNuvdM1Ox33dI/7w7uTkwHxS/gVPnLkwh/hCuLAhVczu9lVbCSEcvTBtra7uuq9V69q/f1V753CeT3V9j06Ty5Ss7F5WEedSyMOSullHsmLp5S7qdVROyvuHB483RQ6CClyjyOOnKQoyHvn+7V3lkSIckpCW6GQOSKgTJXk9xREpHkUta7JaEthIE5LbUggqcid95S3RXSFRBeITkFOtNGxEYAplJvZED3JSnzz5EhEGc7CFt5VFd7MnD8rjJsF4YpIVuC9nwEhAwGJipSW+KAo1wE18NBNQp68tlNRulkLLAFr9NIGVKskQwHPogAqEfLSGelN06WrPcU2AAxI4FMgG6FJi9tKm1NfzqQnUXhZEWNrGYBnf8GT1LosOKydlyKWMgpcO6/aw6UirBaLittYQuFa4owuyGwBT26SYhqgiOumJhbl1dPgks/bI1toRYC2JaRVqHLRKsHtigmteBY4CTho42KLKLGYotQhwiTcaRYJys2IVa+Z31pPLJgqAR24Xwhk93B+mXsXgvByxvy3RJEMZFzJwEk7SGvqFdpAZtyumADiYfLAHZKJQYS2a6zXGtlaxnImG2gHgUKagBvwSC4oOeES1xIoa8+VlctThZN+K+prPWbGrU1X+ETQUytNECWZWrCsUReNSNBCThDpUqwTQHasNOSL+iV1HW+Vp1nrHOmniToW68lLl4wSE9xAWQYreeAK7UPs50ZCTYnqTTd+RjYghnHjoWjn5NrYbUGLGgaL3GFPKKVSrrvRwl3rkMU861B1zUhA4qOEFM3Cy685X7Gtr3rvlxIys6i3y+N2edwuj9vl8V+Wh5F5TiGQegCI01E2utfPxhVsxo/IP7aFwz8nU5li6Xy4NJhqKP8QP3B3NhiPCA0wNP9I+m/1hbhz4LwlY8QzqzG7AdA2DWfzGgsGGX646r2t2GT4WxSy0qbJv0yOpgi39Ei6l6S8M9S7Ie6UdBenvtPnugsrShmOVPFHrlW46m3kyun5h8NscHdvZyfbln6uLwaje9l4kGV7e3eVDhN7id/BXpauRqcA/ex0dzgej0c7u9kYV4fyzxcISJ0kLxaS9LNhVaeJ0aFcqvJWi89fZzyFZ3mCEQKJyRVfaav+guJwMOiYHAtNfdEcuGRjD+YoMCPokzrFhgnd6ULVk4feVe1ijU7ss1uCDvfFCdx/xi5A7eXQHK2cBxc9WLjn0Wo7HS33dRFdrfPw41Xv3UK5Cn0GqIlWctwSOj8qUYU9eZxrxhWo0GRUFzQZ7rZR9QF2R+JhXEThrjgZjsZ7WXs//3S/s0ypa7Efu/63iwSuBFasBhCggLGnvz//7fmG6PV6JYRbq6WGu9mozTbbh+sL+BqoHsPAxugpF71GoQt3x64NvZlAFxOQshvtlUZLDrsdx/knN8jIL4677xHmtmTw6+8/3chglO11uT5+gq57LGnMIOfoPvpGnJTkPHzx5puRZaOuuD3hjouvnWIHvFL9l5/t/1Jdsbk/+Azfu2a+WcZYh/vb2xi8gfPT7X+dvTP+An3OE+Js7x8=</b:JenniData>
  </b:Source>
  <b:Source>
    <b:Tag>BubulaM25</b:Tag>
    <b:SourceType>BookSection</b:SourceType>
    <b:Guid>{813a6c6b-84b9-42c6-8e83-37c4cb89746d}</b:Guid>
    <b:Title>How Scalable is Quality Assessment of Text Recognition? A Combinationof Ground Truth and Confidence Scores</b:Title>
    <b:Year>2025</b:Year>
    <b:Pages>1285-1309</b:Pages>
    <b:URL>https://doi.org/10.63744/gr59c1ixu6wj</b:URL>
    <b:DOI>10.63744/gr59c1ixu6wj</b:DOI>
    <b:Author>
      <b:Author>
        <b:NameList>
          <b:Person>
            <b:Last>Bubula</b:Last>
            <b:First>Michał</b:First>
          </b:Person>
          <b:Person>
            <b:Last>Baierer</b:Last>
            <b:First>Konstantin</b:First>
          </b:Person>
          <b:Person>
            <b:Last>Lehmann</b:Last>
            <b:First>Jörg</b:First>
          </b:Person>
          <b:Person>
            <b:Last>Neudecker</b:Last>
            <b:First>Clemens</b:First>
          </b:Person>
          <b:Person>
            <b:Last>Rezanezhad</b:Last>
            <b:First>Vahid</b:First>
          </b:Person>
          <b:Person>
            <b:Last>Škarić</b:Last>
            <b:First>Doris</b:First>
          </b:Person>
        </b:NameList>
      </b:Author>
    </b:Author>
    <b:JenniData>z:7VXBbiNFEHUgC1cOXDgg9QV2kRLHjh2b5bJsEsGG3bAmibLnnumamXba3ZPuntiOhBRAgg/gB/gCjkg+cYD9D8QPcAFx4MLrHiebbGKJA0gcokiR3V1d9epVvecvZo1XM2NlLvXrdFwZT9Ple4fcecZHptLeMZOxQjqPmJQrJkxajSicc0ssIalzJvDay1MSbCx9wVyVOKRCEDOlj6/SglueerLMUmpyjXCj2b2nW3vvrbCk8swXxI4rrqSfMu4cOReKhNrhxpKrFEpKFzIpRRpwcwbcTHGbIy3eao+s5JrsYwvggh3YyherCXfARSdcVTwWtYAmkRAws0ymMpThCLdU4hTfEHZCTHDPUZvjEn3SpCTtwrk3LLXEPTXZR0YpMw5A0FRIMzb2aIWNiUl9Qs7LHGFsXBBasCw1OpOCdErMpSYA4JU3I1QDQWrKSmtOcC9YMmWeJv4KU27qPI3QPcdnssDB8T68mUybbDP2iDDccs3V1IGoC+pU7NsVssS4/JhIB6DgxFrwZ4ERqUBAPLyOMpDs6IQsxoh5scg9udhnJvEukhRKoVCY8EsYK0dZpUCJQKPYogAs5JlPu8l2ABoPUFkwdFnGzCBcoXzM60AQT2S9G3FSSp5/R7LUjBKpwxguDz5G3tzNgj17mXMZ2qj7DuO3sl77QDPDTMmanDSZysVdceQDktJKF6BwNTLQ0AYbSaVCtpLnKL9IS5k1I9bubvR+Pft2vdVqNdkBGhdEqHttpFeWuRbGfHmgEGxpXgSpaGyqn5axkHSumjcfqF+AYgWSyIHShwZKOAEUFe6hljSuUEyQVb7CYMKuN0X4P2u8UfDE+SDwW++49Y5b77j1jn/gHYqnKSgksY0tytdb673VVmcE1j3HjtgdnZlZYynHohfGurPy4uaJibuASxmI2eM6p1njFZlJ6/wAJ2/duVMouFD9+W0VXloJp0CerxEpNB+FF1nGwfA026ySSnHKIVGd70q4xPMvhTWKGteD800uyeIvRg8fozMf3EMvfPCEihHXun5An/z0g80XxcpPqRKUHp2nz7cUgV23KH64R6dc02nBxTz9IS+kWBRePP/uiFv58zfz4G0McZ47K7gbiOz3VAo3ayynwsiq3Wr2Ov1udy23G/fTtpxUvfFQSJfoM/x3+qwwMDauaHL0rNtt99Z73X6/j6un/I9h3Jo42iFGu7Habq+2+zncHWsFSEtYCTLZY/D2J/ngYYCpUulJbE63wm9Hw1vKQAT0J55hX1x9SjBqVBw+MmO2H7WtYJmOfTbX5cMrujwIutx7ocsH7CHbipKPEkDENdlvvZD9fpR95g2E4L6aNV7LBDxXakBNpOCdSO/xoIC+ghb2w+8BVpoySUrUQUm7H6NKVC2r4HDzKNxlB+1Wr9WO95O7j1B8bCVcUF+DjYO00BI/i2gugPrrwW/fv3nWaDQKMHqpnGj3W3XByd2Liodwlejvgg2iy+rLuf+Ltrqdzv0axbs7I4iQDawJWo/mBhid7YgA0rFVdIfzrgbJ7i//265a7693axSrdVd7BFsJhlovDizHwYRgTjePbPfzHz/8V5oTQUPLaWXV5J3C+9J9sLYGwTaNzdduFO1RMNxDsiHp0t8=</b:JenniData>
  </b:Source>
  <b:Source>
    <b:Tag>LuoK25</b:Tag>
    <b:SourceType>JournalArticle</b:SourceType>
    <b:Guid>{869b1215-6a23-4185-9ff5-a9777d1efa3c}</b:Guid>
    <b:Title>Does RAG Really Perform Bad For Long-Context Processing?</b:Title>
    <b:Year>2025</b:Year>
    <b:JournalName>arXiv (Cornell University)</b:JournalName>
    <b:BookTitle>arXiv (Cornell University)</b:BookTitle>
    <b:Publisher>Cornell University</b:Publisher>
    <b:URL>http://arxiv.org/abs/2502.11444</b:URL>
    <b:DOI>10.48550/arxiv.2502.11444</b:DOI>
    <b:Author>
      <b:Author>
        <b:NameList>
          <b:Person>
            <b:Last>Luo</b:Last>
            <b:First>Kun</b:First>
          </b:Person>
          <b:Person>
            <b:Last>Liu</b:Last>
            <b:First>Zheng</b:First>
          </b:Person>
          <b:Person>
            <b:Last>Zhang</b:Last>
            <b:First>Peitian</b:First>
          </b:Person>
          <b:Person>
            <b:Last>Qian</b:Last>
            <b:First>Hongjin</b:First>
          </b:Person>
          <b:Person>
            <b:Last>Zhao</b:Last>
            <b:First>Jun</b:First>
          </b:Person>
          <b:Person>
            <b:Last>Liu</b:Last>
            <b:First>Kang</b:First>
          </b:Person>
        </b:NameList>
      </b:Author>
    </b:Author>
    <b:JenniData>z:rVhbbBxJFZ2sbYmvFT9IPATUipVsaz0Te/xMpCi2ExI7fsQ2MTHLs6a7eqbs7q6hqtr2ZGPk/VmWTxaEFiGxfMAKULQf0S6SBRL5RHzB1yIh8fDXCgmQAKElRohzq6dnepJxPNKulIe7q+rcc88991bLLx4VBqqh8rhV+qhwbrvOq2I1iSpC8/FAaVmVcX9U94MFWa2F+GsNdkl3QKrYvPrho8JTfqWi9o8K/UFN0I6Tyw//8wlWKBT8UAT2ZHbxZ79/gCfPqvrJ7LXXR7+CB7EnfVs7mZ3fjGktF/apLoCzfV9/60+nAF6/MzSbAywPLBD+GYCX//drmQNcn/sO8e0KOL4x2APg7LkfPfuDNuCN7QphpIAL979HsTLAuTfe6oXhuyevEkSW8hu1wxbg4u9W8wznv/hLwj8L8OHTAzmGHRreeH2FltpFudkD4JOKsmTX8ilfOvkFET6L4b9+/g1Ksgl468EPCaMJ+M2RHODld6/fwNOZgP+8/w5xagJuPtff1nDpy0UqeQb4dvJxejwL8G9Li7mUN5/5DcnWBPzzp4hSBviHv/f3wrAz5c2f/pGs0TXlf/9ql3aeWRT/tzlAFKWt4fLVr+Vbr+9blV5S/u+Fv1AimbHvT9BTV8AP/TXsxTb9te/nNFwp97U1XJ6YI/It27z5Yg/D4dFOyftw5YM384Dzd8u9+PDhmx+jvLoCvn2vo1PurvbG8NudRWkDrt5bzdkGrad66eUnAN68s96R8ubne5s2pwKuPTuUr/L4M+/0YuwnXAFrLz+XHw7zd59/jymv/WOQHtopf6GXKj8BcP1zg50avteirD8Yzk2b9wFwY3CoI+W7X3o0ZfHVRFnR6CtuCKvV8goLpDaW1bm20l3dzNYEW15eOT78rmEyrieWeSq2Yt+yLXaJvbAvD0ImL41hzSq3JKuJSgwgqsJcxIaxEVYqlUbYfnjQxmXHL7/S8eelV9gLW9nWregA/8gUn20f7LFtRBgqD7O9mtCC7TGZEqMgzMg7gg2NlWfAgdU196z0xHCJ3aqJmOHrhAnu1dKtW3KEcWbqwpM8ZBWldiKud5hVO9g6xI5f+/H8ytLxaz8ZpgAyNkJb4WPZBROxz1TApL2I1I8P77OMYCtDyfZGCKQS7QBEHjgOpB7OesoXBiFtzYHFSkeg4CIbxgHdycakZ+llMfeWBUmM/CAgzykgY1/sGyLnKV3UwtRV7Mu4mhbBabD0WaZRYil2EZXCCWN5JZTG0ZEaq3UcFLFNP9mYn2hC4NbiHQX0VITqu1XGPa2MSYX1BaWmWcgbQpfYmhbFQIYhDpfY1RQEyNm7EbYHJaN6qBrMWC14VKQdTh/6ocINFEcIl1ibMmogYhAWadZaeQIEkDGcqEUkwgYLFc47i0K8z1CNA+nxMGxQzQO5L/wiWcVnJpQu1h50U85LCQV1ISgXF8KhZVZHvCrUMXIXgUrM31N656jwdI1XkAMM1xi4R9USASJK6JURpCjg2ImlDGoCFwotqVG8GjiKGNlSnUKu8VPI42pCAkSgExo2BA8ZWHpDeECnjFrKFHlSjfASCVRFjA9yV6Chjbnrw6wGk0AbIPrkF060IulYEW8rqg0X1NagAdYgbwSxYH3bVNuQe+E0xSK+g1YToYD9dgUpRpk9ppTrt5YMOc+U2ILaE7tCj6Bk0lgiAZKM1xEYPkKokKP+ooaqMLQJWQrIxVwNMkkjYWvKJ4+iVgo1p6mAcKGMZOZfiCBj7nkJ5fmI9wPNM82a6NRuinHfpypTVkivVRjjTIsBp5WfeAJVcLOSbBUrOMLlAcxIkC/SMnZnXmKbcSghJNT33SAEo2Y2Ixlusz0MerYYQrEwzz4ttssRrNw0RLEen9eDdJx5JGz30eyEaALjiY5FCqPf04kbjipuTo5TqnmLPJMVD26p8RhJMpgoMRZnnWnaxLNaePBuwD0ZUqGwH+iZoyxe3kntC2d1qREEB2fDM74e8Q1gaRpeAnC0NUdxPpGha3QgOou3auQKGiTaucwnjVW9fTG4IZFJo50ImGCehCfaCdGw1dAcEyYnKKjCIpYlsUnqQu/ijE8db4uouIyJDGRRdQun4tZKVUeLo1y8QqI0aJ2qjvRb4YAhY9CImondptzTQJSwFrjpaDYxYpY0G2BP4qrhbJcDAbDgW8F4q9FlAiVl7IWJE2cZVp2nlRG2GAfgaEXzkRLa2Fz+9EbmtMygRlZjN1xpFjGVWKRK9FDOrLU7GsDNEHfptLx0RmuPpJb2EsxDhMDFbrnZgb3wwSLdnQJTN5PGJWKUk5bc2nEdtCLkZIKAIbyIeMK/SjOwPFqeLI5eiGgvaiQ0ZFBHhb4qT8BFm0OMlTqG/DX8VdofLU2OC3RbKPY/yvWW3GVDV5SORRiiucFHG1RxOCQ0LSsJjpiX6LsthvfwfxDwSIYNbzlRoortsbeUxL5WoSh02yWTdJd4HuSrp+3DKm6MdGd1TcCWUPuUvf46FptbF6DRNubtaVsBm7G80QtLfwk00m2e9PFLoAHPV3L/I2OjpYmZycnR81zvy91SeXK0XBobm5iY8KWpxIf418SH6EERz7nKLPp6fHp6emZ6qjwxNT01U54Ynxqt0TqH7Du3JyZGp6cuzEyXx7ZxNEkLuZ0Wslwcm8YQcN82WS3POcb68TrtYN6rRHtiU4f7n6xZW794vklS6ep5/ErrfJts1SQV26hT5jvOnaG4hcdzsJRQwRJ0zL8Wlr49sDf00FL+fOOKSmJbgD0Duq084d/GJDLp26ahZq4qDBK6TjYEnWZraWOxee6za7A3NWvxStPUa622uRzge1965tAnfh/AoO2WDb5Wctn8Hw==</b:JenniData>
  </b:Source>
  <b:Source>
    <b:Tag>PalN20</b:Tag>
    <b:SourceType>JournalArticle</b:SourceType>
    <b:Guid>{1c363027-effe-4cc1-b9c3-b3cd7e3d7914}</b:Guid>
    <b:Title>In Search of Trustworthy and Transparent Intelligent Systems With Human-Like Cognitive and Reasoning Capabilities</b:Title>
    <b:Year>2020</b:Year>
    <b:JournalName>Frontiers in Robotics and AI</b:JournalName>
    <b:BookTitle>Frontiers in Robotics and AI</b:BookTitle>
    <b:Volume>7</b:Volume>
    <b:Publisher>Frontiers Media</b:Publisher>
    <b:URL>https://doi.org/10.3389/frobt.2020.00076</b:URL>
    <b:DOI>10.3389/frobt.2020.00076</b:DOI>
    <b:Author>
      <b:Author>
        <b:NameList>
          <b:Person>
            <b:Last>Pal</b:Last>
            <b:First>Nikhil R.</b:First>
          </b:Person>
        </b:NameList>
      </b:Author>
    </b:Author>
    <b:JenniData>z:pVjPbxxJFXaW7I8TnJCChKAEl0Qaj8ceZxLnAJnYWWxw7MRx1uIC1HRVT1emuqrTVe2ZyWHlZYXEgb0ggRahRUEIiQsnDouFVkL7ByDBZS8IIW4ILUgcEFIO8L3qHs+0N9Fq1Qcnnu6q7733vfd9VZ43TpdeHGobcW/z06ULDzM+lHtFOpA5X49trobKXEwzEW+rYaLx4x1WqbBBWePe/tzp0gtiMLCT06WLcSJpxdOv/vuDD/+6tLQktIz905s7T/50E58ib7OnN++8VNAHOVbCJ09vbv30HVq5EPZTnxTw/R/j9wXAN+ljA8C919+tA37/O80A92988Psa4OMnDQH/819KaQ4Ys2aAd7/5A0ppDvgWJdwE8N136hz+nN41ALz32V/XS37SkMN77r16U95sWPK9P/6BujAHPG5Y8sHKX05qgN9umOHBW/+kV3NA3VB6B//4X70p32oovftf/0y9KVFD6d3/FfVkAdA05PDwpU69KT9q2OVD0a9n6BsO9uH79+pNEQ1LfsB43Rx+1rDkB6/ndaXwhvb14M/frTdl3HAOX7vxw7pSmjbltbd/sXjqfWXyG0r44wH/RcsqwC/9fX8OyC6PFsdm85cH50q++BzAhQy/8MXf0qSUgF++9GG9y98715SL8lFhvZy++LttmUu2vfO17Rbb3T9i3Ah2Z3/r9kH/8DbjeKWVGRbKeRWxY64L6ZhPuA+vUiukloINpiwuHj+eslQStktUhgcmCneKNus7pq0ZMk5bJTMhAWZjxPIykkIazyLNCwds5ZhLudYt5oooYXmh8ZBiJUXKDSuMAL5HknygZZvdPpaGqbhczMNypsyx1cfYhg3TZ8RoMeVDHK+0Rg0A9zk3LkMYrEJ1psVwWWJywtNMyxaAt/b22uwwwS7aaNlARoSFN2XhIXCgA9mWFbBkmoFarVXmrBJcM6RVpJRfoEGZrPAMUSPAgHTunBoaxwT3nGVWGe9YDBzQX24B6RWCtwiCdNGTQvOcCnOOjZVPmFBxjKioQ8hhLiXov1XlCsI9VXAs8ykz3BcoHM+qAiR31iBWi40li0A1Hig9XWCcJXa8UC4C2nwUUh8nUyqJ+ACmsR5DM5LYjERTPqL6gCMnmYy8FCuFQTRdjpSQkXIYkzbbtmOJ1FrYESXKYPAkzykjoFjQSpBVeDd1XqaOoUez/Wghig3xM4vnoB4tTDFnkU2ps4KSubN7N+xCO0HMjlkgsQUoakAIuDAO5wJg80LHB9wBONCvYgWewEmhIQjJHhXKg8gEHZQG1+4hWKJZxRjalERkzw2ZSiFO9CGySIKU02b7YCGzwB4orTzkxacEjUIwHWgvR4Qwm+UAfTSzkqg2OypbWk4srafIsSxnQE5Qb9BqCTNws8808sgZg0cDm8B1pENv0SY9m5JFEZTRAnYGwlWJiU8zgsq/MiohUTFcIEfQUWHShJ5RH2H2XOgGYlc5oqQqa7TvbGAoFZl7rgxGzkgsIlHDdzCJCSaAay9zDLw6hkafQSENZu7d305+woRNAcNGxo5hbOgHVtmQwdk0ZrmNJOSGuipizpJfmCA8rujgOcYZHkRZB0IpnkYUXnUVgPCyNNCJ1HiGB5AAygA+woJy0v/YLoh7zKdgQJACT5c+ncx6Nr34Xt8T+S4sKvUIXzBImNLiNMWpNMIWcDIQgJUBvQ8ZoD8KLrWDx3CdITog2eX+zpXWgkpAMFZvSZmx3Rkhl7d2r7CV8uGeLHJg7Emkm48c3kFpV8pJDv5DE05OA6lmGRBICKEheFOYlPtQeKVeTimQG4DgcMoEm6/UX41RglMFVRTosaDcyLkM9lKFic0Q1pTb0ILEqEd0gNGY29hjtOeudazkmCjHW3j3MotIGg5+Wx1it2DWqQVbZRnYNXMh9I0sr+pqMMOaO585SBh6AVIHmkcjhtP8SkiFFOAVmUKqHP5SH4DlmCtN5UTQMVwFY4xKwjTPwpZOg8httokMcZ6j53oKI8GuHA4SoREgWVeyw7kVDknQAvf1SURVU3gh49DrLKielpKRCXtm5NQinxeovc5/Hyi2GAITA7Qzm3dUWXJbqoGMl4/KQ8xlCoIjKuLcpqHngxyctehXZIOtFDMNeXqAZRCYDcxaMk7qXX1nUEZeoBkSFARLtwXuFpkyCANcS/Om1eOg5GquUceMQzoyy5tFKPTsFIQLBnEGcwmWspDH3B3OJeMiRUzCmqga7BTKRQW8Ag4pcXYqI4BNyqtvKA930n8idbZgI8/IOZj5bNZKPcF/glLO2WfrnNG05h4W8i6Tqs4f3IpoFggwtBryxWWBfKO8qM0bHBLgGpegenVkSWUh5LGhELqnlOqdCc37XA0KTxc9SHWeUAUNXZC3SrEFXx6uddauLq920sgaMneZ75jY4gI85AUGL3cnWuFoj/yr+LG56Lavr0JHXsvJ51/NsSccyIhzYAcWcih139+Jy1vUy5pwQzrAwhdnLwjDU4n/45inuPpEd7mWQxwaRu2pUQI9HrRFbrVcipTA92avRMKqyaXVTrvbvb6xAk4Hvo2cO+1Op3OtB3YG5gT/OvOGWlvb6C1vrK6vRzjlH3Y73V5vrdtd39BwKNMPRe8Iv9q53lnfWFvvdde6qxu9q73etQ55mEEik9HRfJvMUuQwvHa90+usrossVSLpdq92VtfWuw8RsSgZfEjZLHd6y6sbaVYMcOWCzEoSL4Ri7ZynOziw+QhOCv1E8kGuJ/3E+8zdWFkZj8dtVFcuVKZt8+FKsDeMzcrzyl/Bt4xDVww8bsHgdFRtOMTHC2QxNv4G5LD4WHo47xRrdYTzUtyabtrC+JdxYoVDD5f4IzpTwtNL16pOP4Li72OK4BiY08Oz0aWLv8Dn+UVufq55dr/S/xHpf5v0v7xL+t8s716YV9p9cOYGmzwrRaSki/EHFobpRFBlr+CY0JPLM6YwEIGd55Hyfw==</b:JenniData>
  </b:Source>
  <b:Source>
    <b:Tag>WangZ20</b:Tag>
    <b:SourceType>ConferenceProceedings</b:SourceType>
    <b:Guid>{ee0bc42a-d1e1-4162-9c4f-7dfb93cb6a79}</b:Guid>
    <b:Title>Transparent Classification with Multilayer Logical Perceptrons and Random Binarization</b:Title>
    <b:Year>2020</b:Year>
    <b:JournalName>Proceedings of the AAAI Conference on Artificial Intelligence</b:JournalName>
    <b:BookTitle>Proceedings of the AAAI Conference on Artificial Intelligence</b:BookTitle>
    <b:Volume>34</b:Volume>
    <b:Issue>4</b:Issue>
    <b:Pages>6331-6339</b:Pages>
    <b:Publisher>Association for the Advancement of Artificial Intelligence</b:Publisher>
    <b:URL>https://doi.org/10.1609/aaai.v34i04.6102</b:URL>
    <b:DOI>10.1609/aaai.v34i04.6102</b:DOI>
    <b:Author>
      <b:Author>
        <b:NameList>
          <b:Person>
            <b:Last>Wang</b:Last>
            <b:First>Zhuo</b:First>
          </b:Person>
          <b:Person>
            <b:Last>Zhang</b:Last>
            <b:First>Wei</b:First>
          </b:Person>
          <b:Person>
            <b:Last>Liu</b:Last>
            <b:First>Ning</b:First>
          </b:Person>
          <b:Person>
            <b:Last>Wang</b:Last>
            <b:First>Jianyong</b:First>
          </b:Person>
        </b:NameList>
      </b:Author>
    </b:Author>
    <b:JenniData>z:rVjPbyRHFfYiw4EDXFBkcqEEHLySZzw//GsSQezxxqwde9fselkpEgo1XdXTZVdXNVXVtgdxMCggceGG4IQ4wSFcOFpIKCL/AkgccwKBuHDixwop36ueGfc4u5GiyUr2bHdXv/re9773vfL84Hrh00NtEx6su164c1rwoXxQ5gPpxEa3206tU0NlFvNCpPfVMNP4CR4LVXxHWeN/dr3wKTEY2MvrhcU0k7Tg2Wv/2f7lAv4JLdPwbPvg5bfex1USbPFse9v/9Fe4kBdKhOzZ9u73T97FZW3jhY8ZcOerv9meCXhAl/ME/DMhqgV88p35AvZ//Be6qAVk8wXc3fzXLIfHc6a8+/fP1jl87QuP6dnHDPiPP1BaVcB77/6XLiYB++/882o+hK+7l2aL8nDOgHtf6cwW5eGcOtz708PZgCdzyuYbP9IEqVblOVO+v/GTWdnMq8P7f/s1QboJ+PacCPd/8R6R9slV+WD//VmE86Z88L//z7rNvK33xm9fng04r2wOv71Zbz1wOCfCo89FN5jPsevmcPTXfj1g/50/0so5ED74+Vuzwr66bV/yu6UNcrT4uydGqzPJQiZZ31otuWE+8CBXmGrK5go7caVk1rE9rj1ull4Kpkxc70otGwNOd3IrpF6JdxNrgjKlLT3jSVDncSqyc64pTsqElAUzsnRc4yNcWHfmmfIs406wYBn33iYKANiFChmzRlKYEqtzYGsoM2yyfcO4EIoCrzBpvMwHWlYYPIvpPOJG2JztWSd9YNxJZmxgwXHjC1wZ3PPsQmrNMNEjbCET5QkpsORcSDYYsaw0wknhCfc4+kWmkiwGnACWl4XmYAQBOR6DwiY7VEZyV73DAOVDVMUISB5J4mpU0VqHV223wjJ7Ic+li9SO2MCCEl+mqXQsdUhQ24txwIQXfKC0CqPZ7T2eGEo+VQEkmIauHgoeAJcYGMiEY39KkojQKlcQAFFR3VGTRHxwJUoBSpvs0a2EPFuWzSH0cm/C44mT0AutY49lWIk0xKtD5cNd0HcuKaI1w3F4EInQXp0jB+zLAyGPsGPawN0g4BTneXk02f0JV5ylqBzPQSR0Qwk1xhlFTSEnpHu7JFGFcdtIdaqwz0TlntQg80LbEQQIMTtF+s4gYySjEmgzZBZCWf5mqYwG7Hav132V9Z1UOa46rfbmq2zXZjI+Wb871lHOR1GY081w9BxwDUEMSLfe6rIqBNK+uYpJJNoiiUI6CBhbJFDduC0aVV/EcI4LRXIS0idRVhHnRBIDyF45mQRsyItCKxKhfW5vMziDM5T8tGGUT5xEn0KxoDpIB1k8DiU2BJWGIS7tOMJ7nhXOnkPpyCGnX1UioNsyldOzcffWWiAZURChSOtVvxYAii0EWcb1wuczPoB84A2jxf7RuDljdWtdpIxBp0x1G7WTwT3BHnxGpao6s9dpjJ3pYI8gJrKBjxK3C9gljA16QsnPYqRJUgiPYhEvaCMkS7htDk8Ym1EmuaaKIfIKlZq2WWFeJlBPGMHBQlITr7wkSU26AqZS8xqv8lIHbiTUh5p5oPcpNQtgD4hFshTAQj4BZYiSCBl0XXDcWkGfxKekHA73vQAZ0nGXQIyU2O2aU0q3mArcn8GWDCouIGhkUoRpk0P/u48e38U+Ud0ZLDG2LrRbNfq0xQlvNKtIJP+oojXZCaaCgBF76k8MmAwdIs0wOpZMAY0kDjqmEqVVZBFT9ShOAwLYJoNqlggwR8OoPpNAO1gJkBwgrLAj0K40HwHYoR1Gto6lo+SRF1s+Ojw8nqYNunl9CqKq0RCBFgia7IknjPRKTJ7AjsdVH9pw6nsV08uP+ncn/XoDV0TsZIwe2WK3mVa8MYy4FymxBgQEQ8hl3P5DzkBQMEqpS2ZCUhg0GXLSuYXM6aFH9WneVePeoTKFNYLC1najBJvs9UsIT5ETY4rC/DqsKAcajhl925NmPGZcZby0ly3DuBur+PEw0rBpAxcN7gC0ABU8gYdP6UssrBl9AzlNhhhJgRRKJGAERrMcWxuaCKtvBn7AoGpqniQQmBT3sN2w0+qsN1q9nNJBH0u3b1JL3wzwEvVw/gozBWSGPfxYfDPQbG9K5X0pF2VQAVC+duxsIiVxEk8PtO/Ozs4+tUyUJAqBrXfQpqRfyGnfBAwxNaRH6TnqmMulLxdTAIfTryQUneIgmKHEoRBvOx+OceeLS7/P0Krj/7+n6U2nBiVe8m/T8ZFaFp9pynOlR+IpRRiiE414MyutcDi4xGPm7Dr5ZjZdmDyV6kXrkkNVjsM9QNIvWlbbNjtQ3IzgCtXaRAl8j/KZRFh1udRuNdsbrd4q51w1z7trqrXW3Gi3OlDlwFzhtzc/VJ32eq+x3u31VKe7udborm1sJTkfnnZ6vc2Nja3uelfDCM1OLOy+CO32Rner1W1tddpr3bV2p9Pd2MpoBUfBzp7evHYaSxmVcAoltBqttUarm0fh+mwihjsxtctXdsYHVpLSZDbuiHMyeZI9Vf8FZT5D49gSLvLE6cuvZyEU/pXVVXvqmzFv64arOBfIy2aRFauknlXoXyVargp7YbTlYpVIWV3vrW8NfTkIowJU3wEQadM38Oq/Jc4/egT6dQIvE/3Rri1NWFqC5McqFE/pAF7d/tJYvN86qbnx7qz/xxH7kW5YteVzHC3FnyYq8VeCcL6E4acvlydJo+ox3xcV/gM=</b:JenniData>
  </b:Source>
  <b:Source>
    <b:Tag>ZrnicT24</b:Tag>
    <b:SourceType>JournalArticle</b:SourceType>
    <b:Guid>{d3f1f633-f9e1-46df-877d-9f686fe69538}</b:Guid>
    <b:Title>Cross-prediction-powered inference</b:Title>
    <b:Year>2024</b:Year>
    <b:JournalName>Proceedings of the National Academy of Sciences</b:JournalName>
    <b:BookTitle>Proceedings of the National Academy of Sciences</b:BookTitle>
    <b:Volume>121</b:Volume>
    <b:Issue>15</b:Issue>
    <b:Publisher>National Academy of Sciences</b:Publisher>
    <b:URL>https://doi.org/10.1073/pnas.2322083121</b:URL>
    <b:DOI>10.1073/pnas.2322083121</b:DOI>
    <b:Author>
      <b:Author>
        <b:NameList>
          <b:Person>
            <b:Last>Zrnic</b:Last>
            <b:First>Tijana</b:First>
          </b:Person>
          <b:Person>
            <b:Last>Candès</b:Last>
            <b:First>Emmanuel J.</b:First>
          </b:Person>
        </b:NameList>
      </b:Author>
    </b:Author>
    <b:JenniData>z:7VbLbhxFFHVAPFYgdlmwKLEBpJmeZ8Z2YllKDJEclAjJRpZALKqrbneXp7qqXY8Zz87ka/gFLxE/xqmacezYMayRLI3H/aj7OOeee+/8cbn1cWWdqpX5jM6iDbT69K+TRmlijrTiJS4kD7wvnVqQYZKE8sqafsvnytSswRd5Zg2u6qZ/FrlWYcU0L0mTzKY9FhpiXJxFWAbYMlux9w7CvgpwrszC6gXc4SlystGzJrbcMG6MDTzZ4qhjXtslnklG5x0Zj8SYF4pMUJUSrCXuo6MW975gr7lAjsQ0cWdSxsqzkoRt03Vy3XWEVNKNDuQMosAd98zbrlE+KMEDgHSOpBL5XSDRGHUWkSd3BGfJOHocCha4lJjrVc5ONMQ7XHfOyiiQAnc1XLc2IrNEwsYpLNc0PGNU1EXvxnOYBvhnPrgoAlCtY15F87HrdEaaqXAqXXKNmBI3Cxy6Nnznds1iBYBCWTBhwIUA93jHg3WeVc62zAO2RomIqZbX5ADpw4G5ENHhMJ65BSFyLnnC7y10UbAjZQD+ZvDkSbXItyIBBzjaASbKl1MvFUeUpBqUqnMcRrAvHWj2SDOTTCgMhJSEtUD1ZJISIEm7NEBMvMXBihwhMjRwgnAmbKognPW+f53OU8YhmdBYydAIa3fX1shsiSvJyhVrb0kJjlVoYO5bJP6e5j2tcfFN0aO59bZ3J4/ESAwocALVKu+TrDbtsVDI8baQs3+UQSVRpNzbTAEl/tJ7EJW6QK6yx5uBzLpmaBmQc4yXkEfUIXfHO9pQ2EZR0jsOSPIqsUDOgSOosuSlyg2cs0A9W4uvTFYVNWzQWuDUJ3MeoAMUVsObg5ayx5t8FOxA4yiOYObkdkPl0yFHIkkM8Trrub7RM2kEXZXmuli/PS/Ym4I9x0zSMInw2mNHBXsBp7g6KNhLjJJTxU3dY68LdliwV9ZJbnrsuGC/glfRY3tq/yhNE0F7A7XP9sr9yc54b1Du99hsttufbU/Zd+PhePL97z22bJSAAryPba4coHJWW2gJeQbHUTAJaiTpBIlrSBP14AuugF9TlqZvMM2y6V1JeIb+9BhDoAH0fIDk9JG8W0/H/yQIo2STMro8ddba5nZBUmAPZaFwVZVLfNX4GdNaogkVCIWa0LWggpgtPWEG3AOmxkDyawg+5MUCbELHtE4yd8CLuYjR3FFQaRI9yw8ODvF21WE6penQ8DTtVW3SrOeZFWwDSo3rsK6yKAu5tG5+ufVFw0uMA+B8WGoPS+1hqT0stYel9rDU/q9LTUPg5JHyDyh8jWI96Y9GLcKFVBF3aCp7ufVJzSMk6vyFRuuBjJf4gxpmxc6U0H+Rvkx5aDof/OysIABJE2hD15tMODT5XHBJbR4/G9n4CmsMgni80imkU2VMaN5ebn0kDW8J/6uKt0qvKEuOEjOmOlan3HDprKatu0frA5Th7z/9+vD8xxZ7MUJWr4q1hVDSA5OQVi1Hw2I03J4MOsN9MZ6Mx8OdyWg8ksqX5gLf3rxVw+F4u78zHU/VaLg76s+mu8PGYpty4J2fTCe7k50nk8lsLLtWyQY3s53d7SenmZdM6ylonfaH+EwwuEqtfHPF7KOc+/nX/8bRHDPHRifoF6fPp00InX86GCyXyyJnbV09AJRBJ6vBPXBqH0voInE05w5LQtMxbh8hJNnqJyy0m48p70Wc1QJLTb5YHaQ1/BWWxaY35Al+CPn89PHupvDfHNwS8d2WqoKFNP2FTKl8jrGqz7+9QgMAGcg9AP4B</b:JenniData>
  </b:Source>
  <b:Source>
    <b:Tag>ShlezingerN23</b:Tag>
    <b:SourceType>JournalArticle</b:SourceType>
    <b:Guid>{ac73e0f4-4551-43b9-9169-0b4256db7b36}</b:Guid>
    <b:Title>Model-Based Deep Learning</b:Title>
    <b:Year>2023</b:Year>
    <b:JournalName>Proceedings of the IEEE</b:JournalName>
    <b:BookTitle>Proceedings of the IEEE</b:BookTitle>
    <b:Volume>111</b:Volume>
    <b:Issue>5</b:Issue>
    <b:Pages>465-499</b:Pages>
    <b:Publisher>Institute of Electrical and Electronics Engineers</b:Publisher>
    <b:URL>https://doi.org/10.1109/jproc.2023.3247480</b:URL>
    <b:DOI>10.1109/jproc.2023.3247480</b:DOI>
    <b:Author>
      <b:Author>
        <b:NameList>
          <b:Person>
            <b:Last>Shlezinger</b:Last>
            <b:First>Nir</b:First>
          </b:Person>
          <b:Person>
            <b:Last>Whang</b:Last>
            <b:First>Jay</b:First>
          </b:Person>
          <b:Person>
            <b:Last>Eldar</b:Last>
            <b:First>Yonina C.</b:First>
          </b:Person>
          <b:Person>
            <b:Last>Dimakis</b:Last>
            <b:First>Alexandros G.</b:First>
          </b:Person>
        </b:NameList>
      </b:Author>
    </b:Author>
    <b:JenniData>z:pVhBjBxHFV0HJ+EGF6QEgVIICcVoZnZ6dtdeIyF27V2TTey1hR1WiAvV3TXdtVtd1amqnp0JRDhWjogblxwQJyRuiNtKCHEBiRscQEJIEHLIPckl0ipS3q/qGffYXjmWLdu701396//33n+/et4+WXm2UCbj3tiTlXOHNS/EflOlwmbrFy+NjZWF1OerOh+/IotS4Z93WCfDI9Jo98uTlWfyNDXTk5Xz41LQgtPvfbL16xX8yZUY+9Otb27/88/4lHlTn269/qd3GD6IY5n78nTr6h/epnudfZ95fEC2codixIA/fOkbP+kE3Ln3Hq18moA//+NvlgNuPWXA9w6oxk5ASvgpAh5sfURFdgLefXzArcHaX2jfNuDeW89TWTHglU+vLZf8/89V8vMfdjJcCvja3/7eLXn41+MnJ+XVG+n9gNf/Tb93ZHPvyUlZyvDGu5Nl2fyPIH1cwNPdHaLhUQH3f/z7ZZbfp5WPI+ULh7+lfR8V8OZXftUt+aX/6M+V4c++TCHagNf/FXhoA37tg65sti98i0h/YgzpUxvwv19/AMMnF/ZSwFs3f/dApzxoDuKNxngxO//RDZML1U+5EzmrhC9N7lhumDaeWaFmzGiWc8+ZN0wJbjXz2N+yite11EWPccekUo3zlnuEkGEBg92VntXcembG7JosBmzUwx3TFGWMJx3ueKFZQzsjunBeVojBGn2kzbFmFWVGMTjyEtYN2J5mteWZl5nAxlnW0J6MViuRF4K2os2dh6UiWsZVGwSV4JIuwm2TOmH7k2i7jGvsjqu5cNKGAmDWyAM3KUc/qykOgGg0n3CpeKpo8/BUg8frWs0osmuyknmRlVq+0QjHMlNVRuM5C6gRGTBVtXH9sNZUAsC5pqpjEtiLcmh0Lmwbbl6D67HjUiI2kA3PZaDKIepYicwjQTwHSBrUmoqST6SxPZY2HgzNGFfOIBONQL4BVJxltsnxs66tmRLcVGYLm7cNYJhpXmHXADZdrZG60FkAV+oF6BHXBfQ9JiRWW5IDR3KuUYH5llTaRVhrLEq1LMc+RDghnVGxvA0XC80N6iP9jRvCPeO1byyeQDJCT6Q1uhLak5qQnbCBrjbBEKYVc4cLyAyqxpa5KCzPxYDdKcGtkpWcIwgawXMqlfTQ/HIkl5WiIgLBQCY0t9I45CoslT0oBj1WT3u47ebS7QFz55F7V9Zz6NSsRyB4Q8xUtRLTsGxKQJMcuZoF6arZgF0dsB00S3/Hygla5XabSLiWx2tu5ryoUMzDzcnG1lSh2wKbHBrtA7CJDEUJTx3RW3QjJWPDLZSPfrdc6qBE4YOESI34iJuaOlsSlySJugGGbRdh78xYFFIbndNqtItQkHAuQChC//TlKZhz/sJbCOK/m7T1zWtp62v9B2oOsBEugOiBDsmRkJVQOsTVaciMa3qWqiHFRzNyRxCThnEYPWD5sbFHJytfKnlKrpX52XO/uC0LAA+xG9ot4EIN3GgwEVo07gAcvDUqZoZnc0k3gz3AYiRhp1mm0NrBfB4yomBBC10O2G0yja7U5g6MqpR8E23GUQA1EIUgpTdkZGQZvuTk0LE9geUyOHU5QwrIGpRCbB1Ti4XwfJ46wK7A9P1WRlZwKgWjWdQRMgTJ6EK4NdoyGAz2dQhCSJiFNWQS/NEOZD/QZLD22iCHbquieTSSJ4ha+YLNWuGReUuQTUQrWtjagN2MlmSC05TYBfXBGoA+iXiuomBuHFJqQaK0I8a80OhLhKRLqcBehJXUGVIh0hGoNjUgDj5GMSF+F1dCiSkA5sB6PjJqc4w8WrNA8+VC1LEPAwWyJsKDb4QNiPAdWqIFgFL44UmJjr28s7/vLhC0rBBa2JBgVkoohZyvLaNtcMMMkCRDWXR3SCgXGDdxCsNMMqEUyaIDOrzK1SKTQa24CDdYmAEAw1irkOArqGkiMEIop870a6cYaIUmqC0r02hgg+oXKcgKxowiYu8FtaFMFGAai7bqRcNtxzCsYtl0Q0qE88Jj2xkEb8I5QmY0d4/nAykqngQWBsh9ykMY3+ShDSIwDs1Nn7qNtsxVq0KaCwgeFdN2YsAeFaWgkrpJZxICJX13OrNtkGPMwCUpztUN1lIwO5YYasRaGDn5BGLCiSyAmELUnTIeYQ3LGc/Tw9xQBmHD83TeAr8PtXSPTSRmbDdjKKVp1RUBwg4BOpLIGAqcSyL6xWLfkH7gkVIKo2Ubwosnq5bQaFC58DguxSMhBIBMObV2ZOjswgj7MIrgw2FMwWTCmMILtEfij7JlcvGj2MrBc0Xf1Rw2E2mBb2B7LqtwnjNsDJOC4qhR5ge/Aq6BOEE3xMa4CUeOOX1QAK2Umo6haMr20ETPLQ2N1vjQutDKoqKgIOjG2NqE9jyD/ciaG6g48kSO0SiK0XC00R9uVjR6cFvYPXg5fdnAGyjAursgA8X6a/hnrEguDoaJkDhbimcFTn1KHN+i/AT1SdiLdt/b3d0dT4xqKvGCqRehry++v5D0qvADrguBNw/owTp/C1dePPePElOh/f1jFeYhzWAk8g69o8Cx6YnxGM6tZoe3SyXexMY4KhXUENm+tDkGqFh5eLE4gKMX7bpX+ezMdbsqh0jCOvkjA4g5zklnrS52cPo6gsmF9dU2ZgtIsjjAfb99JpM5vol5LsuNnH41GQ6SZHh59ZBIHQD7tcHaaP3S+uYQAyrVd/G/0/fkcJhs9i+Pkssy2djY7I9GGxeziheHa0kySi4N15MNBZfW24HIvdwn6+ujZH1zbXRpc5hcHg3Xko21klZw5HN0cP+xw8BcYP6Qdu8P8TeBnaZKOky9SP65UOQ02Vsc7MHrLr0PYHZAkSTD+BHwZI7tanz5JKDdo7kZv27VlJXe1+47q6vcTuVkYGyxiq+nVkfDZDQYbq4PNwrXpJgAhOZR68B38PEc5C/M+DWp8+5ltDsGBdaqjMzhyuwqTYgX3vV4VQH/mED5AY27ePleFOf0xfj+eSU4QZiO19u+GeNNFsnfzSmFL+JsoabfnmcMrkK+Z9P1GQ==</b:JenniData>
  </b:Source>
  <b:Source>
    <b:Tag>VivekT24</b:Tag>
    <b:SourceType>BookSection</b:SourceType>
    <b:Guid>{6c94ed29-ed3a-4ed8-b5d7-f847d3f463cb}</b:Guid>
    <b:Title>NLP Techniques to Achieve the Detection of Climate Change in Text Corpora</b:Title>
    <b:Year>2024</b:Year>
    <b:JournalName>Practice, progress, and proficiency in sustainability</b:JournalName>
    <b:BookTitle>Practice, progress, and proficiency in sustainability</b:BookTitle>
    <b:Pages>221-236</b:Pages>
    <b:Publisher>IGI Global</b:Publisher>
    <b:URL>https://doi.org/10.4018/979-8-3693-7230-2.ch012</b:URL>
    <b:DOI>10.4018/979-8-3693-7230-2.ch012</b:DOI>
    <b:Author>
      <b:Author>
        <b:NameList>
          <b:Person>
            <b:Last>Vivek</b:Last>
            <b:First>T. Venkata Satya</b:First>
          </b:Person>
          <b:Person>
            <b:Last>Veeranna</b:Last>
            <b:First>Thotakura</b:First>
          </b:Person>
          <b:Person>
            <b:Last>Prasad</b:Last>
            <b:First>Vidya</b:First>
          </b:Person>
          <b:Person>
            <b:Last>Rani</b:Last>
            <b:First>Neetu</b:First>
          </b:Person>
          <b:Person>
            <b:Last>Rao</b:Last>
            <b:First>A. Srinivas</b:First>
          </b:Person>
          <b:Person>
            <b:Last>Selvan</b:Last>
            <b:First>R. Senthamil</b:First>
          </b:Person>
        </b:NameList>
      </b:Author>
    </b:Author>
    <b:JenniData>z:7VY/bxxFFD9DBD00dAwVje+8d+fENg1yHBJZJMGyTw4NEnM7b2/HNzeznpm981EZkPgCtCDxGejc8QH4CmlSI9FEokBC/N7s2hwJFgIpnQuvbnfem/d7v9/74y8vOq8XzuuJtm/Sae0iLW9l97WVNtfSCG0j+RkpLb2mIEo5JzEmsqLyFIK2E5E7Xzkvo3Y2iOiE0iE3LpAori7xOkyDkCE4vEZSYqFjKXKjZ3gTeSnthNZFJX3UeW2kN0tReDdDcKXnWtW4QlqF1xB1rDlSQjanEJ0PPTFCVIqURxFLQuQpHINwBeB+IT1+assn2q9g4guts90VlIQ8YlhHRrNKWk43lK42Cgnj8LTWHtCRYVWPjQ6lkCLoidWFzqWN4rTGU8clx410Fhm1khFGJa41S8AsNaAEQaEijog0o6+J0Rk9KWPyLEnQGcIr5tbTBHy01JYyCumZfj4iK3Om0qXURKjHJyCg4cLhk0Yi/MQdgaTPS1EHZJTXMcK9S2pCwspYe8A0EKCW+FB5l7eySjNBVcRylkTVipBcsWzFSoxe6sfkIt+UbKDIeiyAwEsbUFgz8mLmFJkg7n50OEq87zWed8nHdbBYAGIJMjwZwg1K3NMQ2phDxx6yO04f0yWr3Cli+nGCKFdgEpLcoNaSLkxdIs0ThIZtnZJrwAEZAnqLLywOV04E8pXMIWxjgppAIzSiGm2nICtAiLjgVli4tsZkEx4hclxV0rLRK8FvdVqlhVXRXLa1pyQcQ+zG2iZnoGl4Yx05gUZG+NGsMg61g6/WzUHKs/PvEqUjRH92/n1SgqOui0WpoTyDl+geYOTQDSvB1T5n9rjTnuiprrjLoQcE6mfrWZYBj+HAbVsgK1OnslzQuBUFTOtZ6ClQML3ovFXKcUCGebyZITcz5GaG3MyQ/zBDjMy5bkjdgwaTQTa43e0PZm1Y8vsIi39VJrKO6IVwDqwVqvc+/kDdoLe1Q+gcQ2e3D3gA6ZyngXcTHjENILxBTk02XzLRoQ58sxxrg46rrgI9dJDc+YvOmq4g0SHX6kXnNZSCD/EAX955WqI2mp+/GPbzelzzFPkGdsrKGdsXhZxps6RjPacpTfC01agnjgnCo6GPZFxK5Z2hzstO5TERNLay8dOj0kU5RZtd51Ag5yBVY46Q6vq7FRLSreFjolhfZ5gfStfYTXd74shrq+cyXIvgiMxc2sbBHMIBzV7yUeNRlDIcqOJ5rlW46NzKldNn7/az3mbW397Y2drpbneHd3aG3a3BMOsOenmZ9QfYAmN7jmewX+nBEAfDwVb/8tf2p6WrMMEg+fTJ5mY27A8Gw807MP9EPj+BU92U0glKabPbz7rZJnRrhtSY7KydwJeVtZYSOtl/sC8eGDdGA2Mcoi6Q4xpKnVzxMTbCbxR5biBvk6Pt1N3lnqtt7ETMBvIoLVJPsApD+vp2W5H7jx8eiBHlpdWnNXoes3AXXUtYg9x/99La4XbC7G7HmthLM5LrlBtS7DULsoiu0nn4+qLzRqHcDPUKJGOt5DChPz0olwETy4ijVOdo90KTUY3RuL+VrKo97KYaK/nSCmfFqD/Mtptbzt7bVZCS+zrF3gXHuDaspEABG5t+//DXH//4qdPplKBqJZDqb2WDdNViF+uYmw6Q9jH8DHYUR3wJf2Pujni5X4N+2KB70aYFv9PPGvDvN9ml+dSu6L9n8YgwQNRfKXz79Id/SAE11ly4eIBG4QX3QtxXIUGWDbbTuR2xzuIRz24Myyusn/38+f+hW3Ed38prb842yhir8MHGBhqw5/xk4196cMr/2R2TD6Bz7U8=</b:JenniData>
  </b:Source>
  <b:Source>
    <b:Tag>BinglerJ22</b:Tag>
    <b:SourceType>JournalArticle</b:SourceType>
    <b:Guid>{dd033ee7-b7d1-4992-987a-5c06eca3ae79}</b:Guid>
    <b:Title>Cheap talk and cherry-picking: What ClimateBert has to say on corporate climate risk disclosures</b:Title>
    <b:Year>2022</b:Year>
    <b:JournalName>Finance research letters</b:JournalName>
    <b:BookTitle>Finance research letters</b:BookTitle>
    <b:Volume>47</b:Volume>
    <b:Pages>102776-102776</b:Pages>
    <b:Publisher>Elsevier BV</b:Publisher>
    <b:URL>https://doi.org/10.1016/j.frl.2022.102776</b:URL>
    <b:DOI>10.1016/j.frl.2022.102776</b:DOI>
    <b:Author>
      <b:Author>
        <b:NameList>
          <b:Person>
            <b:Last>Bingler</b:Last>
            <b:First>Julia</b:First>
          </b:Person>
          <b:Person>
            <b:Last>Kraus</b:Last>
            <b:First>Mathias</b:First>
          </b:Person>
          <b:Person>
            <b:Last>Leippold</b:Last>
            <b:First>Markus</b:First>
          </b:Person>
          <b:Person>
            <b:Last>Webersinke</b:Last>
            <b:First>Nicolas</b:First>
          </b:Person>
        </b:NameList>
      </b:Author>
    </b:Author>
    <b:JenniData>z:7Va9chxFED4ZCogdGaKhSDDoTnensyw5oXySRQnb2GWprNSzM727o5udWc/MyrdE5ucFCHkUvQMZb0AOJJiEAL6ZvZNPxkocUlaVpJudr7u/7v669749672TW6cKZd6np40N1F75ZU95oa1vHDGbM6FVxQP1HWn8kyxXhhuhuGZO+ZlnhSMedMtK0rVnypySD9Z5xr0n75mwVc2NIv/r859Y7ajmjqSJN4i7dM5EyU1BA/bY6sYE7lomz0l45htRwh8LpfXEMu5BwxociTlCgIqM5EFZ4yPh+PiI+xnbt05QCrP7Sg775zm8zNWzT4929/euMxBkGSlTsJIrDTQic8Moz0kEdUqsIp6KEz1nFAK9zCOWhFXc8IJAKgzYMcF8xp6VBFoO3JRnNK/hKRFmOJ40PqhckUxoaZm3LGtZcFyZyGJBfnrn0dE640wS1cxQ48Beo2oNYrHKStKxNdQPjQHnC0V6BRY9DdiBQVZct9/EGBG1WnGUMRaj75u6ti5ESK5c5ddX2cTeAhtsMvc2IxeBwhqhGx+zCyUP6TIZRwVEr+hn8hqTr6yP4hEl8ZoFrmcgJTu7ZBNvnGv7tRKzGAkCipa1AwunYGms6UdCLnbzQhuUQYNwBJGBfGbd7Kx3teSZR2FFeCvztzL//8lccyGgOZJ7uC7Gw/FWf7hZgWlAkckdAHrWe7fgDSTm/HO4qTEL+/i1Tk4GN8cUVNA0v9YpJ+rOE3eQpU4C8PkplFvRtY363Ok9KzjMz3prqkbxH0WFn/WuoNXOh4d48lFv7cd5qfnKSUdrp7ImjtAPQEvDq2iV57xCusUUFdbkqIAQDX3VaMWls5p6/8XSXccb3yGL+xzS4/4ybHmPFHqiZQfP73M3ay5FnxwTeu2VmdHC/ddKWCTSGeQl9w9l/qdQ0qOqQlo1/3A0HIyGo62Nk0Hu9AAdGOM8vnlzC7LLzHP89eY7NboxmfS3RuPN5afNUWlrgk5pPjuejMfDndH2zs424A/4ixMYNV1PT6JH9LQ/3EFFO7lnZKq6ybTy0FDX4rWUyeyO9nSqMI/Tx4VvstDWMbsZh9KFpiMc16AasvldZeTqY4JEdQusFgqLZNruWuyray+CoxxdgTLkMRaqT4+vLkTzZPeiulckjW7eYsdR7cu5Iqgb9Yta97yNEyysg+bTllyV98q45sHCmf/+rPdeLm0F9YFhpiQfp3TtoU277lCoyNATlo2WHSQbDxNm/skdSM9WcLPOuo8EIYq4+pb7koDPj9CSydbC5hCrC9F4pmmJSfgvHZFhU2sk3gHgT39/8cfvP/fwU6LcK+HleDjcTM6Khf2b5DCaLPhMsXbiu2Wd3T/fwYnQbSFiR1DuLofhaHSjs7m+e17eRYhH5Gu8SlSmtAotjosNeJ7Jx/+w12Qymgy3k8tnh1jd2DJtivySyBtl1rl8ukdCpY26RHVpTMZbi/aNDtLGiov79kEKPFUFw2TwKKFlXdJFjEehXabz21+fP3ldOtuLxsw/W6nlInzy86Am5JneuihZ2oYyTtIHonF6fr0Mofa3NjYw/QPrio1LF8AsfgV5HPeJNWv/Ag==</b:JenniData>
  </b:Source>
  <b:Source>
    <b:Tag>ShergadwalaM26</b:Tag>
    <b:SourceType>JournalArticle</b:SourceType>
    <b:Guid>{2e3540f4-f617-4676-a2c8-79d920dcfbec}</b:Guid>
    <b:Title>The Stability Trap: Evaluating the Reliability of LLM-Based Instruction Adherence Auditing</b:Title>
    <b:Year>2026</b:Year>
    <b:JournalName>arXiv (Cornell University)</b:JournalName>
    <b:BookTitle>arXiv (Cornell University)</b:BookTitle>
    <b:Publisher>Cornell University</b:Publisher>
    <b:URL>https://doi.org/10.48550/arxiv.2601.11783</b:URL>
    <b:DOI>10.48550/arxiv.2601.11783</b:DOI>
    <b:Author>
      <b:Author>
        <b:NameList>
          <b:Person>
            <b:Last>Shergadwala</b:Last>
            <b:First>Murtuza</b:First>
          </b:Person>
        </b:NameList>
      </b:Author>
    </b:Author>
    <b:JenniData>z:7VfLcltFEBWPIjuKJbBhFiaxqyxFsuJHwiI4L2JIKinbISkqUBnN9L137NGMMjNXj6xC8RF8S7Ys+QF+BIoFG07PlWyZODuW3tjWvaPu06dPnx7//Kb1QeGDKY27RC9rn2h26cfDigS5RGEUTCRR+jEFJ50i4QvxDTkKMpkxid09sYqPu3trwjgRqKytTKRFJJV8iOsi1qoSMor79VA6sU/R10FRFKv399fWhSY81VFEJa0cWBIzSogyCl7XyvADWWuTjCvFkFQlnYnD2BFPK4NXD2Qo+acra4k/HnpNVqw+ePBwrS1jW7a/rTUeyxGiSVUhpy8KCvNcxpo0WxepIhOQ0Zr5Iy6DxtLWqA9Zpa4o0LxubTgAaBFpNsrxRJzFREN8KaZQq2S8i4g2lHggagfSTGFId8RhZVBlqvUMZBzHG+LQi0klk6Bp4oDaIx7ALEfKWTgJiNsdjaxRwITHT5xGGYcUk1jdfXLIzBe2ziA5QkyLUvDVo8zBoiCgu8mZpdaBIic0aNGEs6ZMeRPhQPkReri3BOUOKT8c+Yhe4NO9IIc08eFYJC+UlTGaYiaA5SwRiOrFo8ERtMBaQafFQX3yMXO4Lkz0kAxzzakLmXWDv8GNDnyuKYEDz+tC/3NbLZjNJYhiGU+a+CwhiiC2Uen9fdYstJq/1dCI1Et9fou4Ajqdp5ZBVSYBdY2YgidBjGWAYKDBUDvo8RHO4l1tE3d/TNIKKV68ODgJeBjk6MoVAQUHFAhVvAL0AbQATSFemZs3oDQhcuJ7CtqoJE6/zsztk4zeMdaT54tByDCjgMgNkmvhSIb2iEIBzALhczRZBqIha2115XKZvrp+/fmXK2uoM4iBT5XwZ/oUT/u0JJ7FvEjFapBuxnCO6pig8rk4EwoElnlZCGRKl9+6ZAH4VA3/GZmXtQkc7WWNk2beN+mknUXW6MJG0GQtlK9xxpXo4LQyA/RGI8KCntM24rz1E/618jzbwLTHRcN2WFiOG5AbCfJZrMLVQ7RGna0I7T0wQ2NlsPCL89IwhUt8nSmM4wPdxMCbZmC+vwkA7fbKTj+zP5ARb0EbjXGCRVAG6eChIbvTxKAxBUlWXjuOSDEqqIjUMUQvkZ6l28i9GV+FpAaWhDazQ3sQSB1x27MVRUBYX+rzGaCFV3XkcACjTVSBUt4AXCA8imXL7T3RWGXK6lw25urqcn3sexhDURincQqyoCGSIRqC5xHPYRYSPQ0CuYghjJInu2SJn2TikHVjWrEuIXuYMQfKe4KdI7J54WPyw7yJTuUrQFLyylt2YvQZgrwBRJZKhiOtxQfM5tBgyyR036JjjYPnUbe+BPlseFg0AJBHj10mjJkB7J3FILIgeEAsTbEIseEQbQlHR7NVvWl9UskBc6HSxcK9WLgXC/di4V4s3IuFe7Fw//+FazE/sF/Sd5C43OhubLW7vSFal7A3KOy5wuOf4BI1VKjotTWYNZXuZWvU3U5/g9AWBP9chmdmLFZv++AI8J84njp49GzNcrRgBqAhRPxL/b52sEj8LgoJMc+OD7DXSqkn2IVU8jSUD+uQ6ldSB2+pVVQyPtbFn8ro+Kb1odLeTD/rdTvXdjY3u1dlmJpxZ2Or2+v0ets7fQhm4F7jZ3SvK9DPqpseP93ubWz2Nre2+zt49Uj+dYQDdVP10bzqdm9rOKoH1kTgaQp/L0MNbxdVYsh4aeAIWCRffAdZ/U2JG4XKrGIjuDW7ze7QSoHyrlakn2IxxObpnLgf+Hpz1p1viLtnt8H+0p0A+wDtbd/K07q8FndPrge783tKkfzIqPjLm9ZHhYYEjQO0gdFyI5flD7wyWA8HyvDXIuF6YHVzZNDvn3sGr4rDXncHPPPr6Rd3sfQU/J73aXN0Lysk30h29wgjEOifm3/8uvK61WpVoG0pi+73e715HlkQqsOlDAtDVW9BvtYcu499Bh86F/LGdj5TPSRMMMTbYO1t9bcarP3dkK00g8R90lrTLDvYbRNXydCsnLswsDwfC/y//7T59Tn4N7Z7O41E5sBYNgHDDk7eKqGh7OXjCmsEE31+Eb2miNFtzGwNB1icaophpTbFrN2djixiZzt4V2Grz3AZXpTwW/vjF+eU0NvuNnKYvCOKZp1/elnVwU7XqpRG8cbVq5jBjg/l1XeO4TFfgXB7iCCx9S8=</b:JenniData>
  </b:Source>
  <b:Source>
    <b:Tag>MoundasM25</b:Tag>
    <b:SourceType>JournalArticle</b:SourceType>
    <b:Guid>{39c72e8f-0b14-436a-a662-1ec05e92eba3}</b:Guid>
    <b:Title>Prompt Patterns for Structured Data Extraction from Unstructured Text</b:Title>
    <b:Year>2025</b:Year>
    <b:URL>https://doi.org/10.64346/plop2024p24</b:URL>
    <b:DOI>10.64346/plop2024p24</b:DOI>
    <b:Author>
      <b:Author>
        <b:NameList>
          <b:Person>
            <b:Last>Moundas</b:Last>
            <b:First>Max</b:First>
          </b:Person>
          <b:Person>
            <b:Last>Schmidt</b:Last>
            <b:First>Douglas</b:First>
          </b:Person>
          <b:Person>
            <b:Last>Buschmann</b:Last>
            <b:First>Frank</b:First>
          </b:Person>
          <b:Person>
            <b:Last>Henney</b:Last>
            <b:First>Kevlin</b:First>
          </b:Person>
          <b:Person>
            <b:Last>Schmidt</b:Last>
            <b:First>Douglas</b:First>
          </b:Person>
          <b:Person>
            <b:Last>Buschmann</b:Last>
            <b:First>Frank</b:First>
          </b:Person>
          <b:Person>
            <b:Last>Meunier</b:Last>
            <b:First>Regine</b:First>
          </b:Person>
          <b:Person>
            <b:Last>Rohnert</b:Last>
            <b:First>Hans</b:First>
          </b:Person>
          <b:Person>
            <b:Last>Sommerlad</b:Last>
            <b:First>Peter</b:First>
          </b:Person>
          <b:Person>
            <b:Last>Stal</b:Last>
            <b:First>Michael</b:First>
          </b:Person>
          <b:Person>
            <b:Last>Chang</b:Last>
            <b:First>Chia-Hui</b:First>
          </b:Person>
          <b:Person>
            <b:Last>Kayed</b:Last>
            <b:First>Mohammed</b:First>
          </b:Person>
          <b:Person>
            <b:Last>Moheb</b:Last>
            <b:First>R</b:First>
          </b:Person>
          <b:Person>
            <b:Last>Girgis</b:Last>
            <b:First>Khaled</b:First>
          </b:Person>
          <b:Person>
            <b:Last>Shaalan</b:Last>
          </b:Person>
          <b:Person>
            <b:Last>Chiticariu</b:Last>
            <b:First>Laura</b:First>
          </b:Person>
          <b:Person>
            <b:Last>Krishnamurthy</b:Last>
            <b:First>Rajasekar</b:First>
          </b:Person>
          <b:Person>
            <b:Last>Li</b:Last>
            <b:First>Yunyao</b:First>
          </b:Person>
          <b:Person>
            <b:Last>Reiss</b:Last>
            <b:First>Frederick</b:First>
          </b:Person>
          <b:Person>
            <b:Last>Vaithyanathan</b:Last>
            <b:First>Shivakumar</b:First>
          </b:Person>
          <b:Person>
            <b:Last>Gamma</b:Last>
            <b:First>Erich</b:First>
          </b:Person>
          <b:Person>
            <b:Last>Helm</b:Last>
            <b:First>Richard</b:First>
          </b:Person>
          <b:Person>
            <b:Last>Johnson</b:Last>
            <b:First>Ralph</b:First>
          </b:Person>
          <b:Person>
            <b:Last>Vlissides</b:Last>
            <b:First>John</b:First>
          </b:Person>
          <b:Person>
            <b:Last>Iyer</b:Last>
            <b:First>Srinivasan</b:First>
          </b:Person>
          <b:Person>
            <b:Last>Konstas</b:Last>
            <b:First>Ioannis</b:First>
          </b:Person>
          <b:Person>
            <b:Last>Cheung</b:Last>
            <b:First>Alvin</b:First>
          </b:Person>
          <b:Person>
            <b:Last>Krishnamurthy</b:Last>
            <b:First>Jayant</b:First>
          </b:Person>
          <b:Person>
            <b:Last>Zettlemoyer</b:Last>
            <b:First>Luke</b:First>
          </b:Person>
          <b:Person>
            <b:Last>Lafferty</b:Last>
            <b:First>John</b:First>
          </b:Person>
          <b:Person>
            <b:Last>Mccallum</b:Last>
            <b:First>Andrew</b:First>
          </b:Person>
          <b:Person>
            <b:Last>Pereira</b:Last>
            <b:First>Fernando</b:First>
          </b:Person>
          <b:Person>
            <b:Last>Kaufmann</b:Last>
            <b:First>Morgan</b:First>
          </b:Person>
          <b:Person>
            <b:Last>Lample</b:Last>
            <b:First>Guillaume</b:First>
          </b:Person>
          <b:Person>
            <b:Last>Ballesteros</b:Last>
            <b:First>Miguel</b:First>
          </b:Person>
          <b:Person>
            <b:Last>Subramanian</b:Last>
            <b:First>Sandeep</b:First>
          </b:Person>
          <b:Person>
            <b:Last>Kawakami</b:Last>
            <b:First>Kazuya</b:First>
          </b:Person>
          <b:Person>
            <b:Last>Dyer</b:Last>
            <b:First>Chris</b:First>
          </b:Person>
          <b:Person>
            <b:Last>Li</b:Last>
            <b:First>Fei</b:First>
          </b:Person>
          <b:Person>
            <b:Last>Jagadish</b:Last>
            <b:First>Hosagrahar</b:First>
          </b:Person>
          <b:Person>
            <b:Last>Xiang</b:Last>
            <b:First>Lisa</b:First>
          </b:Person>
          <b:Person>
            <b:Last>Li</b:Last>
            <b:First>Percy</b:First>
          </b:Person>
          <b:Person>
            <b:Last>Liang</b:Last>
          </b:Person>
          <b:Person>
            <b:Last>Nadeau</b:Last>
            <b:First>David</b:First>
          </b:Person>
          <b:Person>
            <b:Last>Sekine</b:Last>
            <b:First>Satoshi</b:First>
          </b:Person>
          <b:Person>
            <b:Last>Reynolds</b:Last>
            <b:First>Laria</b:First>
          </b:Person>
          <b:Person>
            <b:Last>Mcdonell</b:Last>
            <b:First>Kyle</b:First>
          </b:Person>
          <b:Person>
            <b:Last>Sarawagi</b:Last>
            <b:First>Sunita</b:First>
          </b:Person>
          <b:Person>
            <b:Last>Shin</b:Last>
            <b:First>Richard</b:First>
          </b:Person>
          <b:Person>
            <b:Last>Lin</b:Last>
            <b:First>Christopher</b:First>
          </b:Person>
          <b:Person>
            <b:Last>Thomson</b:Last>
            <b:First>Sam</b:First>
          </b:Person>
          <b:Person>
            <b:Last>Chen</b:Last>
            <b:First>Charles</b:First>
          </b:Person>
          <b:Person>
            <b:Last>Roy</b:Last>
            <b:First>Subhro</b:First>
          </b:Person>
          <b:Person>
            <b:Last>Platanios</b:Last>
            <b:First>Emmanouil Antonios</b:First>
          </b:Person>
          <b:Person>
            <b:Last>Pauls</b:Last>
            <b:First>Adam</b:First>
          </b:Person>
          <b:Person>
            <b:Last>Klein</b:Last>
            <b:First>Dan</b:First>
          </b:Person>
          <b:Person>
            <b:Last>Eisner</b:Last>
            <b:First>Jason</b:First>
          </b:Person>
          <b:Person>
            <b:Last>Durme</b:Last>
            <b:First>Benjamin Van</b:First>
          </b:Person>
          <b:Person>
            <b:Last>White</b:Last>
            <b:First>Jules</b:First>
          </b:Person>
          <b:Person>
            <b:Last>Fu</b:Last>
            <b:First>Quchen</b:First>
          </b:Person>
          <b:Person>
            <b:Last>Hays</b:Last>
            <b:First>Sam</b:First>
          </b:Person>
          <b:Person>
            <b:Last>Sandborn</b:Last>
            <b:First>Michael</b:First>
          </b:Person>
          <b:Person>
            <b:Last>Olea</b:Last>
            <b:First>Carlos</b:First>
          </b:Person>
          <b:Person>
            <b:Last>Gilbert</b:Last>
            <b:First>Henry</b:First>
          </b:Person>
          <b:Person>
            <b:Last>Elnashar</b:Last>
            <b:First>Ashraf</b:First>
          </b:Person>
          <b:Person>
            <b:Last>Spencer-Smith</b:Last>
            <b:First>Jesse</b:First>
          </b:Person>
          <b:Person>
            <b:Last>Schmidt</b:Last>
            <b:First>Douglas</b:First>
          </b:Person>
        </b:NameList>
      </b:Author>
    </b:Author>
    <b:JenniData>z:7Vi5chzJER3qdmXLaUOh0EYAg4MglyFHQeIgCAyWEAYkJVmb053dVZjqqt46MJi1KEXoH/Qr+CCZipCzjuToVR8ACLKA2N1Ya+GQmO6srJcvX2ZV9t8uRz8tjZWV1L/kr4LxvPz5fydkK84U6SoQ/qhNwcplv59MjtxnmRNmkTXW1NJxhqUZX3hLuZe6ypy3IffBcpEV5CkrYZYFfeOxh3U2W2ayYO1luYyrGvKerXYr2ZyXC2ML7CV1rkIR32qqGa+MrUjLr8lLEy2VyYc/ScOtaWTuPut+WFbdu0zqdsPxvlnwOduVzAvOGraAXZPOOTNlFqPKDAzJzV2m5BwWlnPp4GElyxVZ6ZcrcNoomdNMqvZn3CdoGR1hF8DHGt/uGn1adkF5lxXcsEY4gulcqmXcJrIXHFsH3rDGuYhJ2pbRxiOchZC5yMgy/HbEtaF0ayp5zgi2BT1+ows884ASeYIbJORmcDWTA+mgwWU5HElScS3r+DTL4VU6jzQMpEmaKe4SN+QUgCm3BijPwYMJLqOm5aED1bIQgY1Po1/RbtsBGTbvspPVBF4j+zc8I+Q8ElAbwOGyZDxGeB2ahoEj4okSa/fwAnE0hAgj49YUAas/ktyH/kHpDXldU2s5uNa757qBWuAo7tOtiGy2qohkde6QSSfvkfX49BogHJ1D4jG5lluuvZWz0LEGtyCGyQIMYKYjGO9JhA3crSRdm6oM3JMyVZTZrQDbEHJT13B6m4tW3SuZC5EAsMaQiJf5RztOGViLdkvAzwG6SwifkwrgCXn1wkDS7V6CpG4r+BYQ5McMvyKixoRYBpHh/qFDs2Go5QOSo6Xii0wzdNmx0ZasZXQM1khY3OyWXKCNqzKOoNoOU3e4IvK5NgvFBfrYjGAaZT9U1ScSmRvbGEtgXpNSKPQPuL9hiDqwhsBmjLQLnzW6KLPtqpE82I7FghgLdB9lIAyXLaQX2AU1Mmi9RMjyAy2uZCXlsdGgzLrKRv2iHvru4kwDpSF7sP1Y9Wig81KZRb9Vy1bXh1rBD60JAFHbBfpRfi37cRFXX45+LWiGWOHx4TR4OA0eToOH0+DhNPgRngaK8liSXOzAd7W5vvl0dX2jjvJFptm+0qW5HD2qKEAE1r1XV8LGr3++vBz9pIjtGv+XJdXoeNVRzDx4j41L50d0UVijePQJy2kuallg12hZ7ZhQKXK3rR91r7/8oZ4PaOSL4ICHtO4Mec+Snqesy32G4bIzLQ/5HDr9fnF+NxzVEeNMQrl0QE7wv+ak8YkRSGkPpNgnnUYxRVNhq6joURwzijhlXUzRoPrwjtBwiVXKlLehwqqzFdtC0up+kEnjQ1pyj0AcGUHAVCSNYcCzzphOkol7KW2Fe0yfOAHcSY/VVBDhTnSPcs4QRixNK0NP1oSCpZR5fWilE3gWrBe9guQJnaFk5pSkeDaRPea/BL0kk2ThhCWqufO6h7aF5pQn5VO/JXSMJWmKzaFbdTYV8pzmoU6D4ZfIBPXB7mIDkVTGPqu6V8ZJVIZNs30AdTozyP6EVJN0K98qRBmP217LcW0Sw6vlUCBnU7RqRBfvKCkYh/G4GPpX9cqgEmWyTsptgQLs9czP1Xm6DXwq7+UBgXyfWjL/K3uvuDZXARSTME/Wt5gQzkjre+d3kiKO8hzHXeiTUz6HJS+SpBwDgLR9ysUeznMwmBShOKRQXrew8qi9yic5nFC8BPSafRmkUgRcSVJeAHe8LuCSOviXVUi3nPk0zCwBjhwkXk2Bhrm5A/+C5vhzaBP0dVgmC7rYuUoPuhuSfG8N53uc7HnigCoqoJResfvGUWUpVk6qGv+MwHoJFhPpkkCv9kc3t/ky6W9y7S/Z9MovcDTQ0PB2MOwkC7uc8jzekgbqvXEiHf4JL7VRRZ9atFIrkwFBxAUaBuTQBX+4RDdP2U7JIqvVkNMpzk2fzima4CCWe/pWPhks5232MZji/pqspFNh6qsul0+pTkJAaxkg4NC00HwSwgk6xBDWTGBQSvXNY9w2UQhD5dhd9HFtUHLZc1zg44ukKo4pqKHdPi/SuPlQ8cBIvnNH2e9Kh9tIn+cDAilJlzvB1r2A1AsUBZ7q7G3aN7/Dkdwv4INwB3WzvV7D5Z8wKCG05EFGy+FOe0fSoDJdzIwdEnfPbah4rbhvquU2Upymv3op1ezq7sa4ftpkAYtdpclBMkNvd8JSmTyXppgUcrar0xp3gYGzdiT4DhfaUpA7Lspvclm4y9HPUJ/Sb6yPn2493nq61mAiwoSx1WxuocPN9Hv86/R7gTkJsxdfzN9tbW08frb1eOPxE7x6Td+cwSB0s8kZVj5ZXX+2urklhg9VMxQdxhsTbM5vrLo4FN437g9ra4vFYixwkMQ7wlizb7dei3uvteO6W2s/RXD8joK/u0ebW6t1N7yMm6KsXJj5ZRPjxr0MFzzFp/j5CBMXm/IQB/3Nx/gUhOERtiqH8ooXy2148o+8ZZzIkd/iHaY01z4dsZc41i92j7sp8vjmND+9HjgRNWW713NeO7u+uTm7nmIKLLsvYX+/HP2iLEyNqQ0oZrKgx23avjoWS4fbqcqmuWznby4lFNkZzTY+b62abSAJQDFY4V15urG+8WyjfX/xuy8IW8LLZPhGCPBxcIzj6innQkuM9w4fEDB9/u+P//7Hf74cjUYCHN7Yrdj4fH2z9bd4DupK2X6geoWPaUrJKm77gwSxufGkC+I30+EjyDuetZP4a3Q9fFrBxH6FnP4F4N8eeRG18qs8QIW/HVQI8Y9x9Vn7VAHM49T+FrJDZh/9Hw==</b:JenniData>
  </b:Source>
  <b:Source>
    <b:Tag>WeberL19</b:Tag>
    <b:SourceType>JournalArticle</b:SourceType>
    <b:Guid>{b90be694-f5b9-4bcc-95fa-d0e5cfeb7826}</b:Guid>
    <b:Title>HUNER: improving biomedical NER with pretraining</b:Title>
    <b:Year>2019</b:Year>
    <b:JournalName>Bioinformatics</b:JournalName>
    <b:BookTitle>Bioinformatics</b:BookTitle>
    <b:Volume>36</b:Volume>
    <b:Issue>1</b:Issue>
    <b:Pages>295-302</b:Pages>
    <b:Publisher>Oxford University Press</b:Publisher>
    <b:URL>https://doi.org/10.1093/bioinformatics/btz528</b:URL>
    <b:DOI>10.1093/bioinformatics/btz528</b:DOI>
    <b:Author>
      <b:Author>
        <b:NameList>
          <b:Person>
            <b:Last>Weber</b:Last>
            <b:First>Leon</b:First>
          </b:Person>
          <b:Person>
            <b:Last>Münchmeyer</b:Last>
            <b:First>Jannes</b:First>
          </b:Person>
          <b:Person>
            <b:Last>Rocktäschel</b:Last>
            <b:First>Tim</b:First>
          </b:Person>
          <b:Person>
            <b:Last>Habibi</b:Last>
            <b:First>Maryam</b:First>
          </b:Person>
          <b:Person>
            <b:Last>Leser</b:Last>
            <b:First>Ulf</b:First>
          </b:Person>
        </b:NameList>
      </b:Author>
    </b:Author>
    <b:JenniData>z:rVhNbCRHFbbDBnLLAQllhRB1YMVG8fT8eWxPLvHuJmaXeH/i9WKQUJbqruqZWld3tauqbc+eFiRQJC5IHBASEpEAIXHhgpBMIoG0cMsl4soBReICAgmJEysFvlfdM257vSGLffC4f6rez/e+972a+ebB3LMjbRLujT2Ym79X8JG8UWaxtElvOEyNVSOVn8sKkV5Vo7HGn3dYp8IWZXL3g4O5Z0Qcm/2DuXPpWNKCR6/849c/ezA3Nye0TP2j1fZ/fvMN3CXeFI9WX3//fXol95Tw40erq/b3q7ht+D33lAbX35w/ZhB3pzL414gsTA0O2XP07n8Z/Nczn3+Swet///B3DYPn5776cVL+52//RLtOMnjjD281U37pe2/T7SlSvvn999iZYnjr+Q/P2OBXPtMsyhkY/FHrz0cNfpwqf5TBD16lsjYMnrIob1z8+lEMH759SoO5P4bhKVvvjV999yiGD4mxpzH47580O+X0RdlYfYdAO0OD3/njMYOnxHDjvb+drXzd/vQnztjg1z7bJHa0vvP0KXd/+Q7d1QZ/3G8afGXwc+L5U0dINmqDf7l2NOX/j4eHBjdf4meBYcPgzoQAbRg8nrLcKY2Xk2d/sTVWWjLOxjDK/NhKNzZaMHyW+IfbUnum8up9YWWiHOYw455psyctViRca8ZzASOJyQpueawnzGX02FuucpWPmJN+AQuw53EnEyXxWZk74oF8HnehuR3hWdNwxPpsIwTqWD/qslszGyaFN8mubKyxLclSZZ2HGa4n96UIbw7dNZYmmjunUgU3paOFho1kLi33MqxxSu/infOIiFuBrG1ROloWA8kYcOJS7hfa2GoDghWyZdIUC/yelHl4ihUy8bC/U3Kt/GQaAmJqzdIT3POQuUJyTt2HA9wIhQAc7UFlvLSZo81Cpam0MvcMf/Qy55l0EVtToxKR9AjvPcR5Ut6NnPEwBC0BFtANpgl/StNYPt2BIlL8iGTqzk8KgGxsI5Ck9JT2LtclRXINZYWluPTwAqfcNUPhRWENT8bSoc5hywyv4eBCSLzb6Vxge+Mawdp6Y18X2SIAKpcDZAiyem5yUJLHBo5XBhcidsnN4F+Y0uwwENCYYvCVEwMckLOVokxQrbraVIsFhKKSMXC1Kt92LJfcwo9W9cWe8tRTs0AJm4zMNQBz7KJQTgIJt8AQa6ZAdrqUAIosuRernAhtheWhqAvBbB56mYKjvkpMnioh8yRgKhRqg1yUQ+Qah+ddSaGZvQWmJRfELbCUWjZ32EVNK+seFNYURKzKfMQ24coUhQHhqGY50dzETtpdwEE5BbgJDBS9EooTYwGkeG/xMQUOWBKNTC5C+1BOBswmjlShNFqDnITkSQ/MKFdkMmKXgZyoOQs2VYJFwciqeYMoZVTUBhVZJxoOQujk6kg1ms1uSsB+crNP97oSQOyUoelAKKsyXMI9pz4D9pU7K4GCozeIB5x0Jq90goQByR0KQ4NdgfAzUkZM7Bm7fTD3/JjHDhsTP/nkD2/LABdBQiE4XwriCDV6ULiaw+gQDV4FQpBQSFmArCXtzOEYdhGY2OWoV6WLSNeTYrVw0+I2TADCXkzBatSAXbzx2saLC1iSaLgHsWKFBkLRYR6vInYV0SDOirQKIyKh/meACzBm5DXkGlTFxKXzoFOQHay1IETAlCW2TBQwnyD+QhJlaqXiu1xpHqspU1yZpgq9kntiPM2Lw3FRi9iUgKgQB8YGxciClsJcI3phMuyr+pgE2KQeNQI3SC+qCTcKg6zJDpiPMG0klZ5YdKiGmfRjg7hr8shdhZJQI8JrEHqH6RlkfRpSTJdyFj0/qXTs4vrtzestTC4UITWaOkfQTlCtjnRsUMIUYtLyZTBUjEl6U5OUjm5JfBl8e5WUAKxmYcReO6Q0GgrNW5cM9quN/cWm2NcDIqEeprcpDYfD9w1gmy23UB0AQn6IgwiNioFN1Ch0wda6LQfj1Cnsg7fe7bGiqI8a1XSGoNmQFhWKNL6BWUST/7A1CRmDaoaSuhKPd6G+kAnwz0F8W41nDStHRFPBDNo5lE5BPelHCnpYCdisY9v1uWU2/RtiRcrSlCrKlWKrey8XLa5pQqJ94NFodvUOXQKUCuPgOy2pGUKI2JoZIXXFrYB7E+KI3ay4rfKqd6gcVzYurW3WpZ72wx50Kze+kk4yFQIjZyEANDk6t/Q1DaqzxGNaQQE79qUbWHFLQ8xCb2dXMNuIlYNWt08FrJv3iPg25t903NHmMF+iGgKkaCXNsrrt6fSKo6L3hXu53R6XLYh3NEJ5yzhSBuITtlUjHVzCZPIEmIWPjG+HGkK7uUMMVFpkU581gQF0PBy9plMv6ChVMK2ydWOpcRrCHLWxQiEsjMh9D7xBOqRhqJF3MQiJ2USbEc0V4ixKSvCamIKpqE/qkYP9AW4KAs01balQD0RPvKmFBQxram6q9snwjK8CiqtNQZyvChCOcwgfXKXjaTWAUq6o26mVFIZSQIiqkpYeR8bodomEg/xSatVZFG14BPnLyqg86DjUI5y0gG6keZJAxKV4FQmPep0eyt7JZuBfww76KZCXaFjrHuhqKqzhz1ixHC0OpXKulPMS7NAyP+ok3TW6zOQLXyhmBtdnvykq+pazwfORxJcmnGhx5r+FJ+fnvzjGGbe+jjTttAonUbj/Nn29ovGG/2nKM6Unckvi7CNH6KRcrEucUKzRcu7xhdvXH76bJ+NMTqbL0y/zHHx90ga9YZJt//CnDmTX1Y5kU2VPWp5exWSLVW36OurAn7hWruOQUUeR3NFptS5RAr+hfioRRu1/rtuJup1hvw0tbgDajv39QW8FB9E4f4BPl39LdftLy63FlU5/etXtJhkf3esNB4ud5UF3cRn0kvmlUOdrwi1h7WC4tNJZGa50sQTrx7SAa7m/vXW4SxSZEuN+t7fYX+z37oUyB5bc63W6w1ZnqdUbZEUZa4XuqokyHxLdu7mPiAW7k8++/uCrnnPb+EBjJPKO1ftvTpVglN4PVpIIV63CeCd4FgnZxlOcOdo4zGbh4+5if6m3MhzcXWpTJ0B2c99O8a347qDT7S13uu16QYSfpUc48JFWAfTtMC+13MTtPLpRmvR16GvzsSQxmWCtTuBJXJ5cMWXuX1j2VoaZiOPWFh2+qsfnK7Lvd4JkvVyffh4/UFXDqzGdUnzpRxUfCIrsuaQEDK0pDKh6ZOyo/ZGF/y8=</b:JenniData>
  </b:Source>
  <b:Source>
    <b:Tag>LanshinaT17</b:Tag>
    <b:SourceType>JournalArticle</b:SourceType>
    <b:Guid>{a82a9dc0-93f2-47db-8ac1-dc49e60a6ced}</b:Guid>
    <b:Title>Implementing the G20/OECD Principles of Corporate Governance: What is the Progress in BRICS and Indonesia?</b:Title>
    <b:Year>2017</b:Year>
    <b:JournalName>International Organisations Research Journal</b:JournalName>
    <b:BookTitle>International Organisations Research Journal</b:BookTitle>
    <b:Volume>12</b:Volume>
    <b:Issue>3</b:Issue>
    <b:Pages>137-159</b:Pages>
    <b:Publisher>National Research University – Higher School of Economics</b:Publisher>
    <b:URL>https://doi.org/10.17323/1996-7845-2017-03-137</b:URL>
    <b:DOI>10.17323/1996-7845-2017-03-137</b:DOI>
    <b:Author>
      <b:Author>
        <b:NameList>
          <b:Person>
            <b:Last>Lanshina</b:Last>
            <b:First>T.</b:First>
          </b:Person>
        </b:NameList>
      </b:Author>
    </b:Author>
    <b:JenniData>z:pVhLbx1JFXbCBJAGhGCFWKDSAMKR7u37cOJHkMCJnYeTTGxiz2SBIlG3u/p22d1VPVXVtjsbzEsIiYfQCGaQQDMLVqxZjFkgxIYVYs8KRWLHD0CKhPhO1e378CTMeO7CvrdvV5065zvf+c7p/u7pwqVhrmPutDlduLBf8qF4UBUDYeLeldVUGzmU6qWiTNI7cpjl+HMW66TfIrWyb54uXEwGA318uvBSmgla8Gx94cu9dxcWFpJcpLj6yjtfOsFV7HT5bH39l3/9My7EkUxc9mx9949foHtT5758ToPXf/YnfJ8YfOuHbD6DN370h/Vpg6dDsj+HwY2T39OtiYd/I/vnNfjxicHN+t1/Tht8++lHwXDK4E3z1mzI3Tk9vHXw0+mQl//+Ol2ez2B089MEfDB4O/nBdJYffj+e08M7j5/MhPze74iWcxjcer2kiwmG35kzKXe305ksv/fv82M4Y/DencezWf4F2Z/D4P3ruzMhv/2vOUN+9drWTMinj+ZMyoOl9dks/3dOg9ut5W/PGPzHnBjufO5XMwZPL34U+Zo2+PPPzqjNaf3hDC4RMs8z+M2XfzLLw/+c1UPxRqWdqC/9ZS8TLNFxVQjlmLSMy0IkjON7URp9KNWQxdqU2nAn2FAfCqO4igWTiqXyUDDGbSliZ689f1lqeCGOtDlgizISUYsl4lDkugx2E2GZTs/ubPutl1sMDjjYRs+iVTbjRmQ6T4SxLebgt9G58HccP2jusEWunIRFU5V+Z6lzGUscxLhKaJs0LJE2zrWtjI+DK1XxnBkBJxxMAxvp6vaAWyBR8pqgscxpJooy17UQFr5JhU5b8LY/wxmubAn3VFyzxSlHp05qMVulKblCQIfdfvOsM1sq0Uq0reTkWMJuqmEubUYZoZAnUB2JgZXO+8ItrvKcPgeam+Tpya9tAIcsGGFLdH05kLl0HohvUdLv8gNuHGc72roW63d7Vx5HbFux3gp7gCwQS+jXqwHqW5KSIgGTFeZQxjDDK5dh2HA1pSC4Da/BIVsRg1gsTTuucm5YLpyDtVgrx6Wi1JPJ25VMkD71AuJow8pqgNzhflFyBc+9f7SVWbCKJbwOzk08aQ4HYQzB/0BHrN/r7GzfvRd1r3RCPEeZjDPAgjQDm+aUyTGUarrIa3YkXeaPKI1E+CUgfXrym9FNeCiOyxwhPT35LZiuC7bUY5siHoO33ALrYsSX+KC1N6XEERtS7BGjPJwfBjbxfdZnI2g35XzEKcEOtaOjUUmxSEAxpA23jzJBhWFBCkQUtrZpr9+UsEWkKoVbqCSeX36/keB5IVUFAlL6fRZCGU2XKYjIWCGE315U1rEBoKRwbIZjqHIgN/4TBkaMjtjGOCqb6SpHOEE0vO8kTLnwcsVDcXsCAomiUjKMuCFv0550pDoUFhMzfH/V52fsd6gZukqAKQQUt7yvGYe+JTJNBQrbUa6FQfV67sMRwl64cI3CDYQDlqWBt1jPhkZXJY6Q6gDxR+z6lLtW5Gm70EriOAJn5EtwBTKswCJruamni9uIoa8nJg55XoVhPmIJyevpwmcyPrAQotjVnxB7GUm5gRB6EeB5/YQ4ghPG6AWgRufe7nc72zc3NtlOw3MPz8aYkrcnlBzU7GEF6qDCKU8GiUTUGmYMu/Fwa2MXv1fKAaqA01gaUL7+2YTneShc8HNcVxQlFJAnunSwiEPIr20zBBFs8JVq4SaYqQtUw4Zua+Qj3KFjNgNHPDEWKZbLlJXe2tpaYGvOkdJFZMMkYDTy73kCVEfkwqFYTzrYHslEU/uAlDodGKRzCCMd0MDmM4yLfpctAkPSYiovWG0CGek2brLrAD2vOdutikJSD2B7lTkQUC01K7neYQIDf0qzBD0UcUIBMq6GgW2NkDStGwfnEMFqmDGYHikt6gexGRQlLQW3USNCJYE4MAHfBiImKZ2iW0pSTeb73e4qw4PmAPvTsfzHRlppI0K04VcKHywRJrhFcJF9Yrk8PkMGrIFKwcxMKCDCeFnIVpB0kB6GybYnAxH0bBQwOKb0uLM0bJ6wC9V3Rodx5hlbLWqVgpsY4I+lR2lHMwAUAT2Do4/hGApUszcqmjSojkAOX2MApuURBRys4AqZLWimwLrQmagmBauUHlAX5SS+RGp4U8yE7bIKS+MYh6HMsQ1noXmHoxonIaxYnEzEiFM1TPkSTGJ5lWN+GVHWuiqpKbijQIAbhj+ReWuqgZO5UYH7kiwwIExq4IyABMLvavjNrqcG+ut/2IDocWhnwA+bwzocQgfEmQQviQzoonCbuswZu9EmphY0A+/zIZVuw/SRbgWu+Snq7N7njJRBuabEBoGMYsQ38ICKugasYbJE1BkNUwJtErg75MmzNszEQQKIucIUHtgXjHOLOC6vPOdAMU5OgxUYwr0BI9CwRgoG4RiCh35g9NpEU9X0SOAbQ0i1zyK1tnByIkraCYPj9oUWp42guFujKMlU01NpJ8qPOgX62ZMgtpxleKog4SAoRrJKOHJkgYMfzcnNzD1yCG1GQzEIw6TCdECFEZLiZ82I7TqZY/tkTJvUdHDtq5aJFFtAUUD+iq3Qxaiw3pfW1itATxJlqGYk1mOWxDpPTEz9gWsjul8O5A9s57mlic4ng1wk3ltZSD+b4jPYD8ik0CHfCcjj0NQmCgZpHUtEEuVUoYgk2USGhv1u/2q7u1aMtFeYLZCCXtWFsO0JTiqB+S38QYh6Ub8nvCh8DOMRGHbc2lJIiPK+IPjp1gesmqK/qyusyVP0IpTDp8rxcffHbwQlPec9JH3FY6NMpbFuB798/scZ9UD/9Z2c9hk5qIgveKN4MVHoA/hMUw5g6uw+nmioiMUQ8KrBXpRQ5hdimeBl4qU40fL4i71u1FtZ6i910GWX2yurV65S61xpd5favaUVFMJAneC/Vd+T4xWyf/VKH8tWe3HBh/v9leXltaurS8srGVowAhPHB48mP+6HgZ4A3g+m19rdXtGMkCOML3jnj7/2oMFujNZralxOT0/eZPRCFAndjTOtc2JxM07YA+QVyMbiNZMffz1zrrTXOh2pzX6UWRGZqkMVTA8QK51ev9Nf7fR6y1142V9a6+xFrIErwmvXITjs6pLQpEcs6pF7uLwA34RO76Fkp38WKK+8xto8ht4lN+oNottFZ4SfO1FTjzDfWf9rQ5X9rRe2vA8e4K6xR1QAqFzauGP0ELF7RQzT28zM9o0ULxSAz0lCEX0yrgBP1MADEkTaDDv/nwf/Aw==</b:JenniData>
  </b:Source>
  <b:Source>
    <b:Tag>RazookC16</b:Tag>
    <b:SourceType>JournalArticle</b:SourceType>
    <b:Guid>{255089d3-f33d-429a-ab31-3269a9333001}</b:Guid>
    <b:Title>Comply or explain, disclosure statement : how to implement the OJK-corporate governance guideline for public companies</b:Title>
    <b:Year>2016</b:Year>
    <b:Pages>1-4</b:Pages>
    <b:URL>https://documents.worldbank.org/curated/pt/497241477563267444/Comply-or-explain-disclosure-statement-how-to-implement-the-OJK-corporate-governance-guideline-for-public-companies</b:URL>
    <b:Author>
      <b:Author>
        <b:NameList>
          <b:Person>
            <b:Last>Razook</b:Last>
            <b:First>Chris</b:First>
          </b:Person>
          <b:Person>
            <b:Last>Savas</b:Last>
            <b:First>Leyal Erkurtoglu</b:First>
          </b:Person>
        </b:NameList>
      </b:Author>
    </b:Author>
    <b:JenniData>z:7VVNbxxFEB2HCLhyROLQEhJKpB3vzu7Ym0SKkOOEKMQolm0RiRM93TUz5e3pnnT37AcnA7+I4/4TQELiF3DKjQvVM/aODXshkXLKxVp3vap+VfVez4/r6IPcWCxQfwSvGuNhdevhWQnsK9RcC+SKnYKdowDHDhpfEtSv2J0XXz+/y0ruGGpvjWwESGahaBT3aDQTRguwGnXBPNXCqlZQgfZd1OTt6aGxtbHcA3tq5oSm6+hngxIUamDEih03mUJByKrmGonCncOnPeTuLgtM+3sHzJsCqLZlC/QlE2gFhSxT4D3YAUFfNWipTt0VFpvC3rCKz4BOrkgVPSmJTijjmpCJmnGtG5qLBUJ6x0DL0Cg1NknYYxBQZURgPEr2O37XswnEXQ3CuwGrLdKAaTKOKobxERsakmxbIWhOFIzczohbCJQzINYS2rLtlNSK0dieLGvFiWjGHbpAAh3TtFq60sxpeKELh0VJ5CmzNItQS1qe+3YxPWHmaGXt5gICdHsWhqawpdFOOaT0O9iVC2Nn6+iTkmfOWy78e0G9F9TbCEpxQWJxIB9TajEejffiJKlIEZ4ogX2mc7OOdgreisld1JvIkRHcG0tBrHkBJ1wXsI5uYY7W+WM62SkV737dViHLYtZQgvuJUFLzKqDznFeoVvkJ/8GYGRQ4Bw2HpUUnrVEQ/RcKp3zOXYesj2BFm31iZ40lKammS8pJ6ccyfy1QunV0m+aT6Qv66/SFqHhxPt67P01Hk1GalKYGzRUsZy/7Q0K+4K/PCd90UzkP4oiTUTxKqCVdNNRSBrpwTeZXdeA249ajUHBG/+7QVMHkz1HL68fguVIrwiqBHuSj1aFptI+8hRws0HbkS3K2607BoydW814j0GlksH3bD65UsbFuu2ayfbxVj8UN2/7bXbk3NQr38zr6MJemomuJdoaSj9tdmFPTPTQCA28HOYKSHSSbTLZiKJSfJZN70702vPz0CIoQ9o0Mdg6GOgHiUjlwxBj+/vKPh79dRFFU0pCv1ZeTyXjUlYiPjUIab39LW+aZpqdDt9qmyAl0Micd/P9ekrS76fNHjaNZOXoEvuGalt8OOFx2IETYF70nXYPjUXrJbnCTx4HNkJ7r9j3tWM7B+bbOEV9c9fz7d399v6XnJB3da6suTkMNKFZtjZ7Lu2kuTUZd3eVnW78FIedaM78mX/z5Js3I4KmPRWPV8pfS+9o9GA6lEU2IuV36/CmZcT3bNbYYEopKyGHth+n96ThN0ul0b38y3p+maTrs3BMbG1+6J+7NE2/ME5N1Ym/ijXVisk58wzpxb514Y52Y5Bp31iHkpXVm4fP8LVhHi47+AQ==</b:JenniData>
  </b:Source>
  <b:Source>
    <b:Tag>CaroGonzlezA23</b:Tag>
    <b:SourceType>BookSection</b:SourceType>
    <b:Guid>{97a17e3d-17e7-4643-bd31-0f65c0a2dbc1}</b:Guid>
    <b:Title>Designing Ad Hoc Impact Monitoring Systems</b:Title>
    <b:Year>2023</b:Year>
    <b:JournalName>SpringerBriefs in business</b:JournalName>
    <b:BookTitle>SpringerBriefs in business</b:BookTitle>
    <b:Pages>91-101</b:Pages>
    <b:Publisher>Springer Nature</b:Publisher>
    <b:URL>https://doi.org/10.1007/978-3-031-43132-6_6</b:URL>
    <b:DOI>10.1007/978-3-031-43132-6_6</b:DOI>
    <b:Author>
      <b:Author>
        <b:NameList>
          <b:Person>
            <b:Last>Caro-González</b:Last>
            <b:First>Antonia</b:First>
          </b:Person>
        </b:NameList>
      </b:Author>
    </b:Author>
    <b:JenniData>z:pVc9bBxFFD4bR6JDokCICDTpAuTOd/53+Il/4vwoJEqcQIoUyezu3O7k5maWmdmzL5WBKqIkFHQgKiQkhEQKIyEhKCgR0EHhQIPoQZFwJPje7P0lCiGRC9uzu7Pfe+/7vvdm/dZ2ZV+qTMy9sduVsas5T8WZoh0JGy1ONY2VqdQT7TxpnpBppvDjHbbJ8IY02r27XRlPoshsblcmmpmgDbtH/v7CfF2pVBIlmn53qfrlX0u4ir3Jd5deuvPsh7gQGzLx2e7Suev7cVUZCTv2iICvfJdfGQGc2fjh1iMDNt7fGQIeeW8/XfQBz/78KdtbhkufzVONw5Ifp2d7AFy+cWs0w3PX+dbeAFeu3aRHQ8DnSKM9AK5euXx3yU89lCg3b/wX4NG1f0iFPuCZd36hnf8HeNt9TGkMAP8knkrAC0/+QSn1AV/+6veH8OHSwZ0fKace4MH4DeKpBDxw6ftRY6/vnLpH5fH7AR74/CfK6X6As68eGi15fadxT8nj4s3CeNHd9+tyHHqRucwUKmFOiBbzhsVWcC8YZ5ngymdd5nIeC4auZlnR5prFPJeeK8Z1wnwmGHW1Yiw27Xahpe8yqVkqtLBc1Rg7bjrCaq4BITT25Nw54RhXiknnCiytUAgILBPgwh7d/W3rA4e1zY2ldFg6wDnE8gK3HRZxoXxh6Y41SRHqoWUsyhhIEAmj9LbQvsZWCa0a4IZoyDZWRYLtFLxplDIbUqfMc9dyh5GBdjIRdpCacTKEIXCWSMDgRpeZZtgRGW4TukikFVDEukMsER2hTA5GY5MIeih8JuMyv0g4j5Q5ckcuLC0QDHVlIoYYAHRFnqsubnCwCoaEdig4ZKJkyJ9QUHMHLzJvuYZcFuUy1pSOhJEa0rXD3CVlpEfgODaFpgXeJSXyIlIyhhJg21P1B4/JtMbmao3na6y/ZGvnj7PU8jxj33zC1kxWBXA1NSZhFzJJYiGd3ENWVEUg8KBA7oUL4ia8yyJUEuSVAsRI3UH14CjkYUVawAhkyRoAhRWABxcUNeOEiVfJl7EtYonCmiANpkRNiYilw4vVNm9R4BELxNY4x1iHW2kKh81J4bxF+BpbHwYMCZSeIKvgGhznincJjTMnUy2bMuag1RpFnmEUpG0CWZRhX0LgnoZ7USYIpjjIvUMv+OBQMDFSZ6mdAfW0EXpz4KM/4Z0hT6R6AikVHE+WkJYCVvtdQ2E7sGTP77mwQW5IQSxCixFTxF2mjWdGQxXLZUlQyJRHUpGNo8LDEM6QK8wGZoPnLZEZhQ4IiYBguLS0FIL3iUfVq4N8Q8FwvwFpQXrYWKJxrA9+hf/BhoCRAnkOesDb/QTwKIwBVGlQy4gfYCRNaQCFMEFV6TKhO9KaoBuSRmHC5dS0kYJ5eJLg2tE+5kywTW/qlMMB4fAT8oBA+DMyGAaSBjcMiAvNCxyiquQqkBL6ICoQCvEwTLWDACtdZGDyEZdg2shckfuHAsNXqCILQXu1oxMLH4pHDR4Kxuiru9oFQwVjlqYCzZV2LjxMAOJ50oFNMfNqLNkwtrVdeSLjEaoDxOad5d6q17EZzz1mm9jMFXqtHIFDs5diCZosWFcjTmre02th9GIHVdjhquCgHZkCBN98pZrhQKHnlKYVGaihRGEJSqScuNUiZ67rvGj3hhKLULawYbCiaZFOqBxw4fwoUzWFp5ngwvQll/cmHdBHdBRN3PaupuB1mgrJUTROOlWfmq3WF9qYWmQBYU/C1NuVx1Je+AyhtlSZ4LEwZZJGrT5DFCux+cx5kjEVdgX93aQiB7rnA7TXBh/Hks7edY4XcJSDWDj4LO48fSlTvLcUit6zEpZCZHxcjyeat2l/s8nbUnX1Kremetzoa99+pMQ1kaJEnS6DXS15QiOpEssE39gTcWLk5v5Gvdao1+cnF+cXqtPV+nSjOjPdmJ6qzl2ewyiJ9BZ+O/22nGosNqqzMwtT/dViPUPbaY4yWxdnphfm5ucWpxr1q6FpAnFXQRwgF6uN2XY4NhxGdcndWMja9OlhZzgdzi0YyxQ2Fq9btbmWeZ+7w5OTSupWzfV21qDiJFGAHp7Efw2TD8i/huepKyLfzUHQGJwoTPMULHJbhP4HaSqWmIwr3VWabBWPgwSHCZyQXEQ/uPJuT8sXjorgd7hzOWEnTMxOlrY8DWYhBj04X/qyie8rnNpbCUWeiAtU82K/GpBeMzZ9UN7/Ag==</b:JenniData>
  </b:Source>
  <b:Source>
    <b:Tag>WantaD21</b:Tag>
    <b:SourceType>JournalArticle</b:SourceType>
    <b:Guid>{cd288b2d-942e-4bfc-bc19-9667435082cc}</b:Guid>
    <b:Title>SUSTAINABILITY BLUE DISCLOSURES: INDEX DEVELOPMENT AND PRELIMINARY IMPLEMENTATION</b:Title>
    <b:Year>2021</b:Year>
    <b:JournalName>JRAK</b:JournalName>
    <b:BookTitle>JRAK</b:BookTitle>
    <b:Volume>13</b:Volume>
    <b:Issue>2</b:Issue>
    <b:Pages>97-105</b:Pages>
    <b:Publisher>Universitas Pasundan</b:Publisher>
    <b:URL>https://doi.org/10.23969/jrak.v13i2.4473</b:URL>
    <b:DOI>10.23969/jrak.v13i2.4473</b:DOI>
    <b:Author>
      <b:Author>
        <b:NameList>
          <b:Person>
            <b:Last>Wanta</b:Last>
            <b:First>Derry</b:First>
          </b:Person>
          <b:Person>
            <b:Last>Gunawan</b:Last>
            <b:First>Juniatí</b:First>
          </b:Person>
        </b:NameList>
      </b:Author>
    </b:Author>
    <b:JenniData>z:pVdNbxxJGXbCLor40IoLWglFFIKgRLLn03YyCQq2M7Obcfy1njFhOVHTXdNddnVXb1X1jIcDCvsLWAmJAwIhcUPiAgJkDisQf4ALSFz4kJDgunuAg4V2n7d6ZjzjZLO2cpiP7n7r/Xje532q+nsnCy9HSgfcaXOycOUw45HYyZOeML1Go6+NjGT6UpKF/YcyihU+zsJM+hVSp/b7JwtXw15PH58svNSPBRmcfv1/X/05W1hYCJXou08FTmena/d/9lvcWRBDGbr4dK37hR+s4XIm3NULOlq7tv2PGUf3Pxg+uYCj99/7PK3yjk7Xvvb3X/0UV4XDjSyazaz5/h6FvKTD+z+kcgqHDx7+h1KaOvwb+/alHd5//E/yUThsfumQ0p063B9exOEsdqdrt37z17OSX6tuzGLYib/1+493uPa5yp8IqLHDL3/wf1o0dvjvX1P90+5e/+VFMHxOhu1Pf4ZqnGbY/wuFvpzDuQzbf/juLIbd6+9chDbPcbg5fG+O0F/0li/g8FEpmMfwnctOyHmH//ozXZw5/PHlaTPncOtHD+dKZl8hSF/A4fYbv5vtcpfdvQAPn+dw59ri7Oh1r7/7gl3eefcns5MCDM87FG/l2onRy//txoKFwnGpLIuMzjOZRiyUNlDa5kYw3WfcZiJwlvE0ZDINpVddy5gRfWEM2TvN9nY3H7GVarlWqd5mHAu5ZX2tlB7ae2zde2Cv64EwKU8DwVrpQBqdJiJ1rBXoVCcyYB0dSK5YVzt8tyeRWK3G4LO6yqpVtrrKbrB6/QarreKzfANP8KlUbrANbkXIdMq6vKcEqy4iv4HgivKbS06mzAmTWCrN5halp7wnlXQjrMi0cfiJcuU3ikUWneU8xQHVOcAGdIV1s5AYwCoN0iCoyEQJDotiIZOWWV9hiXVjXCQ882gn1M+JG3LNnV/87ORwLw25oVb4uiZliSSLuZXfEXCsqXEoE05kQqt8/qh3rhr/HE3K4Y+KpTbiv4D5Eazx1CCIdBJPB8Iu4iJQeUgpn0uNB7CAobBUGtb2DlEwLaKgc7WgNX38UgaZ0ZHhCRWCZutUWMk9uDp3aBtgpFZhMepbWcJX45lujOYhoKTskaAB4kV7wtxM8xu3o8edw8pxToUDYpxMrZMu90eDEmg47cGIBTyluRh6HyEYpXQ2k8boHhMpRaJMgLUBwCEz0h4xsNoZreAhG+exyIaxRPxz6IEKRoBvWIgafFOGUhFxAYlH8NmZkvUkI3E2T1ypEesbibzwBxmFOVhbtsIMZCAwjTEf+KGltujc4B6bCYInUxr3Rt4q0EmSgwjEQcrTR6YHWxrWXQwTaxZ5+HneU8Ds5v7e5t6tKfLbIpR5wp5jvH2L0AligiOIuQGnhAGdfRaoYom64OJF//9Q94o/mdZm0UehqxkU7rGiAbKX00xplnqOA8Lp7THlfYVKJjR7ATqH+Ig4vRPzNBKYUSejYkp8SWi4xa3CAwexUEaAXBkEbyngpocnM9mUzuTJ0ej7MfOTDLwXC7pCc3NryeXTwiStzQE7MQWaSj3CjPhM0BIO0IpptZg66NDspCYcCo1ph2lfWhj5IQ2H2hydLLwS855FLYEbfWKXBpfLpJgORMp4RgIwRzN+PrGeyovUx9sFVEwc+2hiwFUOxMZMw2wo4ek5QY1mBQqKXwGs4dKAtqSCaUTShL0oioulKU70aAatG4cqtIGnaY6GFsLopQfZziSDTltEgDD7NIXfZ2bVCqRIBIakM1/UBlk3p34su9nZaN4qsXX2FuJJKmEArDJUQNgPIaW4UHKiWCT0Lg+BzmR+Ukdc56DfiPiVCBfrcJwwAghu4Ce3CGW5g5qQFlgOyAp6QI9RrVKMD7BRe/Wbrx3zrpNix5GWFk977XsxJgHmOOMp3fTmJKvUCK+s4z3nTIg7TgdHrHVcDIDXdQgrks0V4iUcpHxqxzoLQDI+Vm8UB4gBMMZossN46j+b5LPkpeXjks+EvOjBiHhq+BCZkE5whYU+VT8c/XlBnKyBAIP3ZAFRRh8VA8U9uTC8i6yvoJTE2WIG/R6BrVRGmOUxDgjpYFlsBlgGpCfI430UMkBYHwmwUfEAygqmNrEiqlVqK0vVSkJUQMnCtEFqeonlOahg7BOMQAZivoaPNmG1VKkLj8dVAb1XItzcX3/UH2iVJ+Kz2dTL1vQVWNLhbp9SxFlR9iUg3sOdV3mscATxf6WaSh8ivk1nSuI/fvt9nkg1Eo85/IoI7E5FE2e7UQi5EQtPW0av5ykf8rSwjTexO3D3x18U5oEM8bb9ySDU8vjVaqVUqzdWG+VDw49Kg2pd1krLy7frGNNe+gTfNn1b1ip37iytVBpVWVtp3F5avVNbDRIeHdZrlZWV+u1GvQbxEem6R7QdumqtcbveuLNcX65XlmuNlXq9shqTBVfi+Ojx2bJDj6FvwSFaUEULlqrVJMt7mBMMSNGFK746d5CiGANZxzzvcUvHovQIhPd75IFRx63YuczeLZcPcQuxSnmacVviQUmGZa98pSzOfKVlbpwMlCiHepgqnFDKVHS52liuRDbvuVFGaB6Nrbq4vALWCd1/BD+zt3E0x34OWxVIDPbG6AHOa+6q84dvQXvOY1Da+ruvFFw5fqNz0Omut3fWN9pb7e6bbGProMWa7c6Drd3OwX6rc5e1d5qtb7Jm6xutrd297dZOl63vNNnefmurvY11+2+y9vbeVouerHfbuzt9vFbIwD4JKfFrQQ4wbk7AQJtL2kTlj+r0hw==</b:JenniData>
  </b:Source>
  <b:Source>
    <b:Tag>LweB22</b:Tag>
    <b:SourceType>JournalArticle</b:SourceType>
    <b:Guid>{753f2ffe-2a27-4ca7-9edb-6263c8451a3c}</b:Guid>
    <b:Title>Measuring the Agreement of Mathematical Peer Reviewers</b:Title>
    <b:Year>2022</b:Year>
    <b:JournalName>Axiomathes</b:JournalName>
    <b:BookTitle>Axiomathes</b:BookTitle>
    <b:Volume>32</b:Volume>
    <b:Pages>1205-1219</b:Pages>
    <b:Publisher>Springer Nature</b:Publisher>
    <b:URL>https://doi.org/10.1007/s10516-022-09647-x</b:URL>
    <b:DOI>10.1007/s10516-022-09647-x</b:DOI>
    <b:Author>
      <b:Author>
        <b:NameList>
          <b:Person>
            <b:Last>Löwe</b:Last>
            <b:First>Benedikt</b:First>
          </b:Person>
        </b:NameList>
      </b:Author>
    </b:Author>
    <b:JenniData>z:pVddiCRXFe7Z7EpQIepTFMHrMphsMtNd1TM93T1s1p3dddlxZsJkN+siiHq76nb13b5Vt3Lvrf5BwY6gCCIsGBAhgoLgm+CDyvgkyZtoXvTFF1kXwac85CF52RDynVvdPT1hkswyMD1ddeuc7/x955zqlw8q5xKlI+60Oags3c15Ip4v0o4wcVgPw642MpHZ2TSPuzdk0lP4OAtB6XWkzuy9g8qZuNPRo4PK2W5PkMDDy2e+tHu5UqnESnRx91S791fcRU7nDy/fuNP6Lm7EUMau9/DyrdsF7ioLhj/xiIDbz/2DHs0Bv/HC5NEBNy+SUyXg15c7RwE/e/90gDuffIcQDgFfOaWHO2/9lOKfAe7c/8lJcnj+LUZaU8CV6A9sDri331r08Oanl399AsDPXNsju8d5+MIv/k/oh1V+5SSAn/vdKrkxr/Ibhx6yv/140cPm35+lZx8D+NV337tPdqeAV959mfwtAb/89hLdzAC3vzI5QVE+AHj18W+SUgn41L1lupkBXvnz5NE9PAL4bPjvRQ+v1l47pYfVf/7siIfD357Sw3DzN4seXvvBt4mxpwBc+9T3Flvva088c7KQ/7tA7COA6//5/iIPrw8fO5mH/yOtOQ9fO6TN7e+cO9LL4e8/OBzES4V2Ynz23g09FANhVpjMnDC5EU5mCXM9wVLBM7rWXcYGXBXC0uVV3RPZg8kvLXvz1R8xaVksu10ZFcoxnsWsR/N3zCINtJFbtSKz0smBqLJtR9JRYaQuLAxwx1KejRkjwY7WfesBcp4LY5kRXWGY094TG3ElWG70QMYiZp0x24Uo0EhhR0c99nTYbjYvsASWMkTC2Iu8A5U1htgyYOgi6R2vtMLyKgs31u1LF8hWaoUaIFLruBMMiUEsSnCDmEqfIWMFi4WNjMyxj4BnKFdGQIRT4LBIO4dhLZG0NGVMm2w7Y9rEZVgpR77xIQUrrYMOy3QqskhxVwBxiDRPzXRmFYENrLMBEuKMyBLXo4LwxAgBReTfWh1J+B2zocTDPs9z7iOBARnZFQ/S1UrpIUEq3hHKMggrxTqC9GWSQXua9kgbI2yukTVIG54lJQU8bpVtqWlepymRA7lqadn6jMyyxk1HOsPN2Fsfs1jPCskKK7qFYg8mr3YQdy/lpm8fTH41SxwQbVRYj0lmPRNyEUnQjYkRT3NFtMoYj2NwDEJTv+cmWdTTMhIz5axAmSS45H31rpYpWawmnIrZ06KaVFfIM1t0kEAUFFrzTM+cpA7oCDcUKFVQ3Qg9tYJqK7jALFKjYpTUUWbFCH5TXWa03Jq7uGh7Fvjx5QXtP5LCjQtV79GtY7UvBtUgYPsaJujqweTnQbUesFv+ZQlH9dAfrQfsOgdlcVUebARsT4O01A4Uoz9sQXEhMTig85AsbKlUW8f2hekiZNBYIuCSvDieVgKBpoXi1ObUCDQOEDVPUc94qE3/oPJEjwPf8MiNl/61Nb1kdwSaG+3pZEL+kFauwdqOVNKNfcAmKYitlEr88YTgfdeyHK5oq/FFFIDelDTlJKLeR6NElqYUz5jIqStTT7VI5F7USwvW4ejYo9mNueOsa3RaTs45GhkS6HgjBlIMifmRsGX9yFMKAdYPZ+ry8rfKrl1eZhfTVG0SFBulKrObuH3ufM+5fLNWGw6H1eFaVZukFrbbrdoexPy/vd3zl6aa8tIbf7lYm16y6RVELrGS9VS+mBt4Mg8DI9/S8PFNQCn0S2GVik+5nIphV6BPMk9ltFwsHFX6mIRxXxWflsUsULKqikeUChFfA3hSD+qN1TBIaW+gYsJsZ12NZZfwAkPG2ImSaQ4GXMcHM5QYjEXllLi7NZLa59t2B1qhw59k+Rxld/6bQdLuu0kjDKsUE8RYt4+Tz5/9Yw88nF6/rkgTA7egdsSvjjNxBlLiu9vlqVRjsfv6n9Dtfs30rgjMStl3sdFKVCIZ4yfHuSjWcvSFMKiGQdCs2TBohBurQb2+GrQ31purI3RvJ5vgv81+KMMQD8KwEcqw0ayvttbagdK5yLZ8arZjG9bXWs1mux2GG+3WerPRard7JIB1OOrfWV8L60Gj2W407gKvKFN5F6kEKAyGaV50lLS9WTaXfDT6Vm7QISjH837T9NGYujCRuG3U6Brxy4JgSmb9qp1KViOd1vxKz1wNP7JqHx5fFY8TDE03zilvfW7QBUq8iNslMELo7o7M4sVj4bhSY8iqSGJEXhlf1UXmHsMQwxsA9oKI72AiWH/65BfLqo829jxTZ4txa85gdCW1wbz79ol3Nz3v8FrRxdsRWnwSk3uP411EjZ6ZRYzClf30obG9Dw==</b:JenniData>
  </b:Source>
  <b:Source>
    <b:Tag>AtilB24</b:Tag>
    <b:SourceType>JournalArticle</b:SourceType>
    <b:Guid>{84677039-388f-46f8-b7b2-5052f78fc34c}</b:Guid>
    <b:Title>LLM Stability: A detailed analysis with some surprises</b:Title>
    <b:Year>2024</b:Year>
    <b:JournalName>arXiv (Cornell University)</b:JournalName>
    <b:BookTitle>arXiv (Cornell University)</b:BookTitle>
    <b:Publisher>Cornell University</b:Publisher>
    <b:URL>http://arxiv.org/abs/2408.04667</b:URL>
    <b:DOI>10.48550/arxiv.2408.04667</b:DOI>
    <b:Author>
      <b:Author>
        <b:NameList>
          <b:Person>
            <b:Last>Atil</b:Last>
            <b:First>Berk</b:First>
          </b:Person>
          <b:Person>
            <b:Last>Chittams</b:Last>
            <b:First>Alexa</b:First>
          </b:Person>
          <b:Person>
            <b:Last>Fu</b:Last>
            <b:First>Liseng</b:First>
          </b:Person>
          <b:Person>
            <b:Last>Türe</b:Last>
            <b:First>Ferhan</b:First>
          </b:Person>
          <b:Person>
            <b:Last>Xu</b:Last>
            <b:First>Lixinyu</b:First>
          </b:Person>
          <b:Person>
            <b:Last>Baldwin</b:Last>
            <b:First>Breck</b:First>
          </b:Person>
        </b:NameList>
      </b:Author>
    </b:Author>
    <b:JenniData>z:pVdNjBxHFR7jjcQFOCFEBKSIZClGO7Mz6531bkB4Zx0cr+NYIt7IQeJATffr7vJ0V3WqqueHg7WRUE4QARJX5HDgAlcOK4GEBAc4Im5wwRcuHBA3JAuZ71X3zM4ku1KSOexPV1d973vv+96rmXdOW8+luYmkN/a0delhKVO6VxVDsrKXGKtSpTeKMk5uqzTL8eMddqlwQBntfnLa+lQ8HJrpaWsjyYg3PL3xv7995nGr1YpzSvzTg1fFvw7wFHlTPj34xnuf4weaqNhnTw++/J9jflyK2joP8L+//os4A7z+zpN/LABvPHn9e0uAdx59/uQjAf4Vu84FPHj/j/xqAfiLHzP+xwT0V5lFDTh44wlXYwH482drMjy8/GyF4aOvrAv4my8xwhLgRxPlQsCbSf/3y4CP3+fHNQBf+cL9ZdvcefQCv/uYgCUxiwbwT+UKwx89zxqtwfBbs/dWGL577xPYZhnw1td+xQ9ngK/xznUA//7nFYaPf8k9tQbgqz/850oNH11dk+Htb24wpaWU16zh7X9/ddWHv1uzU44e31htve1PYGz/7MyHd7793ZXh8AP3QYb0dmU8zTZ+Ohg6b2Xkxd27r4uXcmlTErnUaYW9ojAx5VdFyRsUT2ayTkSmKIzOZ0IbryISPpNemMqXlcdLqcVY2pnAlMcbEk4WJJQOLysdkxWOvFc6dYKmJUWeYuGNGJKIyZMtlFYOsB3xHfIB4O2KsIBLQZhEZGYiSrJj6dSYIysnlNsUUsdionwmJsxFFSUnZLSw5KrcY0MmsR18OZSprBhpM8kpRopDIi3czHkqcPdEMkdiSo85ZipBriMeMP/FAlB0+4xqgXciYTKoH9dGJyqt7PlJgR6CybLMVb0hKNkUVHjpRkgHGyJrnBO9rrCVBnksDQ2S+z5Z03YZsuB8E5rUD6hnOxQ0UHVEAIgqSDZjJVR9o4qq5IC9/pU5vJYemzhdw9stEEK8upBSpLLkig+RuChxQA1z4tpD2EJq1t2IibEXva3jXe9e6YgjVAiCbHLpiDFZ1nm5HCpD2oMGrIY6wmCWSpJeMuIik4Y0+NZ12hRFFWUiJyyqGAAsXeNCAUfX9bifoQDIq7TAhgpszMYTdZoK8eFJB4Nw3DFJuKJ29Ad1RnKZLOFa50ij4AiHBDkVShIVKXAQlQv5QVDQIA4Fs0XkxFhJrLYBlXKAGOmxrKEvxLBKEubgGC442lXwHCSCuqnhBOREogZ65hW6yRmjO+KY/eXBDx0ikX8CIeFsM3TcH0H0TTFh73pr4gqSFIS6RA6tGYFozA0yP8ox5sm2ke2mOB68YQ/uLdrYG4+EZWqJCs7UciugSvdqzxgIh7VJo0DdkYCQc4jzjqNSpbRg0sYpnHATVKEjYrhqdNr6bCab0TS7/LMBWyUiq2s1DcTwyDcJKWuSFv4pZBpMEJyFjjU5mjaQX7QBn5jrn8JsaDrWb8rj4mxQBfKrjZvNELENttiEdW61TMGfg6PgHJlDHzZRjMYBTS8hbg47wZIJZFROaXZqYg0PjDAMkTN7L/SDxf4gAXwRRAvzKiXM29ChDLxKaJ4FFxe+4EJiucL8rvG/Xps4mEjkRqfQx9uK5sQLg8blkb8626Ul8SK4c1l4Rr4Y2PBqpeFB/AVdjsca1SEkPFiUoIJuWDiRBwrrzBEcWlnlys/q+VQ5nvpMi6cBV8/LUaMEnFpx2w8pktxLKmTwsAJXb+B3fHPgZkC2kCMM0ClF3GnhArDKI79DCDivYMwhAMKvgQ/6nIIz3ESVLa1yFKREGiOl43DFLF7cEMdsjrHMK74Ial/xeYtfYV4tCwIIzuCsB2r9WQdC6+JYGFiFwX/nnqxboTm8VXdD46FhmGkKs68J3et2r4S6hhEZJmMflmifze/g5mbMAK8TlPjwvTCfMprHNjstBierEJBvvvtz5cIBNNNQNnODZ3AnBx5Pw/gV1Cfd7m732939Ao3K9id7pBNz2rqcyspnuCdOMIH5Xr6FH2Pjbqd/jWC8nKbPS/uWGouXbhqrCUm+qcM9gLhXc0YLfIDwLn8K0kgMf5NEFiqfxQOUhUIrx4dkR7E1OYVPS6v7spuZ8l4Wrt5LA4SVF20e3qrqbcld+ECnF+2j4z/8FgOt3nqLrwd9IeRbDWR6V02VnlUXbUwPZR5PUL6a56GlqEkqUjG+JD8XxUZNv9jrdnb2+v3ulrRTNe5s73T3Ot2d3d3r0G+oT/Db6ZMcY1IPgkZHse/t9XZ7+zvb/d617v61bm9n93o34x248qajBzs73e1re/39/e7DcP8EUR9C1J12d6/d3cWNNsyVQxPVul4KxO2HNRvNb703bT59IfO+fHmroWlsuoUv/VtndFNXDT1mKwowChMsp2M8XuJxZJLX0JPLy4RLJJ9hbx6h1ePD2U1Tab/hLeH+JNwP8QOMJRdWW425dtn4CyO/LAbcfRKmwahG6jN8/mg6ZmUqJPgcjbvyJGZ2n0bbnJcLLqilXP4P</b:JenniData>
  </b:Source>
  <b:Source>
    <b:Tag>HallgrenK12</b:Tag>
    <b:SourceType>JournalArticle</b:SourceType>
    <b:Guid>{7810a988-8f6c-4571-a7ba-2c99eec0235b}</b:Guid>
    <b:Title>Computing Inter-Rater Reliability for Observational Data: An Overview and Tutorial</b:Title>
    <b:Year>2012</b:Year>
    <b:JournalName>Tutorials in Quantitative Methods for Psychology</b:JournalName>
    <b:BookTitle>Tutorials in Quantitative Methods for Psychology</b:BookTitle>
    <b:Volume>8</b:Volume>
    <b:Issue>1</b:Issue>
    <b:Pages>23-34</b:Pages>
    <b:Publisher>University of Ottawa</b:Publisher>
    <b:URL>https://doi.org/10.20982/tqmp.08.1.p023</b:URL>
    <b:DOI>10.20982/tqmp.08.1.p023</b:DOI>
    <b:Author>
      <b:Author>
        <b:NameList>
          <b:Person>
            <b:Last>Hallgren</b:Last>
            <b:First>Kevin A.</b:First>
          </b:Person>
        </b:NameList>
      </b:Author>
    </b:Author>
    <b:JenniData>z:pVdNjBxHFR4bAxZCWFywo0hQMgd7yc5sz+zOzu5Gwbs2IBvHeFk75IRETXdNd3mruzpV1TPbEodNcuQYCQQOEsqFAyekILHmL4IIwSUIrlxQJESOiIuJLEX5XvX8tbOWsrvS7sx096uvvve9773ufvmg8clY6ZA7bQ4ap+7lPBbfKtK+MP1Ob6CNjGV2Js2jwXUZJwr/ziJM+hVSZ/aHB43TUb+v9w4aZwaJoIBHV/5X/uBnjUYjUmLgHm1efOUVHDRCp/NHm5fO/ngTB2IkI5c82rz28M9v4XBu2zMfC5AwKsCvfGfxXzXA31DkCQCb9z8gSjPAN+naCQCD/D91wLdPCNg5/0u6NAX8y/1jaUiLKsDlBz+pAT58+3snA+x+91VCmAG+dZyUX53Zpnfm1rxtnnnD4x8N8NKXL5JTKsC1n6/OA17922t07agMh7OibHzzS6yW8oMTAj773/fmjf2F5mePrmFw/7dE6lDAL36/OLptNj5zfv9JgJ/651/p2tEAv/rmOzPb1AGvvP+G9/nRALfOPT2r8mMMn/77e0cH/Hr+8EkMN596dvs4nTJX5ede+we5fK71qGBHBSxmKV9ZfVCfNr87oQ83sz/WJ/avjzNgh3RUAW5trtYZ/upYDGeAVz//i7qGvz/OPJxL+eq/z9UZ/uHx1hMvFdqJ8hOv300Ey43u875U0pVMDxjTfcdlJrOY8dgIkYrMMd7XhWPORwsrslBQaCToyOJGyiQWGtxTs9iykTCCcZyPMxHhbBbpVJWsL9xIiIyFOhIGUbpQEU4yFrS6AfvTj/C90mXP4avT6S4yLBtvWKM3YxcmnHgcypL3DyM53fJyu0mbLtCu/vdKd6HauddtMRLFacfV43vzrDxk1woVu2YE7dmzZyosj9kNqmTeeYDDy0Grt86aVdILS5fb+F1R8aFrLca2Ndj2lWBDrgphGR5j2C7Pc86sg8LWydCSqrFgA6NT1myDLWsvMjaSLmFtJrNI0vMNNMqFGYgQykzYLrJg/nqo01wJJ1CecaHmMgMi8aYN5tewd/dfH+O+u/9TxiJpp0ta7HkskdYvvKnDBPKu93oLpORQRoLFBT6VzJCXT0xmThgUyCNXWVZpL1bZTDSgRINWQJlC2Rof65/raim2Ol4T1LWW7YBLU8sPAePA1VpgShblDj6aj12FDj54rRZsiz4KkzkJw8zFkwIIrYoD5vNLuEq1ddPqQIePFKrFopE2uweNcwnM7AwPXXn6/7fIgtSB3EDbSFCPwQzoZ4me8863Fm73xoRjvbxNSsUgSsmJmS/f2NlZIGaRSPEYDHgkG+IX7IXGKRnH6RjNZoUZ+kdlJDfp73Et0UklSwvlJCw07uoWu65HYijMIkuJqnVFJFG/wgpwCbUxlOTUx1WLhSIqkNMi1UcRqUGhYEgjcm2qdpYZvJJ6HiwTIRLkpqTIqX0oDMUFDAgBCpJGmmUaikYR9T9L9Igha8YHJLStZgvIGtKpWk2VhJR+lCDhEkp6kyZlrhEBcZgT4J3FNCRwlHPUbaIHmZ5p5D6UYkSgqXCJjrTSsc9UWktWRhkgNgaGPqReRND7nmPjsLAMCZOG5bjWi8wKBfokBA2kHHvnRlL1ZsNhNjupvQs6r7FyqtX4mIIqjcmSQLM69UtQelU2UbLI85kBt9i1GSAyEnucxoel0qoC3X1n+84dj4tVZeb4npevYkGbXNOYkpfsuNEpEKQMb4YKMiAO9oA49GJG8lTSEIeW4iFVXURfQ6pxJ+h0m+0ghWHpZiDMDfiD3gR5AcWN3VcyzdEw38C/NhHmRiC8+qcwZ5wSe8HdAhfQsESdfbug7qWshoLd8kWr6r5tyzCh+pWDoVZFKs7m0y2fn750Srqx7tA8xn1aDqSxbhtnzidIyv+6cFHRMiP7tKvFO+vpKOMphQ8GPJWqTK5zpdD5mYjBIUtuiiF4bbUio5VohDLCW+unw0jLURuzLVhf6yy5l9K8Fay12q086Cxj5PazfXza7GXZXm8vN1fandUw5fG9Trvb7awsr691lc5FtuWFvBGZ9fWVbhD0VoPe+lq71+sutxO6ziHP7ouzRVGeyijpdNaWl3u91XteRl+Fe52g3WkG+GujvH0lbTIpxCmfnnshQzLGjm+et53jI76LXtSFCcULRu1tJM7ldmNpaTQatXxC2sRLOyIuFDdb8GUIcy1B+mCt2V6iPP1HC+/zMXrVlTlpuMuryLs4PAXvCD24iVk7fxqex0RBrAoleu9qeU0XmXvqc9edEQM8reCOHr2IaWv9+QsXxjbZqexOzr3hB+mOH6Q7c4OUbHK7NiWhDd9gWxm7PRkF5POJ4QZ4QkMn7UdE/mxYQIVLExVQXy/AE2r8IQ==</b:JenniData>
  </b:Source>
  <b:Source>
    <b:Tag>WebersinkeN21</b:Tag>
    <b:SourceType>JournalArticle</b:SourceType>
    <b:Guid>{abd6483f-4f96-4d63-b30b-8a2393597e8a}</b:Guid>
    <b:Title>ClimateBert: A Pretrained Language Model for Climate-Related Text</b:Title>
    <b:Year>2021</b:Year>
    <b:JournalName>arXiv (Cornell University)</b:JournalName>
    <b:BookTitle>arXiv (Cornell University)</b:BookTitle>
    <b:Publisher>Cornell University</b:Publisher>
    <b:URL>http://arxiv.org/abs/2110.12010</b:URL>
    <b:DOI>10.48550/arxiv.2110.12010</b:DOI>
    <b:Author>
      <b:Author>
        <b:NameList>
          <b:Person>
            <b:Last>Webersinke</b:Last>
            <b:First>Nicolas</b:First>
          </b:Person>
          <b:Person>
            <b:Last>Kraus</b:Last>
            <b:First>Mathias</b:First>
          </b:Person>
          <b:Person>
            <b:Last>Bingler</b:Last>
            <b:First>Julia</b:First>
          </b:Person>
          <b:Person>
            <b:Last>Leippold</b:Last>
            <b:First>Markus</b:First>
          </b:Person>
        </b:NameList>
      </b:Author>
    </b:Author>
    <b:JenniData>z:7VbNbhs3EFbaAM2p9/bSuQS1UUmWZDt2crPdFHUjpUHgwL1yydldWlxyS3IlbU8u0Jfy2/XjSoKcugbyAD7Ygrgzs9/f0P77rvd17rwutP2G/2xc5Pb5T78v2FMsmTxLtpFaFj70yQhfMNWeoxfassKBLRqBs8opNoH2prN9KsUiNS6caaJ2Vv+FwjQr12wUuZysiI0XZtddeyc5BG0L2ns//bA/pF/dkoGhT8tSm90rU4WzVLDlzwaUIlDGbCmUbmkpOlo6PydMaGnJxhAYknRVheZtU5903DW6LLBfdEhFJKslAO/wucAhocwMV2FIl5Zq4aOWDRTpkzS6EpEHng0+MIJXMZC20jSKKdQsda7lblz3ig2a6SyQFJasi9AMPEPSW0gJhSKbdkjXTJC92bTFUofE0kcM6OTIQVeJ9sfQzQIUjZcnvUVdGy1Fpo2ObapLJnlLUDgplEoy74TaGZOA3zcDR//LbUhngQTwVqxaeNQ5mESii+nl7Ozq7fnbj1d9VMA0G6B9xX6QifAgMWtOYJQ3Hnj8/WxBHJdiOKFKG4MgJc1F4UVdhkeRwQwvlgZfc+8qWgivXQPBXONBikIjS4LlG/EtL9GRNBc+PUiWGsaRsGo7P7kCtbdyuKoWVjMkgC+5Rl1H4R5vMiwUHHDgf3T6knQFcRaQCr7inYIqEeYPlXDZDcuosTqIvCyRTuS48RZbt51nsBQ+AWHvkecUEKS3pcPh8cnLVHB4PDwZv+zCvmX+X5UU9iNEz6KiCBwpMHNEKxkvjYDtSKpIa9unlETdwRZWmDbojTC5kHGA/ZBzYBmqtGl3vW9LkWEuHj1dH0/Xx9P18XR9fNn1YZBVxIXVz5hfTEaT48F4XElnY7LRX9rc4R+UQjQRoQ23gFOj/xf8OK9Gw8NDjjoaXn0v/B96QXsXztu0sZ8stPAB0d03aZrXWYOW8M9d7ytlRcX4zHOBbLQ315ylUjtnLtBli/daOrBR3hnuPWzgd140YVM7E9ipx2uLc7A07NfV/FtjtHistpyyrmtn1Lo4nwk/bzaTpVbhrvdcKqdX341Hw6PT4+PRgfArvRhOxjgYT0bjkdIhs7f4Hext6WqG8LyaXx9NTl+dvn71enxyg0fNWuwbiD0ejEeDyaSqm8zogA1a6/2sA+YfajlH2Ltd+OTNisoY6/DmYIPC+eKgVvnBDk0Rmiy2dWI43yzHFb4+QzzY5e+Q/vvHHIUxLWqN1IjaeXvhGhtfIGw55LOS1TUu5dCd9jaun12s83nOPr6hM/qw2//pdj9m3X6kUG+KBx83Yb5CbPPoai3DrUpAX+DaNKsfEq/PaOFP2z1a/wI=</b:JenniData>
  </b:Source>
  <b:Source>
    <b:Tag>WicaksonoA23</b:Tag>
    <b:SourceType>JournalArticle</b:SourceType>
    <b:Guid>{b6ae652e-6072-4bc7-be55-2099d98c8002}</b:Guid>
    <b:Title>Impact of institutional ownership on environmental disclosure in Indonesian companies</b:Title>
    <b:Year>2023</b:Year>
    <b:JournalName>Corporate Governance</b:JournalName>
    <b:BookTitle>Corporate Governance</b:BookTitle>
    <b:Volume>24</b:Volume>
    <b:Issue>1</b:Issue>
    <b:Pages>139-154</b:Pages>
    <b:Publisher>Emerald Publishing Limited</b:Publisher>
    <b:URL>https://doi.org/10.1108/cg-08-2022-0356</b:URL>
    <b:DOI>10.1108/cg-08-2022-0356</b:DOI>
    <b:Author>
      <b:Author>
        <b:NameList>
          <b:Person>
            <b:Last>Wicaksono</b:Last>
            <b:First>Aditya Pandu</b:First>
          </b:Person>
          <b:Person>
            <b:Last>Kusuma</b:Last>
            <b:First>Hadri</b:First>
          </b:Person>
          <b:Person>
            <b:Last>Cahaya</b:Last>
            <b:First>Fitra Roman</b:First>
          </b:Person>
          <b:Person>
            <b:Last>Rosjidi</b:Last>
            <b:First>Anis Al</b:First>
          </b:Person>
          <b:Person>
            <b:Last>Rahman</b:Last>
            <b:First>Arief</b:First>
          </b:Person>
          <b:Person>
            <b:Last>Rahayu</b:Last>
            <b:First>Isti</b:First>
          </b:Person>
        </b:NameList>
      </b:Author>
    </b:Author>
    <b:JenniData>z:rVhLbxxLFXZQgmDF4m4iJKQSEkoieV722GMjAXbeTnITYycECSFR013dXZ7uqk5Vt+1GCjJIcEF3BwseAgn+AGKBhMIKCf4BQmLBArFlASuQbhDiO1U9Mz2TjG+Ms5hHd586dR7f+c6p/uaLpUtxqgNeaPNi6cJBzmPxsMyGwgS9/mqkjYylupjlYXRXxkmKT2EhJ90SqZX9/oulj4TDoT5+sXQxSgQJvPzCB3/+LVtaWgpTERUvt668990tXAWFzl9uPXhYneBCHMmwSF5u7X/uq1/DZWPfi2dU+O5P//O7t6rw4d9P6NHbU7j7qQuzFj7/+TkV/uEGmdSwkPSfQ+EXR99uuvzImHNauLef0sXbc3nvg1/if9NlenYOhfu/+AeZNFX4s7+eT+Hjnd5sUp6fMymP/2lnXT5vDJ/88NezLj8/p8tf+vy/5nBIpf0hCrfu/uYv5FetcLB1TIu8wsG/v9Ikh3t/+gFt3VB46U0sfG+q8NOPvjEXwzkLz6rwyvfeP93lsypc/v2PKAuLYXNWhd3//nGOvuYq5ZJ4VupCVB9957FmtjBCxUUiFLM6kDxlXIVMqENptMqEKnAnlDZItS2NYEbEZeqJf5lhFdtRoVbCSq5YrA+FcWuYtLYUIXvAj5jSbdbvMh2xlW53wAKtAkhJFbMHMpMFSUk+lKksKnZDZzlXUtg2e5xIy1Ksr3cUdrF9RtgcBkmnBatZoXGPp/LrgnFmS1twqfgwFUxge51VJCCz3MBg58SzEsLYH0bSZUM7rnnBhkKJSBYW1tcGLtPfrFRuv2VnE5kniqqNkGAVrJ/Gykn7hV5hwI3BdiVUl1YifpbxoJCH3nxJCgSLpEhDpg0UUQBCslrxojTeZV2aAMIZ3GM20UdniM90L2ftSre3ssyub+/e2t1+d5y7qfUuhfdv7bb6q73O9QcdEm+khUxFWAuKVh3ABmBwJ9Am1wayb2hhhQBg8Mjc5u0pKBiHPnGci6AORr2NaMqTYdyEhK9cpxIpQXqQ6djwrE5UoC1SCdFZG7glzZZdhSJhYCfEkXcTV8tQGlRBSkptZQtBmmYXA9OFjKSfifCwCNrX8JPlqa5IZJklAGSROAOOtBkxyyOghV2NhQqFYahJh8FldqCHTOeIWDGBl1vAg0CGFGQKJRnglAsguDSKSg8FaQB0WDkxoBHwMV4rFopDkercwfsqzXGp2wAhDMRkScSDCVqwGhE2HFxRBtgNUij6MQvUW5EU4hxCAjEEIGyZwa+G295jlw2Samat1oKy18j3GC53HKFwEAaiHQDvoDBXSUaAr6xE9dbWzuFnij9PUrdR/soJ7gtzKKlstssiwXBLRW/YIwy/suCW3eOWs/ui5CoGoV19dO/+tXE94D/bm9bEQ9TEWq+zi9vt7irVxKDNnrhUvlL8PAVAZlBskG5pPIoDUBWcbRCVd8IIwkDNhP4CvKFARoigyKEGIaVfrE4rFhmdOWe5UoDSeAW8g19YJpUXJhrE76RWZ8TbLCQovFj6RMKHSDeIovp4a7dERlBmzhJblGHFuMwczUp1KGwhY/LAUWcUoYjGuoOUWzspC7rrzxOIRqkKYsCI7CpkUZIAzLAJ/Ep0SnG8GuqMlAeAm4csPCYg1VdUjrWiax6kQB5CWJSuum2hgxH4IkiQTQGkS1SuV1Aqf3HtVRZoUFdK2xAZN3rcJI1tdhN3YtXJBIAU6lTHVYfnwDYPEkQKJMgL5FQgaYRYaZH6/qAPMlWtaILHSBoEsjZtdqt9Z/+tif07N798jaFiXGRzMJRGc6Cu2htQJvC7SWBBTbgMlbQh1Cx0L0hEMKKdaXUmuLvpcng85vKFa10K60j87eTHNXoQlF2uEDOAHxVpKeccWa0scFOIIFHyWYnFsCvUeU3i8wgCYqimHWCGojgSmEwKTfvD54AsQTBgm0OKBb+gRw6pZSyAkWVDbrEV1L0RJAkfJFgDCU9mgeSZ7s3i1CbmoV5kG4kxgBWaix8E3jTeFt3Mgo6BSG8iYc+5oQq6UwcNfh5J0O1sNHyINULhSOJ1ZeW9d83mNXWySB/8Kw1cAMeM00yTCEUNLZQ2QYnit0xRmc7fhqKxNfPFTByZcHA7Zwq9nHye99hPRKQjkbn3+DSoUslZahhOFzICoqVt2iB0K7hBwaY0i3qVHUyGGBz8hcsbd72CSDjQsAFTJaXN9QXKWv2Y6sCWwwPwHw1XBEknV5eWa7egBzQf0NNpmHFQ4TACI6Ar9wnrUhdE1Vkq7QZT1ElyXELLy3o2H0c+4xViQGMsw7QhMD/CB1d8DSWTXHtKoohrl9ppVtwoGlNYUOjUGxAloGE2XBNjbRnHgABtr1CziB82xFmD6jfTyMxrkDpbtyLgYDFypfKIAKvQbDY+RLjwLEx87i30hwkUfmlw0sGo7PtXanH2eZ2FGR9RpUJlPKd7PE9SQ3U2USeH92A+wqTzribRWaTPOUZA8SVEiv1AQLNRm+37aWYmoneAWQ+kMQPQc7h2WuhctGrG823sFMQto3FSVWAgCYhM6C92H59VPmwbNDkfrUzDOk+r4zjS/hgoQNGcyJxyl6c8gKuPHOu6kbdzyFNUUgM6GlME1EvVCkXuQeJePBKv6Lk5Y9Y8fQR8O1Y4rbOfvSNQbbjxvx4v5vedUiLcoxIX4U2EMF7prqy1et2MDkiY7YTZwdBLr1xr0jgB8VAyb+OjTdhvD1aEI5YLAtpTUbxuGo4OdYrh+vLlfKL2weQNrqSD/h51Krw3gFvGFru4c/n9BH76vz9JaZ2Rw5Is/g69X1A8I/ko4plMK/kU0RhZnJVR7oBfuh0iT5y6e1iGRqdi6dVF0f0SIz/3K8RdHhq5UPQGT3hVi45uSwyabE+jChctiPe0PZCh9CvibQWobKcL1e/xBMpqS7bBXdFporwqvWi4g5R6SRy18Jr7UhBqedTrtnu97kYniFvdjRYyutLqrq6tA09DdYJvq74le/0B7g66PdkbrG201rtrfWqsatuBYSe0vY2N3ma3t9bbWNtcXd/c3OhvJCTAU3E8etpf3eiur2+urmwe+OMGgecAW622uuutXj/LyyEgCDr2+Lng3Dj+5C0csTiqa9c/brxVGY3fEDwx6fGvkqLI7Wc7HZrTQCLaVG3C6HGbB+1y1FldG6x2O73OjsPiZ1a6OsLXDMLp5ri26L/C10x94XpaYW41vqb9BReTiRH/W/jcuIMvqhYaBfEX8KaRsb1783aMRlpUOSVqhLOKDFLxGJcX8Fjo6D4YqnlbYPu0gmwakOvXqxtUue/gzRZoBD1ThE9xqLHu7uUNX1jHT7yz/y+FLDgWRHgFJwN7EpL1H0PPSY+vjIMPLLW1iTsL8PQ/</b:JenniData>
  </b:Source>
  <b:Source>
    <b:Tag>AdharianiD202</b:Tag>
    <b:SourceType>JournalArticle</b:SourceType>
    <b:Guid>{39a1cb55-d380-4750-9cc3-a2cdcbb1f23c}</b:Guid>
    <b:Title>The future of integrated reporting in an emerging market: an analysis of the disclosure conformity level</b:Title>
    <b:Year>2020</b:Year>
    <b:JournalName>Asian Review of Accounting</b:JournalName>
    <b:BookTitle>Asian Review of Accounting</b:BookTitle>
    <b:Volume>28</b:Volume>
    <b:Issue>4</b:Issue>
    <b:Pages>619-634</b:Pages>
    <b:Publisher>Emerald Publishing Limited</b:Publisher>
    <b:URL>https://doi.org/10.1108/ara-02-2019-0045</b:URL>
    <b:DOI>10.1108/ara-02-2019-0045</b:DOI>
    <b:Author>
      <b:Author>
        <b:NameList>
          <b:Person>
            <b:Last>Adhariani</b:Last>
            <b:First>Desi</b:First>
          </b:Person>
          <b:Person>
            <b:Last>Sciulli</b:Last>
            <b:First>Nick</b:First>
          </b:Person>
        </b:NameList>
      </b:Author>
    </b:Author>
    <b:JenniData>z:7VbLchw1FJ2EV9iyCikWKiiqbMpjz9hje5IN5TwMLgIxdipZa1rqbnnUUkfqnkdWIXwCX+MdH8BH8AEUbLJjw7lSz8PxsMkiq6lyJdPdku655557rn65bH2QWqcyZT6RL2pbyemt49PaldZL9jRXnvmqFlNWOjtSQnrGDf64nnp8simrcsmw1quB0qqa0qvEFiU3CmuVYSdGWCO94qyyjAtbVnhbyczxSgrmZGldpUzGNk7ONrdjQPzVRkhX8aE0bDCNBzpaRdEENksZAxlALyjsQFZjidVJ7Zw01dLBQvlEW1874BmrKscZvJohPzljqeOFHFs33GYPgTMzO4Wsciusttl0h5dInCc5O2KFmkjRjh/Z/D3AyqLUdirFFhvnCq8QnyuN7GpPAAYWQV/U3FSq4pUaSfAn6AX4is+VTHKjXtRASCQlifSeCV7xbXZsXQD61v7I/xYjViuuKZ2D3hLx3EmW5CihmYECIWCAqFmsCnRQyipVCc5nBXdDiRW8RCitXiKcNahXomuBfFBOwvL4594+fgs5YRtQQ/yFQoSP+FRYXzGNfJSAeGwy9Ju0dbfTPQip0zJjTTucg/KW9UArnxNXnPnagz3DGznFOpIwAP6tBL3UMiEVASOdOeCNJnOV5UzLkdThcaGARknYElJHYaRbPhTgvHTEcNQ5Fbl0ClKFwEySEz8h07gTqCn8/IAAMwa+Fneu1CXBNALZu4vuAsmq1FD3YhOIVZBCgHV4QGdUVL8VK5D5goarml4S0FxvC/1QK7qRkmOIQUacog6cBoKMMhSkWSNJn9Q8QV3WePgBcQmy5KREv4aGp2Cpkhp4UmCJnCzFaTY3YUjvMA8IBlujxxAlOE8DJcnPz6WVUromA83Hza9wNmRd6xAbZFCpIkaq3UQVeKGn7KDz9VVn2iCR4kMDeMDNEAduUQxuktiihUL+GZ0LTTrs2mQ5D/TByOCVFGuVGW0BUkrSbBxLuaBICAaQBjNlY8vI6hpe4aLDaRUiEyNlCWjXa/m9HUNbbiua7kwyQeOInii0NzkHYcezIQSjJpQK4GI/N1Z+pfOTnGstTYbTiO65axsw4gqoI4e5IuwUwtB6Xn2mgFsW5Hh0NCpTu9Aa8xERJa5MW8gSiloWHClsJhyfIzeyBpTOU5IwtZQnlXUA5GzBRhgAtvYMy30ZMgNU7KohtMEVOaKkMJM0sm+DBJ+E+UYNMN0ZcV2vnmxoS+VAh2aSXlAxmpa6PlWgTuHhk6H0b7O1zc4DqWS43MUhwUeYCXyADm/OjEMTz2EoUl1CvxB8EOqAN2v8GEBrHII2mweCFggfKQFnI4MLUMIchwTAV1ODeYSV3bRUcRIMTYc4JEE7WIQvXxMBoOE3ahMUl3MTQMKvhzK3muRA5UyiFvy2INVetj7L+QD9g2Kubxbrm8X6ZrG+WaxvFuubxfpmsb5ZvPPNQsdJJsVDdEq229ndb3e7BdkYDF66E0jysvVRxmtMVOdfaWgJFT8OVRe72/t9qQBJfigx+LSc3DkKUM5QHDkmBEdJYtE/wJBSJxXy9hfl/PTHFl5g3WXrhip5Js8AVl62bkLvzlenePP5zWGu+ez3S007nRrUJLnXWCkM+g7/pykvlJ6qI5FDguQeGbRnBF0WhLNatq4vzs4TVWs9W/qTSoZxaZpzfyrSN4kSHrknwqrJ7W5nu9vt9He44+3Obhtz8m670+ntw+gH5hX+9ea16u7tdtuHe72+6h7u99v9/sFeUvDsYq/TP9jv93t7vdyWEhqXk+HzxUvsfsLfXAQiQx0uUIdOu4MId5G+yWqkj9lWNEN4VpYbIaPJnUeQIkeLnS5m9GMFk5Mi8/WgmpaU9ZCjKRItn+LxBkovbfoDXHP5tcR9Qk+xVie0+f70AZXu0wpOiaaFlMVzWJwPb29/2VQ8J3tP64pGXfCwFffGRpNXO+beqlvq6nEcpnVa2VIl/tfL1sepsAUEBKQDJfhuoMGe20TBFlBVguplmG9xyaDbi1R9dZ+sDnrfYj8idBZcMbTWQqdYnz7tdrrd/bhn84HFRZtSYk2IM+lLsrJmSJzN8pQ+sU7+++0/fz37s9Vq5SB/CYTo9jr9cOT4HHd40DQNkRdA3lNmnX63yeyoFoo+bLFH3NEc9Uubt9h3Fh4fRu08sz8EEluVWYR6sQj2fpLZPThsyvQN7huAGuszEx5teYZZEmcq6hasfpbN379Vv79LnQS11C3MGz3ZyKuq9Pd2dmAS29ZlO//nE0O6HTzDXASQG/8B</b:JenniData>
  </b:Source>
  <b:Source>
    <b:Tag>SariT20</b:Tag>
    <b:SourceType>JournalArticle</b:SourceType>
    <b:Guid>{1d0a6ae3-478d-411c-937a-020373af590a}</b:Guid>
    <b:Title>Coercive Pressures and Anti-corruption Reporting: The Case of ASEAN Countries</b:Title>
    <b:Year>2020</b:Year>
    <b:JournalName>Journal of Business Ethics</b:JournalName>
    <b:BookTitle>Journal of Business Ethics</b:BookTitle>
    <b:Volume>171</b:Volume>
    <b:Issue>3</b:Issue>
    <b:Pages>495-511</b:Pages>
    <b:Publisher>Springer Science+Business Media</b:Publisher>
    <b:URL>https://doi.org/10.1007/s10551-020-04452-1</b:URL>
    <b:DOI>10.1007/s10551-020-04452-1</b:DOI>
    <b:Author>
      <b:Author>
        <b:NameList>
          <b:Person>
            <b:Last>Sari</b:Last>
            <b:First>Tiyas Kurnia</b:First>
          </b:Person>
          <b:Person>
            <b:Last>Cahaya</b:Last>
            <b:First>Fitra Roman</b:First>
          </b:Person>
          <b:Person>
            <b:Last>Joseph</b:Last>
            <b:First>Corina</b:First>
          </b:Person>
        </b:NameList>
      </b:Author>
    </b:Author>
    <b:JenniData>z:pVdbaFxFGN5oFUGoL7a09cFREJK62ZzdZhvbgs2lt6RtaJO09Uk6e2bOnmnmnDmdmZPs6ktV+iwoCFYQnwTxvRhBEERon32wjz4UW1EoKl4wQv1mTpLdrU3aEkJ2z5nL91++7/9n9q2l0hNNqUJqlV4q9V3IaJNP50mD63B4Xz1SWjRFuiXJWHRMNGOJf2uwTvgtQqXm/aXSY6zRUK2l0pYo5m7B8sF/bnxJSqUSkzyyy6ODr/+El1JoVbY8Ojf1rnvhi4LZeHn09LWbbmWX3dIjAp4Z+ODrbsDrJfe6CcCzT318qQtw99Pjm/Tw3MXXuj0cuyXv8bDvPoCjz3762Q/rAL544qqbWgWc+m6bc/gBgAeXg49G1wEMdj7XTcru65fPPwTgBiHvufKFQ+iw/JszvQnAke3fO4QO4C/3kPKogPvf+/OTHsA/HoKUjQBffWZbT8jXX9ikh6PfXnFTXSE70h8E+O+dxfUAx/Xv3bI5fX3rJj08NLbUQ8rt8y6lmwA8fPdaTy1f+3mTpBz96kavDm8/TKVsADj55q1eD3/cpLCP7/ur28MTNz98dMDh1mQH8MTfT3Z7eOrsNw8jmw08nL66vTeHrXtlwy/myvL2ll/nYmGIsTlrEzzQRKVNYmNOIqGN9ROCG7IYizAmvJVJpfHqFlBjVCj8iUIa3C5ynpJQ4RASC9hN4YgGXsr8YskXuCQqwoAVg6HSOs/8TiZMKJXJNSciJWOzh8emieZNTFVIjRzn7UWlmSFjvdvKXfvKxa5yx3gGF92MIdUKmUytViwPvbU5uMJ4JFLhX513JlQZd54BPVOaWk58XBJumAynpWgIKWyb9E/MzgyQVC1SRtuGxNQgbMRsYhFZzjwYc2ECj5FIq4QIi1Rpyrw1IHaZ7p9ShmdIqSVUVsqkFlT3DlTIXGe1bJcJTBKVyjaJVJgbBISdPF0QWqUJTy0gMw0afXBlImlD5ZrEnEobF8HRiFvguKNfIsIkyZ19bsp+mkqjwGMGAOPSr7ks+LQKi1OTJ1ybChkDjyuL/s8gtME9eaHMGQIHjCP8qFQNmJzhyKkV0NSkMwx08NN/dGZyAMZWp5q5YFyK1EugFgQ179wKUDVALJkGvsikJ+oMkGBourjMrFqaUEkG0ZFq/5npoxMDK1DDThZrYgOe02pIE8g3xRLLm9olkWrrkF26JyEdJLp/XNM0RHbgyUnctJCxFYrOxQJ+dKGKYkdMEZpXxAqucxKJdKC4lJEElQMPYFchUgYvGLQLkXGqUVsmVouusKgtkyZPOfxyCtigXjKNeEUI0zTUyhRViYthA3l0JS2kJHnKuO6ost9wTu4f2QFyH0UeQDokTbrHRgbKPl8izCXVkKaInOE2oXAJCsNcEbfCqPbRF+K5v+v9Y4y38eexa0jvRCdWV2IxfYNqpnLo0/NbtJSUNwspOZWilfHUYcGoK10oHvRRPc8TAOtu5+swwNBR5pdKWyUNsclwdghMNWtBrT5YDRIAWgop6sk0Uu6iTXMbo5NdkoX9I76xsb2V+l7uiX+cW2Elb+2aQu25IoeOxnMDCDBy2KJvmmhBSZTSjs+zNfQTa9d34ZryDE2bHD1e+K57CiM7++7Ekq4+35VupxaN3HXVd9xpkELE+I4imgjZZrNUC7TNBZ7KOdFG4o7DG0GZVpL7y2/v+miCxrRNix3zRwS6FJlRCXK73oZCHcWGCCSJdAU8FAw/L54ImRKtXdWgUg2CkSFTDer16mBQCwaD4eF6bbAK9hvpJXya9G0BaY0MDteHh0W1PrJnMNi7byRMaPPCHlTsSHVfPajF0CuyyVvz5zqDF3zGPWEXQBiwa9ibZHlDCgO1FZz1eddbz8+6rtGEAGahCQjk5TVaTnIm6DxKD5SF/IyWrcuxtdn+oSHXlIxAktsVp41WhYaVfH6o9kq1tmeoOjSxcsS8VAtOrR4yeEba8OnPqI58MbLW/dysO6TcN1SXoTXg8Sy6a7FwavxwBb/XmiZv2Hbm0j7vS0zyObz2YRFX0XGRsu5hjv4v21grQ9cQx9sTKk/tjmNW8wgtGRGzc5C6KYax3Ov05GoMZC0CX1L3nLCdzr3fn5oT1PjmW5zQHhKCMxGuG1D4JebcfirMkcrdLpUGuYQgKko3h9bXxH8=</b:JenniData>
  </b:Source>
  <b:Source>
    <b:Tag>AmeraldoF25</b:Tag>
    <b:SourceType>JournalArticle</b:SourceType>
    <b:Guid>{62dc1d1b-bf0c-410d-81a0-7aed1d6a50f7}</b:Guid>
    <b:Title>Exploring anti-corruption disclosure: are Islamic banks better than conventional banks?</b:Title>
    <b:Year>2025</b:Year>
    <b:JournalName>Journal of Islamic marketing</b:JournalName>
    <b:BookTitle>Journal of Islamic marketing</b:BookTitle>
    <b:Publisher>Emerald Publishing Limited</b:Publisher>
    <b:URL>https://doi.org/10.1108/jima-10-2024-0488</b:URL>
    <b:DOI>10.1108/jima-10-2024-0488</b:DOI>
    <b:Author>
      <b:Author>
        <b:NameList>
          <b:Person>
            <b:Last>Ameraldo</b:Last>
            <b:First>Fedi</b:First>
          </b:Person>
          <b:Person>
            <b:Last>Rizki</b:Last>
            <b:First>Marsi Fella</b:First>
          </b:Person>
          <b:Person>
            <b:Last>Rabaya</b:Last>
            <b:First>Abdullah Jihad</b:First>
          </b:Person>
        </b:NameList>
      </b:Author>
    </b:Author>
    <b:JenniData>z:7VfLbhxFFJ0ACmzZAUKipLCIJXveduxIKLLjWLJDFCu28IYF1V3V0+Wprmqqqj0zWRn4BFbs2PAR/hdW4QPYZIeEOLe6xzMOE5Cy9sJ2P27XPefcc2+Vf7hqvZ9Zp0bKfCi/r2yQs7tfHVeutF6y01x55kMlZoyrwrNgGfdeelzlkslpkCYwm7FDr3mhUpZwM/avLn9h3ASVWueqMihrmFA+1dZXTrL7u4/311jpeIoI6dvsMLDUFiV3Mq5asIkKOV0phxeVCdLhZViPKVNrLpATa3JdZ2PKsEMjrJFe8Tbbx5+R6RQy5FZYbUezDi9LZ3mag41kggfOJhJAUqu1TIMULHO2iKv3u71t5isfuDI8UVqFGXOytC6S3LymyY1gvf7/gYFUjDPPi1JL5tVL2WanlhWSRx1uCghRrjVZx/pYSMgpm9ASwpbXKO8foSxlzmRgXLcJ8NZalM8pr8yIDbtMBVlAViJbBXB4yWMJkCTSQ0ET7rEenhGGa7iGHYC1SRXInEh3ASRst4KMjmS4/zzQBfAccc/ZU1lxM+JmjWk5UpCFcqyzSa6gcwF9eIjl5CEmIXEInofg1rECEoOuvVACyqzSm4KTWUTcJlwCDzzbZcYamIGjvA51QI4QNUIlRBVriRtKuCizsYHsh/ikogBjXcG1nrXZ3rIMcF+lgyeZ6Papq/yY61eXP58hGJpRqmhBLIlbY1HRkVGZSmF1JMgyvDGQLJFhIiVssOSV1UZpmoKoKoMWLOpCOQk1AYx67UYXtdkL6SV3UFirArWgh76j4C+giDex6nMq6CjK7EGeXDZvq6afoe4qM81rmKHzgIEKuOSQ2KhGSb9OBEbSSMc1/IpMHl7T9DQamzs9wyM+kqQoUBA/YgpWtfNLWOHambFkixkx74S3a7GsWJsd1/EQd4UYowprWAc9QIg3hgYFJmw0hweSWEeYgqGEtnIEe4l1XTFg0PJCalaV19MJU9IB4MK01HcVqRNgBKiFNBxJYBvEcB/NdlPSevFaPc3TMfVFifAlOSDQf7F/Hoc3p+7pXHBdYWzXIifUHo26NfE4m8fGTrQUIwyasJjvuACkeXgmJ/E56SSnMLKJxbs59N8gQWtjjrXFxLrxVevjnCdoO1TmdkO53VBuN5TbDeV2Q7ndUN5lQwELDHb01j6kGfW7/c2NXr+AB6jNpTsEdvwTM2oQXcLLJcp3gB/rxGZ7+EAGFbScfn6EUlDHLG0wBXdjvDYjTevFnsYaP1213hMGUwF/swyBepbvFuRNYTGe0HviQAolnNWy9e9Y+UK9HKs6cPyMO6/YgdSavy0+e8ETPuP1B2Y3ERWCc3akci7qb7Kc+2ORvU6V8FetD1Jh1fTTXrfd63W3O+eq4Bu97gaUGW50h9vbKHViLvHbmx9V78HmzkZ3ezCYXw17OQwBHeR0fDYc9ob9rZ3trQHCn/PX5/ioqpU+j0p3dzZ6g1xjOFdwcSJNUVYJBhgcWAt/J5KZfvak1ocd16+pvF/TVIExfJWEWUmEx9h4VarlKW7vwGzSZk8xjJcfy0CNg1id0sd7s8e0Z7eCk81EFGc4X/j49JOTprRnT6alRh8iKTl7Y+VR4WGcKzeOFjRdcR6gJqJh9OZUfZQFW6qU/HA3E7aA3wAsUYL3I2t7YuvtLVWEzMtMSS3qkKQ3rJW5t1dhJsPA6+wZNxCxIL/T8NhN43kEqBGfnfZ6g63N5ps5ynoLRbshfK/Z9E7qPpIeLOVfj/78+9tfW61WDpWX0ovesFuDPF+keRca/W4D6Qn0scAEHvVl3DPrMdjArGl0d7Yf1N98+UylzmZLHBZHgkOTaghDHd/w+O2P71bw6HcbHrDYHEFcahnEuxAbDFbGNKXoDpus9x4vvLRIi9Ls0/C2JVXzmsLB76soDAa9ZrEvKFk8Rca1ji2GbNxnmuyC+uSjtHJ6upaHUPqHnQ56vW3dqPPWdh/TgfsbiTFjzZ1/AA==</b:JenniData>
  </b:Source>
  <b:Source>
    <b:Tag>CamastraF25</b:Tag>
    <b:SourceType>JournalArticle</b:SourceType>
    <b:Guid>{07545fa4-632b-4b0e-b057-db0eddecf96a}</b:Guid>
    <b:Title>The illusion of stakeholder governance: Corporate purpose or corporate spin?</b:Title>
    <b:Year>2025</b:Year>
    <b:JournalName>Corporate Governance and Organizational Behavior Review</b:JournalName>
    <b:BookTitle>Corporate Governance and Organizational Behavior Review</b:BookTitle>
    <b:Volume>9</b:Volume>
    <b:Issue>2</b:Issue>
    <b:Pages>20-20</b:Pages>
    <b:Publisher>Publishing house "Virtus Interpress"</b:Publisher>
    <b:URL>https://doi.org/10.22495/cgobrv9i2p2</b:URL>
    <b:DOI>10.22495/cgobrv9i2p2</b:DOI>
    <b:Author>
      <b:Author>
        <b:NameList>
          <b:Person>
            <b:Last>Camastra</b:Last>
            <b:First>Fernando</b:First>
          </b:Person>
          <b:Person>
            <b:Last>Coniglio</b:Last>
            <b:First>Giacinto</b:First>
          </b:Person>
          <b:Person>
            <b:Last>Blasotti</b:Last>
            <b:First>Antonio</b:First>
          </b:Person>
        </b:NameList>
      </b:Author>
    </b:Author>
    <b:JenniData>z:7VZNbxtFGHYK5eMMB46jUlVUShyv48RxUVWaVqkqiloloT3Pzry7O/XszHY+7JhTgF8BRyT+AZf8HX4AnHriwjNrO3ZEeqSnHOI4m3fej+fjnf3xvPNBYZ0qlfmY3kQbaHazPKmIlc5OlSkZ1U3FvfLMGuYDH1NltSTHSjshZ7gRxPB/VkQjeU0mcK1nzJGveEOSBWQS1jXW8YCcqzOScjzZZKLCATIoX7bBwXGpgrKGa1ZYEed1K+6WdRunai5mXZaa7PeyETuIXhnynh1ZNBF4rol9dXB0cpcdB9RITbGauzHa4axRE4seWYjOsHyG5upahZDKe1UaHqybsUK52rNg8V/jVaqaWlMmEAYLaKlg6HodDt9lj8k3CkOGCmA1MddKsEaTLDGljzmCTVCoLG3MkcNRzZVhPLcxtOklNaFi3Eg0AoScCrNUaIUel7ZJyGA4ykUVx+wOr5uv2Ql64Qjnm8Cj37uboEELPkQ5Y9x7QEOeTStClfkkO6NFg6BKKx+ADHBouFEIDBUPjIy0zi8IBJZrUOYUpkRmjn1qF0UH0MAECNUYOAW1CY1wdJl0R5BaDaxOKmdjmaZN+lJOCQDDwfmsVVrBiIuqpeHPs18WaPoKWdeSlRHM6MT8JqNTXiuTSMwtd/NprG91BInNKSYoEToChziQ+nYEYFvmpfJCWx/B7iabtiIU4xRtSgCSSkI5hZrQ1ow4JAhyrOyy59ElpUfd0jmhNEOrIlVgIEAlccSVlLpdotY4KzRXNWZJeoIkILG2HS5CRIYGtYMSdI/V1oeFFAEmGo3ozCJWVLblUV1yoQ8uIgUaQuZLlplwHSHCaaXgDGtAOmeAC66HxOi0UrkKDG1GgIk01CTtTxOOVOckZWuONetfGKHLDmOqmFAAMKDMVzbq+WhlK9o3Mcke4gEUTPLAk59Xms4JwlEYp9X9Wg24ArwlOdqE2QRcp64tiiVyMRvBmshJaTqktwaEAAyYYXPhQWwgJCoKMJ6UFhvUB+5rimuAtvL4BsktDaIJGwgTJ9UvV0LyRatwKMN43aZZ61b5mhXO1nAbUrfNIKdDQhwVCQ172QZcA/qunFo3Pu98VnFsh0T79eq9Xr3Xq/d69V6v3v979WouRDKnfIyEJWy0t9XbqRPX2AzknprCnnduljwGEO7PNOwFbRzixzqZdXczUt5HukEAWNPp8NEFrE9WxRKwz10Jb/+wbOxgCfoRTRRNi4nVsaZPm4vKz6xIU593NlTDSzpKPjjv3ICsnQ8v8OTzSvPFN51OOZVHHPA/I0oa3AP4XRTwpJ5Vj3iNWMepBF2mOmwbk1Y6q6lzVbw1qtTKLuKfKC4SgO+MP0ArFht8Hl8+RKyBPdvwAlfTC1m8FUr6886HQloVsl633x+MdrdFaXM3Gal+08cCyM0ZPr35SfV3+9lWtj/sLb/tjyrbEJCj0/GrwSAb7O/u7PZGCH/O375uOWgpfA0Kd7ey3lZvD/iYMgKfnEy9XF8LRjfaCU5vv5g/TlqDazyxWy+VC7jxniZ/QeLe3xrj00Yn6HunT5sqhMbf296etHGtDduwrnXlNqTXdJuqeZD2hzX3A2lKC68kdwef97PBYNi7A0Cq+5xotFP0d/qjYV7kfEdko529XUm90Z4cZkNeDDPqiX6/xL0VZk1Ce4zNifuCTvDnBtKTLb5VRq4/pvbuR6wWuAflwewR7uPQCdj6WBfQonyFVw3fPv1ieyHaZ+kaV1pjHCwG2PDqd4x7bCXuJuIb4IKAV4sE05sHRbCNEkmFHxXSpvsV3eRK8n4LuT22It3Ax0KldjwVirSch+TZYE7Ll8vXiU32HW6kcn7pJRc9FCK1Dr4QX5xkPVyA8zNrzR2qle1WLiSPTumfB3//8ds3nU6nAq5rtWU26M07fL2q8Z5myLLd+Zm7qxkWJY7wQpPef3KVthX+XFyXF8Ns/n529TD7bcrpMVyPxYbrBpVXjbyfyfr94d78zK0j5cfr4bge5zSlcofpgl2O9NevN94x0n/4kckYn4gIX95e+hLrpbXiVStmnN6zX+Iqgs43/gU=</b:JenniData>
  </b:Source>
  <b:Source>
    <b:Tag>HwangA26</b:Tag>
    <b:SourceType>JournalArticle</b:SourceType>
    <b:Guid>{fac496f0-d3f1-44b8-a6e5-74c2b96f8398}</b:Guid>
    <b:Title>Connecting the Dots: Surfacing Structure in Documents through AI-Generated Cross-Modal Links</b:Title>
    <b:Year>2026</b:Year>
    <b:JournalName>arXiv (Cornell University)</b:JournalName>
    <b:BookTitle>arXiv (Cornell University)</b:BookTitle>
    <b:Publisher>Cornell University</b:Publisher>
    <b:URL>http://arxiv.org/abs/2602.16895</b:URL>
    <b:Author>
      <b:Author>
        <b:NameList>
          <b:Person>
            <b:Last>Hwang</b:Last>
            <b:First>Alyssa</b:First>
          </b:Person>
          <b:Person>
            <b:Last>Kambhamettu</b:Last>
            <b:First>Hita</b:First>
          </b:Person>
          <b:Person>
            <b:Last>Yang</b:Last>
            <b:First>Yue</b:First>
          </b:Person>
          <b:Person>
            <b:Last>Patel</b:Last>
            <b:First>Ajay</b:First>
          </b:Person>
          <b:Person>
            <b:Last>Chang</b:Last>
            <b:First>Joseph Chee</b:First>
          </b:Person>
          <b:Person>
            <b:Last>Head</b:Last>
            <b:First>Andrew</b:First>
          </b:Person>
        </b:NameList>
      </b:Author>
    </b:Author>
    <b:JenniData>z:7VZNbxxFEHUIAq5cc6GFQAThXe+uFTvJBZl1gk2CsHA+iMSld7pmpr293ZPuHu+OT0FI/CMOvvELuMBPIeLAhVc9uxPbsY+csOX96q6qrnrvVfX8dLp2M3deF9q+Ty9rF6l59/VTq8iHKK3SthDawmAmo3a2p8gGEspl9YxsDMLoKQlPma4oCNiLkGls6FxnopIVomD3Za09tj1JDiuiE7m2ah2BI/nKU1xPrpmzlrIoFEWpTUAoGWFASsjMuwBHWsA010WNcOsiyonhT/Z1sSQvjnWopRFkKGXXF09KOpeu9CRcHskK41AZe+baGBwx17EUoUIl0ugTLODkmbbOuKJZFyXyJc9g4BwhJ9ro2HAhxiFJRsDQsbTxLFbCeVFpygh2BaX8YAZrJbQiieweLHSIKahzqNflOWyMnmm2CXVVOR8F4onQWPgHfXKBjhUwM1JaitiAhL7YQZk4KdQGYNXnmMzcrDK0EPBGNUDK00xqG7BRWB31MZkG8M9ac4ZPh5ZGAZpCC6HIvZzR3Plpyg1UUq/wCMOFgVF8b8vPz6WqbXd8x0dfPCdscH5RM46M7pvwcJH4rws2RnQWUIsA0s9lRutiXuqsFJWrakaWs7sowJbZzOhsynqBLdwBtn0jpBRPZlw/mC5KgxdMcDznM3EKVCfpsV6kYFWDOJyCjEAZWXBcSUsmASKzjEJo4bbBGa0S5ytVczqujuDAslYDGDQmob2PWtkn8go8JhTnRLYX6skR+gINEWsFMc6BEfSI5GTEuT5qtB8QROzSJZBS3meqd7VPGkNupaZjVpcG4cAIbqCci4ZtyBz3Keuqwxq9e9LlTMdQLlebuM1gE7hT9Iw1vqR3Jf1OUugRqfri4VU6qbzjsIm7BrCyXjIxlw2f4pEtGhKJpN6BfSh11aLI8ui0tL5qGLYlW8gizYAl+63wmOmLo2zVCqGvWHOnax+WchIiy+F6EF4PwutBeD0I/2+D0LTEkdrFUjEajLZ6g80Z88E5+3244qGxkDWw8OEV+rSCZh7i5bwa9DdHKD3ilFvS/6CPxe2x85CEEU8tQIBiYvO5SezqSQ2X8Mvp2jvKQuv4zHM506ahvbm0BRVwsPmOaUKQCmKgtbdNp4/kbFJiKca6dVB7Ol5prl50gbMXNV1lRgeo3Szj7RzJ5krDcdkFnH7jAlWlGJd0ZWC1x8N/WZhVnuatZV7KcKDyvzKtAtBVOkzsK7wH+6p0FVkJQKfPt4ebg+2t0dbWNra+k6+PYIAimKijlqhRb3h3VtUTowOU3HJ1I+Xg3+ZhCpWjJTJ66s1ClDFW4f7GhvQLfdx3vtioVL4x2hqM+sOtu/fuFOg/Hq0oZpqazdAT/LwBDZHLH6ETzy6jy41pYGsyHuNfNWNX27gWu0mhnmO0hXZ1qZgfx+3Nt7pfdl0M98VhzTOO1w6jr7OIWcUjabe7zGLpXV2UYme/9zVBoWnMjPlC6H3rFGbLY22nIY+u0ln4+XTtvVw5HvdIboKhtJngeXlQNgFzwIhDHpzoAMo1GdUaTYbbyaoao4NqdMrKCnv5k+Fg+969tL8Q4EKKZ+n+1SfLywkzagcMNgAnUBou/3z5Z/33Gv5KgHrmHDXcHrQnLT7rjkK0VRjIEitWfE/LseJQxX9Rz91lPR/vn7kTOIP9GaQU+NeuDpWRTVfR77c/uaKiZaxbezWGfa87sgt9SRGj5OIOHT+HXF7CZmtzdBCarEzPJ23ywzvDrSWELQ8p73E3hh+T9JbldOBdGnRdBb9+8cdvl1SwORrcaQN++mCBuwRjHrPwYtg3aSjukg+yGk31ETfVuZ7C0+WZnpry/f6MAXX25r8=</b:JenniData>
  </b:Source>
</b:Sources>
</file>

<file path=customXml/itemProps1.xml><?xml version="1.0" encoding="utf-8"?>
<ds:datastoreItem xmlns:ds="http://schemas.openxmlformats.org/officeDocument/2006/customXml" ds:itemID="{46e815d9-a461-46d7-825b-44d96c786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an Executable ESG Aspect-Based Sentiment Analysis Framework for Indonesian Sustainability Reports</dc:title>
  <dc:creator>Daris Dzakwan Hoesien</dc:creator>
  <cp:lastModifiedBy>Un-named</cp:lastModifiedBy>
  <cp:revision>1</cp:revision>
  <dcterms:created xsi:type="dcterms:W3CDTF">2026-05-31T07:54:39.904Z</dcterms:created>
  <dcterms:modified xsi:type="dcterms:W3CDTF">2026-05-31T07:54:39.904Z</dcterms:modified>
</cp:coreProperties>
</file>

<file path=docProps/custom.xml><?xml version="1.0" encoding="utf-8"?>
<Properties xmlns="http://schemas.openxmlformats.org/officeDocument/2006/custom-properties" xmlns:vt="http://schemas.openxmlformats.org/officeDocument/2006/docPropsVTypes"/>
</file>